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425F4" w:rsidTr="00496926">
        <w:tblPrEx>
          <w:tblCellMar>
            <w:top w:w="0" w:type="dxa"/>
            <w:bottom w:w="0" w:type="dxa"/>
          </w:tblCellMar>
        </w:tblPrEx>
        <w:tc>
          <w:tcPr>
            <w:tcW w:w="2268" w:type="dxa"/>
          </w:tcPr>
          <w:p w:rsidR="006E4E11" w:rsidRPr="003425F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425F4" w:rsidRDefault="006E4E11" w:rsidP="007242A3">
            <w:pPr>
              <w:framePr w:w="5035" w:h="1644" w:wrap="notBeside" w:vAnchor="page" w:hAnchor="page" w:x="6573" w:y="721"/>
              <w:rPr>
                <w:rFonts w:ascii="TradeGothic" w:hAnsi="TradeGothic"/>
                <w:i/>
                <w:sz w:val="18"/>
              </w:rPr>
            </w:pPr>
          </w:p>
        </w:tc>
      </w:tr>
      <w:tr w:rsidR="00496926" w:rsidRPr="003425F4" w:rsidTr="00496926">
        <w:tblPrEx>
          <w:tblCellMar>
            <w:top w:w="0" w:type="dxa"/>
            <w:bottom w:w="0" w:type="dxa"/>
          </w:tblCellMar>
        </w:tblPrEx>
        <w:tc>
          <w:tcPr>
            <w:tcW w:w="5267" w:type="dxa"/>
            <w:gridSpan w:val="3"/>
          </w:tcPr>
          <w:p w:rsidR="00496926" w:rsidRPr="003425F4" w:rsidRDefault="00496926" w:rsidP="007242A3">
            <w:pPr>
              <w:framePr w:w="5035" w:h="1644" w:wrap="notBeside" w:vAnchor="page" w:hAnchor="page" w:x="6573" w:y="721"/>
              <w:rPr>
                <w:rFonts w:ascii="TradeGothic" w:hAnsi="TradeGothic"/>
                <w:b/>
                <w:sz w:val="22"/>
              </w:rPr>
            </w:pPr>
            <w:r w:rsidRPr="003425F4">
              <w:rPr>
                <w:rFonts w:ascii="TradeGothic" w:hAnsi="TradeGothic"/>
                <w:b/>
                <w:sz w:val="22"/>
              </w:rPr>
              <w:t>Rådspromemoria</w:t>
            </w:r>
          </w:p>
        </w:tc>
      </w:tr>
      <w:tr w:rsidR="006E4E11" w:rsidRPr="003425F4" w:rsidTr="00496926">
        <w:tblPrEx>
          <w:tblCellMar>
            <w:top w:w="0" w:type="dxa"/>
            <w:bottom w:w="0" w:type="dxa"/>
          </w:tblCellMar>
        </w:tblPrEx>
        <w:tc>
          <w:tcPr>
            <w:tcW w:w="3402" w:type="dxa"/>
            <w:gridSpan w:val="2"/>
          </w:tcPr>
          <w:p w:rsidR="006E4E11" w:rsidRPr="003425F4" w:rsidRDefault="006E4E11" w:rsidP="007242A3">
            <w:pPr>
              <w:framePr w:w="5035" w:h="1644" w:wrap="notBeside" w:vAnchor="page" w:hAnchor="page" w:x="6573" w:y="721"/>
            </w:pPr>
          </w:p>
        </w:tc>
        <w:tc>
          <w:tcPr>
            <w:tcW w:w="1865" w:type="dxa"/>
          </w:tcPr>
          <w:p w:rsidR="006E4E11" w:rsidRPr="003425F4" w:rsidRDefault="006E4E11" w:rsidP="007242A3">
            <w:pPr>
              <w:framePr w:w="5035" w:h="1644" w:wrap="notBeside" w:vAnchor="page" w:hAnchor="page" w:x="6573" w:y="721"/>
            </w:pPr>
          </w:p>
        </w:tc>
      </w:tr>
      <w:tr w:rsidR="006E4E11" w:rsidRPr="003425F4" w:rsidTr="00496926">
        <w:tblPrEx>
          <w:tblCellMar>
            <w:top w:w="0" w:type="dxa"/>
            <w:bottom w:w="0" w:type="dxa"/>
          </w:tblCellMar>
        </w:tblPrEx>
        <w:tc>
          <w:tcPr>
            <w:tcW w:w="2268" w:type="dxa"/>
          </w:tcPr>
          <w:p w:rsidR="006E4E11" w:rsidRPr="003425F4" w:rsidRDefault="00496926" w:rsidP="007242A3">
            <w:pPr>
              <w:framePr w:w="5035" w:h="1644" w:wrap="notBeside" w:vAnchor="page" w:hAnchor="page" w:x="6573" w:y="721"/>
            </w:pPr>
            <w:r w:rsidRPr="003425F4">
              <w:t>2010-</w:t>
            </w:r>
            <w:r w:rsidR="001523CA" w:rsidRPr="003425F4">
              <w:t>11-01</w:t>
            </w:r>
          </w:p>
        </w:tc>
        <w:tc>
          <w:tcPr>
            <w:tcW w:w="2999" w:type="dxa"/>
            <w:gridSpan w:val="2"/>
          </w:tcPr>
          <w:p w:rsidR="006E4E11" w:rsidRPr="003425F4" w:rsidRDefault="006E4E11" w:rsidP="007242A3">
            <w:pPr>
              <w:framePr w:w="5035" w:h="1644" w:wrap="notBeside" w:vAnchor="page" w:hAnchor="page" w:x="6573" w:y="721"/>
            </w:pPr>
          </w:p>
        </w:tc>
      </w:tr>
      <w:tr w:rsidR="006E4E11" w:rsidRPr="003425F4" w:rsidTr="00496926">
        <w:tblPrEx>
          <w:tblCellMar>
            <w:top w:w="0" w:type="dxa"/>
            <w:bottom w:w="0" w:type="dxa"/>
          </w:tblCellMar>
        </w:tblPrEx>
        <w:tc>
          <w:tcPr>
            <w:tcW w:w="2268" w:type="dxa"/>
          </w:tcPr>
          <w:p w:rsidR="006E4E11" w:rsidRPr="003425F4" w:rsidRDefault="006E4E11" w:rsidP="007242A3">
            <w:pPr>
              <w:framePr w:w="5035" w:h="1644" w:wrap="notBeside" w:vAnchor="page" w:hAnchor="page" w:x="6573" w:y="721"/>
            </w:pPr>
          </w:p>
        </w:tc>
        <w:tc>
          <w:tcPr>
            <w:tcW w:w="2999" w:type="dxa"/>
            <w:gridSpan w:val="2"/>
          </w:tcPr>
          <w:p w:rsidR="006E4E11" w:rsidRPr="003425F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425F4">
        <w:tblPrEx>
          <w:tblCellMar>
            <w:top w:w="0" w:type="dxa"/>
            <w:bottom w:w="0" w:type="dxa"/>
          </w:tblCellMar>
        </w:tblPrEx>
        <w:trPr>
          <w:trHeight w:val="284"/>
        </w:trPr>
        <w:tc>
          <w:tcPr>
            <w:tcW w:w="4911" w:type="dxa"/>
          </w:tcPr>
          <w:p w:rsidR="006E4E11" w:rsidRPr="003425F4" w:rsidRDefault="00496926">
            <w:pPr>
              <w:pStyle w:val="Avsndare"/>
              <w:framePr w:h="2483" w:wrap="notBeside" w:x="1504"/>
              <w:rPr>
                <w:b/>
                <w:i w:val="0"/>
                <w:sz w:val="22"/>
              </w:rPr>
            </w:pPr>
            <w:r w:rsidRPr="003425F4">
              <w:rPr>
                <w:b/>
                <w:i w:val="0"/>
                <w:sz w:val="22"/>
              </w:rPr>
              <w:t>Justitiedepartementet</w:t>
            </w:r>
          </w:p>
        </w:tc>
      </w:tr>
      <w:tr w:rsidR="006E4E11" w:rsidRPr="003425F4">
        <w:tblPrEx>
          <w:tblCellMar>
            <w:top w:w="0" w:type="dxa"/>
            <w:bottom w:w="0" w:type="dxa"/>
          </w:tblCellMar>
        </w:tblPrEx>
        <w:trPr>
          <w:trHeight w:val="284"/>
        </w:trPr>
        <w:tc>
          <w:tcPr>
            <w:tcW w:w="4911" w:type="dxa"/>
          </w:tcPr>
          <w:p w:rsidR="006E4E11" w:rsidRPr="003425F4" w:rsidRDefault="006E4E11">
            <w:pPr>
              <w:pStyle w:val="Avsndare"/>
              <w:framePr w:h="2483" w:wrap="notBeside" w:x="1504"/>
              <w:rPr>
                <w:bCs/>
                <w:iCs/>
              </w:rPr>
            </w:pPr>
          </w:p>
        </w:tc>
      </w:tr>
      <w:tr w:rsidR="006E4E11" w:rsidRPr="003425F4">
        <w:tblPrEx>
          <w:tblCellMar>
            <w:top w:w="0" w:type="dxa"/>
            <w:bottom w:w="0" w:type="dxa"/>
          </w:tblCellMar>
        </w:tblPrEx>
        <w:trPr>
          <w:trHeight w:val="284"/>
        </w:trPr>
        <w:tc>
          <w:tcPr>
            <w:tcW w:w="4911" w:type="dxa"/>
          </w:tcPr>
          <w:p w:rsidR="00496926" w:rsidRPr="003425F4" w:rsidRDefault="00496926">
            <w:pPr>
              <w:pStyle w:val="Avsndare"/>
              <w:framePr w:h="2483" w:wrap="notBeside" w:x="1504"/>
              <w:rPr>
                <w:bCs/>
                <w:iCs/>
              </w:rPr>
            </w:pPr>
            <w:r w:rsidRPr="003425F4">
              <w:rPr>
                <w:bCs/>
                <w:iCs/>
              </w:rPr>
              <w:t>Enheten för brottmålsärenden och</w:t>
            </w:r>
          </w:p>
          <w:p w:rsidR="006E4E11" w:rsidRPr="003425F4" w:rsidRDefault="00496926">
            <w:pPr>
              <w:pStyle w:val="Avsndare"/>
              <w:framePr w:h="2483" w:wrap="notBeside" w:x="1504"/>
              <w:rPr>
                <w:bCs/>
                <w:iCs/>
              </w:rPr>
            </w:pPr>
            <w:r w:rsidRPr="003425F4">
              <w:rPr>
                <w:bCs/>
                <w:iCs/>
              </w:rPr>
              <w:t>internationellt rättsligt samarbete (BIRS)</w:t>
            </w:r>
          </w:p>
        </w:tc>
      </w:tr>
      <w:tr w:rsidR="006E4E11" w:rsidRPr="003425F4">
        <w:tblPrEx>
          <w:tblCellMar>
            <w:top w:w="0" w:type="dxa"/>
            <w:bottom w:w="0" w:type="dxa"/>
          </w:tblCellMar>
        </w:tblPrEx>
        <w:trPr>
          <w:trHeight w:val="284"/>
        </w:trPr>
        <w:tc>
          <w:tcPr>
            <w:tcW w:w="4911" w:type="dxa"/>
          </w:tcPr>
          <w:p w:rsidR="006E4E11" w:rsidRPr="003425F4" w:rsidRDefault="006E4E11">
            <w:pPr>
              <w:pStyle w:val="Avsndare"/>
              <w:framePr w:h="2483" w:wrap="notBeside" w:x="1504"/>
              <w:rPr>
                <w:bCs/>
                <w:iCs/>
              </w:rPr>
            </w:pPr>
          </w:p>
        </w:tc>
      </w:tr>
      <w:tr w:rsidR="006E4E11" w:rsidRPr="003425F4">
        <w:tblPrEx>
          <w:tblCellMar>
            <w:top w:w="0" w:type="dxa"/>
            <w:bottom w:w="0" w:type="dxa"/>
          </w:tblCellMar>
        </w:tblPrEx>
        <w:trPr>
          <w:trHeight w:val="284"/>
        </w:trPr>
        <w:tc>
          <w:tcPr>
            <w:tcW w:w="4911" w:type="dxa"/>
          </w:tcPr>
          <w:p w:rsidR="006E4E11" w:rsidRPr="003425F4" w:rsidRDefault="006E4E11">
            <w:pPr>
              <w:pStyle w:val="Avsndare"/>
              <w:framePr w:h="2483" w:wrap="notBeside" w:x="1504"/>
              <w:rPr>
                <w:bCs/>
                <w:iCs/>
              </w:rPr>
            </w:pPr>
          </w:p>
        </w:tc>
      </w:tr>
      <w:tr w:rsidR="006E4E11" w:rsidRPr="003425F4">
        <w:tblPrEx>
          <w:tblCellMar>
            <w:top w:w="0" w:type="dxa"/>
            <w:bottom w:w="0" w:type="dxa"/>
          </w:tblCellMar>
        </w:tblPrEx>
        <w:trPr>
          <w:trHeight w:val="284"/>
        </w:trPr>
        <w:tc>
          <w:tcPr>
            <w:tcW w:w="4911" w:type="dxa"/>
          </w:tcPr>
          <w:p w:rsidR="006E4E11" w:rsidRPr="003425F4" w:rsidRDefault="006E4E11">
            <w:pPr>
              <w:pStyle w:val="Avsndare"/>
              <w:framePr w:h="2483" w:wrap="notBeside" w:x="1504"/>
              <w:rPr>
                <w:bCs/>
                <w:iCs/>
              </w:rPr>
            </w:pPr>
          </w:p>
        </w:tc>
      </w:tr>
      <w:tr w:rsidR="006E4E11" w:rsidRPr="003425F4">
        <w:tblPrEx>
          <w:tblCellMar>
            <w:top w:w="0" w:type="dxa"/>
            <w:bottom w:w="0" w:type="dxa"/>
          </w:tblCellMar>
        </w:tblPrEx>
        <w:trPr>
          <w:trHeight w:val="284"/>
        </w:trPr>
        <w:tc>
          <w:tcPr>
            <w:tcW w:w="4911" w:type="dxa"/>
          </w:tcPr>
          <w:p w:rsidR="006E4E11" w:rsidRPr="003425F4" w:rsidRDefault="006E4E11">
            <w:pPr>
              <w:pStyle w:val="Avsndare"/>
              <w:framePr w:h="2483" w:wrap="notBeside" w:x="1504"/>
              <w:rPr>
                <w:bCs/>
                <w:iCs/>
              </w:rPr>
            </w:pPr>
          </w:p>
        </w:tc>
      </w:tr>
      <w:tr w:rsidR="006E4E11" w:rsidRPr="003425F4">
        <w:tblPrEx>
          <w:tblCellMar>
            <w:top w:w="0" w:type="dxa"/>
            <w:bottom w:w="0" w:type="dxa"/>
          </w:tblCellMar>
        </w:tblPrEx>
        <w:trPr>
          <w:trHeight w:val="284"/>
        </w:trPr>
        <w:tc>
          <w:tcPr>
            <w:tcW w:w="4911" w:type="dxa"/>
          </w:tcPr>
          <w:p w:rsidR="006E4E11" w:rsidRPr="003425F4" w:rsidRDefault="006E4E11">
            <w:pPr>
              <w:pStyle w:val="Avsndare"/>
              <w:framePr w:h="2483" w:wrap="notBeside" w:x="1504"/>
              <w:rPr>
                <w:bCs/>
                <w:iCs/>
              </w:rPr>
            </w:pPr>
          </w:p>
        </w:tc>
      </w:tr>
      <w:tr w:rsidR="006E4E11" w:rsidRPr="003425F4">
        <w:tblPrEx>
          <w:tblCellMar>
            <w:top w:w="0" w:type="dxa"/>
            <w:bottom w:w="0" w:type="dxa"/>
          </w:tblCellMar>
        </w:tblPrEx>
        <w:trPr>
          <w:trHeight w:val="284"/>
        </w:trPr>
        <w:tc>
          <w:tcPr>
            <w:tcW w:w="4911" w:type="dxa"/>
          </w:tcPr>
          <w:p w:rsidR="006E4E11" w:rsidRPr="003425F4" w:rsidRDefault="006E4E11">
            <w:pPr>
              <w:pStyle w:val="Avsndare"/>
              <w:framePr w:h="2483" w:wrap="notBeside" w:x="1504"/>
              <w:rPr>
                <w:bCs/>
                <w:iCs/>
              </w:rPr>
            </w:pPr>
          </w:p>
        </w:tc>
      </w:tr>
    </w:tbl>
    <w:p w:rsidR="006E4E11" w:rsidRPr="003425F4" w:rsidRDefault="006E4E11">
      <w:pPr>
        <w:framePr w:w="4400" w:h="2523" w:wrap="notBeside" w:vAnchor="page" w:hAnchor="page" w:x="6453" w:y="2445"/>
        <w:ind w:left="142"/>
        <w:rPr>
          <w:b/>
        </w:rPr>
      </w:pPr>
    </w:p>
    <w:p w:rsidR="00496926" w:rsidRPr="003425F4" w:rsidRDefault="00496926">
      <w:pPr>
        <w:pStyle w:val="RKrubrik"/>
        <w:pBdr>
          <w:bottom w:val="single" w:sz="6" w:space="1" w:color="auto"/>
        </w:pBdr>
      </w:pPr>
      <w:bookmarkStart w:id="0" w:name="bRubrik"/>
      <w:bookmarkEnd w:id="0"/>
      <w:r w:rsidRPr="003425F4">
        <w:t xml:space="preserve">Rådets möte </w:t>
      </w:r>
      <w:r w:rsidR="000E3201" w:rsidRPr="003425F4">
        <w:t>(</w:t>
      </w:r>
      <w:r w:rsidRPr="003425F4">
        <w:t>rättsliga och inrikes frågor</w:t>
      </w:r>
      <w:r w:rsidR="000E3201" w:rsidRPr="003425F4">
        <w:t>)</w:t>
      </w:r>
      <w:r w:rsidRPr="003425F4">
        <w:t xml:space="preserve"> </w:t>
      </w:r>
      <w:r w:rsidR="00CF09F6" w:rsidRPr="003425F4">
        <w:t xml:space="preserve">i Bryssel </w:t>
      </w:r>
      <w:r w:rsidRPr="003425F4">
        <w:t>den 8-9 november 2010</w:t>
      </w:r>
    </w:p>
    <w:p w:rsidR="00496926" w:rsidRPr="003425F4" w:rsidRDefault="00496926">
      <w:pPr>
        <w:pStyle w:val="RKnormal"/>
      </w:pPr>
    </w:p>
    <w:p w:rsidR="00496926" w:rsidRPr="003425F4" w:rsidRDefault="00496926">
      <w:pPr>
        <w:pStyle w:val="RKnormal"/>
        <w:rPr>
          <w:b/>
        </w:rPr>
      </w:pPr>
      <w:r w:rsidRPr="003425F4">
        <w:rPr>
          <w:b/>
        </w:rPr>
        <w:t>Dagordningspunkt 8</w:t>
      </w:r>
    </w:p>
    <w:p w:rsidR="00496926" w:rsidRPr="003425F4" w:rsidRDefault="00496926">
      <w:pPr>
        <w:pStyle w:val="RKnormal"/>
      </w:pPr>
    </w:p>
    <w:p w:rsidR="00496926" w:rsidRPr="003425F4" w:rsidRDefault="00CF09F6">
      <w:pPr>
        <w:pStyle w:val="RKnormal"/>
        <w:rPr>
          <w:b/>
        </w:rPr>
      </w:pPr>
      <w:r w:rsidRPr="003425F4">
        <w:rPr>
          <w:b/>
        </w:rPr>
        <w:t>Förslag till</w:t>
      </w:r>
      <w:r w:rsidR="00496926" w:rsidRPr="003425F4">
        <w:rPr>
          <w:b/>
        </w:rPr>
        <w:t xml:space="preserve"> direktiv om en europeisk utredningsorde</w:t>
      </w:r>
      <w:r w:rsidRPr="003425F4">
        <w:rPr>
          <w:b/>
        </w:rPr>
        <w:t>r</w:t>
      </w:r>
      <w:r w:rsidR="009367FD" w:rsidRPr="003425F4">
        <w:rPr>
          <w:b/>
        </w:rPr>
        <w:t xml:space="preserve"> - riktlinjedebatt</w:t>
      </w:r>
    </w:p>
    <w:p w:rsidR="00496926" w:rsidRPr="003425F4" w:rsidRDefault="00496926">
      <w:pPr>
        <w:pStyle w:val="RKnormal"/>
      </w:pPr>
    </w:p>
    <w:p w:rsidR="00496926" w:rsidRPr="003425F4" w:rsidRDefault="00496926">
      <w:pPr>
        <w:pStyle w:val="RKnormal"/>
      </w:pPr>
      <w:r w:rsidRPr="003425F4">
        <w:rPr>
          <w:b/>
        </w:rPr>
        <w:t>Dokument:</w:t>
      </w:r>
      <w:r w:rsidR="00CF09F6" w:rsidRPr="003425F4">
        <w:rPr>
          <w:b/>
        </w:rPr>
        <w:t xml:space="preserve"> </w:t>
      </w:r>
      <w:r w:rsidR="003D61C2" w:rsidRPr="003425F4">
        <w:t xml:space="preserve">15531/10 COPEN 241 EJN 58 EUROJUST 122 </w:t>
      </w:r>
      <w:r w:rsidR="006C28B6" w:rsidRPr="003425F4">
        <w:t>CODEC 1136</w:t>
      </w:r>
      <w:r w:rsidR="000E3201" w:rsidRPr="003425F4">
        <w:t xml:space="preserve"> (bifogas)</w:t>
      </w:r>
    </w:p>
    <w:p w:rsidR="00496926" w:rsidRPr="003425F4" w:rsidRDefault="00496926">
      <w:pPr>
        <w:pStyle w:val="RKnormal"/>
      </w:pPr>
    </w:p>
    <w:p w:rsidR="00CF09F6" w:rsidRPr="003425F4" w:rsidRDefault="00CF09F6">
      <w:pPr>
        <w:pStyle w:val="RKnormal"/>
        <w:rPr>
          <w:b/>
        </w:rPr>
      </w:pPr>
      <w:r w:rsidRPr="003425F4">
        <w:rPr>
          <w:b/>
        </w:rPr>
        <w:t>Tidigare dokument:</w:t>
      </w:r>
    </w:p>
    <w:p w:rsidR="00CF09F6" w:rsidRPr="003425F4" w:rsidRDefault="00CF09F6">
      <w:pPr>
        <w:pStyle w:val="RKnormal"/>
      </w:pPr>
      <w:r w:rsidRPr="003425F4">
        <w:t>9288/10 COPEN 117</w:t>
      </w:r>
      <w:r w:rsidR="003D61C2" w:rsidRPr="003425F4">
        <w:t xml:space="preserve"> </w:t>
      </w:r>
      <w:r w:rsidR="00E24777" w:rsidRPr="003425F4">
        <w:t>EUROJUST 49</w:t>
      </w:r>
      <w:r w:rsidR="003D61C2" w:rsidRPr="003425F4">
        <w:t xml:space="preserve"> </w:t>
      </w:r>
      <w:r w:rsidR="00E24777" w:rsidRPr="003425F4">
        <w:t>EJN 13</w:t>
      </w:r>
      <w:r w:rsidR="003D61C2" w:rsidRPr="003425F4">
        <w:t xml:space="preserve"> </w:t>
      </w:r>
      <w:r w:rsidR="00E24777" w:rsidRPr="003425F4">
        <w:t>PARLNAT 13</w:t>
      </w:r>
      <w:r w:rsidR="003D61C2" w:rsidRPr="003425F4">
        <w:t xml:space="preserve"> </w:t>
      </w:r>
      <w:r w:rsidR="00E24777" w:rsidRPr="003425F4">
        <w:t>CODEC 384</w:t>
      </w:r>
      <w:r w:rsidR="00D872D2" w:rsidRPr="003425F4">
        <w:t xml:space="preserve"> (ursprungliga förslaget)</w:t>
      </w:r>
    </w:p>
    <w:p w:rsidR="00CF09F6" w:rsidRPr="003425F4" w:rsidRDefault="00CF09F6">
      <w:pPr>
        <w:pStyle w:val="RKnormal"/>
      </w:pPr>
    </w:p>
    <w:p w:rsidR="00496926" w:rsidRPr="003425F4" w:rsidRDefault="00CF09F6">
      <w:pPr>
        <w:pStyle w:val="RKnormal"/>
      </w:pPr>
      <w:r w:rsidRPr="003425F4">
        <w:rPr>
          <w:b/>
        </w:rPr>
        <w:t>Fakta-PM:</w:t>
      </w:r>
      <w:r w:rsidRPr="003425F4">
        <w:t xml:space="preserve"> Justitiedepartementet 2009/10:FPM94</w:t>
      </w:r>
    </w:p>
    <w:p w:rsidR="00496926" w:rsidRPr="003425F4" w:rsidRDefault="00496926">
      <w:pPr>
        <w:pStyle w:val="RKnormal"/>
      </w:pPr>
    </w:p>
    <w:p w:rsidR="00496926" w:rsidRPr="003425F4" w:rsidRDefault="00496926">
      <w:pPr>
        <w:pStyle w:val="RKnormal"/>
      </w:pPr>
      <w:r w:rsidRPr="003425F4">
        <w:rPr>
          <w:b/>
        </w:rPr>
        <w:t xml:space="preserve">Tidigare behandlad vid samråd med EU-nämnden: </w:t>
      </w:r>
      <w:r w:rsidR="000E3201" w:rsidRPr="003425F4">
        <w:rPr>
          <w:b/>
        </w:rPr>
        <w:t xml:space="preserve">- </w:t>
      </w:r>
    </w:p>
    <w:p w:rsidR="000E3201" w:rsidRPr="003425F4" w:rsidRDefault="000E3201">
      <w:pPr>
        <w:pStyle w:val="RKnormal"/>
      </w:pPr>
    </w:p>
    <w:p w:rsidR="000E3201" w:rsidRPr="003425F4" w:rsidRDefault="000E3201">
      <w:pPr>
        <w:pStyle w:val="RKnormal"/>
      </w:pPr>
      <w:r w:rsidRPr="003425F4">
        <w:rPr>
          <w:b/>
        </w:rPr>
        <w:t>Tidigare behandlad vid överläggning med Justitieutskottet</w:t>
      </w:r>
      <w:r w:rsidRPr="003425F4">
        <w:t>: 19 oktober 2010</w:t>
      </w:r>
    </w:p>
    <w:p w:rsidR="00496926" w:rsidRPr="003425F4" w:rsidRDefault="00496926" w:rsidP="007943B5">
      <w:pPr>
        <w:pStyle w:val="RKrubrik"/>
      </w:pPr>
      <w:r w:rsidRPr="003425F4">
        <w:t>Bakgrund</w:t>
      </w:r>
      <w:r w:rsidR="00E24777" w:rsidRPr="003425F4">
        <w:t xml:space="preserve"> (inkl. syf</w:t>
      </w:r>
      <w:r w:rsidR="009615CC" w:rsidRPr="003425F4">
        <w:t>t</w:t>
      </w:r>
      <w:r w:rsidR="00E24777" w:rsidRPr="003425F4">
        <w:t>et med behandlingen i rådet)</w:t>
      </w:r>
    </w:p>
    <w:p w:rsidR="007943B5" w:rsidRPr="003425F4" w:rsidRDefault="00C61373" w:rsidP="007943B5">
      <w:pPr>
        <w:pStyle w:val="RKnormal"/>
      </w:pPr>
      <w:bookmarkStart w:id="1" w:name="Text9"/>
      <w:r w:rsidRPr="003425F4">
        <w:t xml:space="preserve">Belgien har tillsammans med Sverige och fem andra medlemsstater </w:t>
      </w:r>
      <w:r w:rsidR="007943B5" w:rsidRPr="003425F4">
        <w:t>lagt fram ett förslag till nytt direktiv inom ramen för det straffrättsliga sam</w:t>
      </w:r>
      <w:r w:rsidR="00B97964" w:rsidRPr="003425F4">
        <w:softHyphen/>
      </w:r>
      <w:r w:rsidR="007943B5" w:rsidRPr="003425F4">
        <w:t xml:space="preserve">arbetet inom Europeiska unionen (EU). </w:t>
      </w:r>
      <w:r w:rsidR="00475153" w:rsidRPr="003425F4">
        <w:t>Direktivet syftar till att förbätt</w:t>
      </w:r>
      <w:r w:rsidR="00B97964" w:rsidRPr="003425F4">
        <w:softHyphen/>
      </w:r>
      <w:r w:rsidR="00475153" w:rsidRPr="003425F4">
        <w:t xml:space="preserve">ra samarbetet om bevisinhämtning mellan medlemsstaterna. </w:t>
      </w:r>
      <w:r w:rsidR="007943B5" w:rsidRPr="003425F4">
        <w:t>Det straff</w:t>
      </w:r>
      <w:r w:rsidR="00B97964" w:rsidRPr="003425F4">
        <w:softHyphen/>
      </w:r>
      <w:r w:rsidR="007943B5" w:rsidRPr="003425F4">
        <w:t xml:space="preserve">rättsliga samarbetet om bevisinhämtning inom EU är i dag baserat på både traditionell ömsesidig rättslig hjälp och principen om ömsesidigt erkännande. Direktivet avser att ersätta rambeslutet om en </w:t>
      </w:r>
      <w:r w:rsidR="006B1A74" w:rsidRPr="003425F4">
        <w:t>europeisk bevisinhämtningsorder</w:t>
      </w:r>
      <w:r w:rsidR="007943B5" w:rsidRPr="003425F4">
        <w:t xml:space="preserve"> </w:t>
      </w:r>
      <w:r w:rsidR="000E3201" w:rsidRPr="003425F4">
        <w:t xml:space="preserve">(2008/978/RIF) </w:t>
      </w:r>
      <w:r w:rsidR="007943B5" w:rsidRPr="003425F4">
        <w:t xml:space="preserve">samt </w:t>
      </w:r>
      <w:r w:rsidR="006B1A74" w:rsidRPr="003425F4">
        <w:t>rambeslutet om frysning</w:t>
      </w:r>
      <w:r w:rsidR="007943B5" w:rsidRPr="003425F4">
        <w:t xml:space="preserve"> </w:t>
      </w:r>
      <w:r w:rsidR="000E3201" w:rsidRPr="003425F4">
        <w:t xml:space="preserve">av egendom eller bevismaterial (2003/577/RIF) </w:t>
      </w:r>
      <w:r w:rsidR="007943B5" w:rsidRPr="003425F4">
        <w:t>och de olika instrument som avser ömsesidig rättslig hjälp i brottmål i den mån de behandlar inhämtande av bevis som ska användas i straffrätts</w:t>
      </w:r>
      <w:r w:rsidR="007943B5" w:rsidRPr="003425F4">
        <w:lastRenderedPageBreak/>
        <w:t>liga för</w:t>
      </w:r>
      <w:r w:rsidR="00B97964" w:rsidRPr="003425F4">
        <w:softHyphen/>
      </w:r>
      <w:r w:rsidR="007943B5" w:rsidRPr="003425F4">
        <w:t xml:space="preserve">faranden. </w:t>
      </w:r>
      <w:r w:rsidR="006569D5" w:rsidRPr="003425F4">
        <w:t>Direktivet syftar alltså till att åstadkomma en heltäckande reg</w:t>
      </w:r>
      <w:r w:rsidR="00B97964" w:rsidRPr="003425F4">
        <w:softHyphen/>
      </w:r>
      <w:r w:rsidR="006569D5" w:rsidRPr="003425F4">
        <w:t xml:space="preserve">lering baserad på principen om ömsesidigt erkännande, vilket är en av målsättningarna i Stockholmsprogrammet. </w:t>
      </w:r>
      <w:r w:rsidRPr="003425F4">
        <w:t>Sverige</w:t>
      </w:r>
      <w:r w:rsidR="007943B5" w:rsidRPr="003425F4">
        <w:t xml:space="preserve"> är som medförslags</w:t>
      </w:r>
      <w:r w:rsidR="00B97964" w:rsidRPr="003425F4">
        <w:softHyphen/>
      </w:r>
      <w:r w:rsidR="007943B5" w:rsidRPr="003425F4">
        <w:t>ställare positivt till direktivets syfte och innehåll.</w:t>
      </w:r>
      <w:r w:rsidR="006569D5" w:rsidRPr="003425F4">
        <w:t xml:space="preserve"> </w:t>
      </w:r>
    </w:p>
    <w:p w:rsidR="007943B5" w:rsidRPr="003425F4" w:rsidRDefault="007943B5" w:rsidP="007943B5">
      <w:pPr>
        <w:pStyle w:val="RKnormal"/>
      </w:pPr>
    </w:p>
    <w:p w:rsidR="000B674E" w:rsidRPr="003425F4" w:rsidRDefault="007943B5" w:rsidP="000B674E">
      <w:pPr>
        <w:pStyle w:val="RKnormal"/>
      </w:pPr>
      <w:r w:rsidRPr="003425F4">
        <w:t xml:space="preserve">Förhandlingar om förslaget inleddes i juli i år på rådsarbetsgruppsnivå och ett flertal möten har hållits. </w:t>
      </w:r>
      <w:r w:rsidR="00676E60" w:rsidRPr="003425F4">
        <w:t>Medlemsstaterna har uttalat stöd för</w:t>
      </w:r>
      <w:r w:rsidR="00A4529B" w:rsidRPr="003425F4">
        <w:t xml:space="preserve"> förs</w:t>
      </w:r>
      <w:r w:rsidR="00CD02FE" w:rsidRPr="003425F4">
        <w:t>lagets syfte.</w:t>
      </w:r>
    </w:p>
    <w:p w:rsidR="00A83E67" w:rsidRPr="003425F4" w:rsidRDefault="00A83E67">
      <w:pPr>
        <w:pStyle w:val="RKnormal"/>
      </w:pPr>
    </w:p>
    <w:p w:rsidR="00A12BE6" w:rsidRPr="003425F4" w:rsidRDefault="000B674E" w:rsidP="00A83E67">
      <w:pPr>
        <w:pStyle w:val="RKnormal"/>
      </w:pPr>
      <w:r w:rsidRPr="003425F4">
        <w:t>Syftet med den nu aktuella behandlingen i rådet är att hålla en rikt</w:t>
      </w:r>
      <w:r w:rsidR="00B97964" w:rsidRPr="003425F4">
        <w:softHyphen/>
      </w:r>
      <w:r w:rsidRPr="003425F4">
        <w:t>linjedebatt beträffande</w:t>
      </w:r>
      <w:r w:rsidR="00B72355" w:rsidRPr="003425F4">
        <w:t xml:space="preserve"> viktiga frågor som rör</w:t>
      </w:r>
      <w:r w:rsidR="00A83E67" w:rsidRPr="003425F4">
        <w:t xml:space="preserve"> vägransgrunder. </w:t>
      </w:r>
    </w:p>
    <w:p w:rsidR="00A12BE6" w:rsidRPr="003425F4" w:rsidRDefault="00A12BE6" w:rsidP="00A83E67">
      <w:pPr>
        <w:pStyle w:val="RKnormal"/>
      </w:pPr>
    </w:p>
    <w:p w:rsidR="00A12BE6" w:rsidRPr="003425F4" w:rsidRDefault="00A12BE6" w:rsidP="00A83E67">
      <w:pPr>
        <w:pStyle w:val="RKnormal"/>
      </w:pPr>
      <w:r w:rsidRPr="003425F4">
        <w:rPr>
          <w:b/>
        </w:rPr>
        <w:t>1.</w:t>
      </w:r>
      <w:r w:rsidR="00A145DD" w:rsidRPr="003425F4">
        <w:t xml:space="preserve"> Ordförandeskapet </w:t>
      </w:r>
      <w:r w:rsidR="00B97964" w:rsidRPr="003425F4">
        <w:t>vill</w:t>
      </w:r>
      <w:r w:rsidRPr="003425F4">
        <w:t xml:space="preserve"> </w:t>
      </w:r>
      <w:r w:rsidR="008B3A22" w:rsidRPr="003425F4">
        <w:t xml:space="preserve">nå enighet </w:t>
      </w:r>
      <w:r w:rsidRPr="003425F4">
        <w:t>om att den vägledande principen i för</w:t>
      </w:r>
      <w:r w:rsidR="00B97964" w:rsidRPr="003425F4">
        <w:softHyphen/>
      </w:r>
      <w:r w:rsidRPr="003425F4">
        <w:t xml:space="preserve">handlingarna om direktivet fortsatt ska vara att hitta lösningar </w:t>
      </w:r>
      <w:r w:rsidR="00B72355" w:rsidRPr="003425F4">
        <w:t xml:space="preserve">som </w:t>
      </w:r>
      <w:r w:rsidRPr="003425F4">
        <w:t>inte försämrar dagens samarbete mellan berörda myndigheter.</w:t>
      </w:r>
    </w:p>
    <w:p w:rsidR="00A54AA5" w:rsidRPr="003425F4" w:rsidRDefault="00A54AA5" w:rsidP="00A83E67">
      <w:pPr>
        <w:pStyle w:val="RKnormal"/>
      </w:pPr>
    </w:p>
    <w:p w:rsidR="00B60F07" w:rsidRPr="003425F4" w:rsidRDefault="00A54AA5" w:rsidP="00D830BE">
      <w:pPr>
        <w:pStyle w:val="RKnormal"/>
      </w:pPr>
      <w:r w:rsidRPr="003425F4">
        <w:rPr>
          <w:b/>
        </w:rPr>
        <w:t>2.</w:t>
      </w:r>
      <w:r w:rsidRPr="003425F4">
        <w:t xml:space="preserve"> </w:t>
      </w:r>
      <w:r w:rsidR="00D830BE" w:rsidRPr="003425F4">
        <w:t xml:space="preserve">Ordförandeskapet </w:t>
      </w:r>
      <w:r w:rsidR="00B97964" w:rsidRPr="003425F4">
        <w:t>vill</w:t>
      </w:r>
      <w:r w:rsidR="00B60F07" w:rsidRPr="003425F4">
        <w:t xml:space="preserve"> </w:t>
      </w:r>
      <w:r w:rsidR="008B3A22" w:rsidRPr="003425F4">
        <w:t xml:space="preserve">nå enighet </w:t>
      </w:r>
      <w:r w:rsidR="00B60F07" w:rsidRPr="003425F4">
        <w:t xml:space="preserve">om att </w:t>
      </w:r>
      <w:r w:rsidR="00D830BE" w:rsidRPr="003425F4">
        <w:t>en uppdelning av de olika utred</w:t>
      </w:r>
      <w:r w:rsidR="00B97964" w:rsidRPr="003425F4">
        <w:softHyphen/>
      </w:r>
      <w:r w:rsidR="00D830BE" w:rsidRPr="003425F4">
        <w:t xml:space="preserve">ningsåtgärderna, med hänsyn </w:t>
      </w:r>
      <w:r w:rsidR="00B60F07" w:rsidRPr="003425F4">
        <w:t>tagen till hur ingripande de är, bör analy</w:t>
      </w:r>
      <w:r w:rsidR="00B97964" w:rsidRPr="003425F4">
        <w:softHyphen/>
      </w:r>
      <w:r w:rsidR="00B60F07" w:rsidRPr="003425F4">
        <w:t>seras närmare i syfte att begränsa skälen för vägran till vad som är nödvändigt för respektive åtgärd.</w:t>
      </w:r>
    </w:p>
    <w:p w:rsidR="005D2468" w:rsidRPr="003425F4" w:rsidRDefault="005D2468" w:rsidP="00D830BE">
      <w:pPr>
        <w:pStyle w:val="RKnormal"/>
      </w:pPr>
    </w:p>
    <w:p w:rsidR="00D830BE" w:rsidRPr="003425F4" w:rsidRDefault="00D830BE" w:rsidP="00D830BE">
      <w:pPr>
        <w:pStyle w:val="RKnormal"/>
      </w:pPr>
      <w:r w:rsidRPr="003425F4">
        <w:t>Det ursprungliga förslaget bygger på en generell reglering för alla typer av utredningsåtgärder (med undantag för vissa specifika å</w:t>
      </w:r>
      <w:r w:rsidR="00CD02FE" w:rsidRPr="003425F4">
        <w:t>tgärder</w:t>
      </w:r>
      <w:r w:rsidRPr="003425F4">
        <w:t xml:space="preserve">). Den nya ansatsen </w:t>
      </w:r>
      <w:r w:rsidR="008B3A22" w:rsidRPr="003425F4">
        <w:t>innebär</w:t>
      </w:r>
      <w:r w:rsidRPr="003425F4">
        <w:t xml:space="preserve"> att man i stället listar och de</w:t>
      </w:r>
      <w:r w:rsidR="005D2468" w:rsidRPr="003425F4">
        <w:t>lar in utrednings</w:t>
      </w:r>
      <w:r w:rsidR="00B97964" w:rsidRPr="003425F4">
        <w:softHyphen/>
      </w:r>
      <w:r w:rsidR="005D2468" w:rsidRPr="003425F4">
        <w:t>åtgärder</w:t>
      </w:r>
      <w:r w:rsidR="00B97964" w:rsidRPr="003425F4">
        <w:t>na</w:t>
      </w:r>
      <w:r w:rsidR="005D2468" w:rsidRPr="003425F4">
        <w:t xml:space="preserve"> i</w:t>
      </w:r>
      <w:r w:rsidRPr="003425F4">
        <w:t xml:space="preserve"> </w:t>
      </w:r>
      <w:r w:rsidR="005D2468" w:rsidRPr="003425F4">
        <w:t xml:space="preserve">fyra </w:t>
      </w:r>
      <w:r w:rsidRPr="003425F4">
        <w:t xml:space="preserve">kategorier och för respektive kategori anger tillämpliga vägransgrunder. De två första kategorierna skulle täcka det mesta av dagens rättsliga samarbete, medan den tredje kategorin skulle täcka </w:t>
      </w:r>
      <w:r w:rsidR="00B97964" w:rsidRPr="003425F4">
        <w:t xml:space="preserve">resterande åtgärder. Slutligen skulle </w:t>
      </w:r>
      <w:r w:rsidRPr="003425F4">
        <w:t xml:space="preserve">den fjärde </w:t>
      </w:r>
      <w:r w:rsidR="00B97964" w:rsidRPr="003425F4">
        <w:t xml:space="preserve">kategorin </w:t>
      </w:r>
      <w:r w:rsidRPr="003425F4">
        <w:t xml:space="preserve">täcka väldigt specifika och känsliga åtgärder. </w:t>
      </w:r>
    </w:p>
    <w:p w:rsidR="00D830BE" w:rsidRPr="003425F4" w:rsidRDefault="00D830BE" w:rsidP="00D830BE">
      <w:pPr>
        <w:pStyle w:val="RKnormal"/>
      </w:pPr>
    </w:p>
    <w:p w:rsidR="00D830BE" w:rsidRPr="003425F4" w:rsidRDefault="00D830BE" w:rsidP="00D830BE">
      <w:pPr>
        <w:pStyle w:val="RKnormal"/>
      </w:pPr>
      <w:r w:rsidRPr="003425F4">
        <w:rPr>
          <w:i/>
        </w:rPr>
        <w:t>Kat</w:t>
      </w:r>
      <w:r w:rsidR="00700B77" w:rsidRPr="003425F4">
        <w:rPr>
          <w:i/>
        </w:rPr>
        <w:t>egori 1:</w:t>
      </w:r>
      <w:r w:rsidR="00700B77" w:rsidRPr="003425F4">
        <w:t xml:space="preserve"> M</w:t>
      </w:r>
      <w:r w:rsidRPr="003425F4">
        <w:t xml:space="preserve">indre ingripande åtgärder, t.ex. hörande av vittne på frivillig basis, inhämtande av befintlig bevisning. Verkställighet ska </w:t>
      </w:r>
      <w:r w:rsidR="005D2468" w:rsidRPr="003425F4">
        <w:t xml:space="preserve">i princip </w:t>
      </w:r>
      <w:r w:rsidRPr="003425F4">
        <w:t>inte kunna vägras för dessa åtgärder.</w:t>
      </w:r>
    </w:p>
    <w:p w:rsidR="00D830BE" w:rsidRPr="003425F4" w:rsidRDefault="00D830BE" w:rsidP="00D830BE">
      <w:pPr>
        <w:pStyle w:val="RKnormal"/>
      </w:pPr>
    </w:p>
    <w:p w:rsidR="00D830BE" w:rsidRPr="003425F4" w:rsidRDefault="00700B77" w:rsidP="00D830BE">
      <w:pPr>
        <w:pStyle w:val="RKnormal"/>
      </w:pPr>
      <w:r w:rsidRPr="003425F4">
        <w:rPr>
          <w:i/>
        </w:rPr>
        <w:t>Kategori 2:</w:t>
      </w:r>
      <w:r w:rsidRPr="003425F4">
        <w:t xml:space="preserve"> I</w:t>
      </w:r>
      <w:r w:rsidR="00D830BE" w:rsidRPr="003425F4">
        <w:t xml:space="preserve">ngripande åtgärder, t.ex. husrannsakan och beslag. </w:t>
      </w:r>
      <w:r w:rsidR="005D2468" w:rsidRPr="003425F4">
        <w:t xml:space="preserve">Denna kategori skulle omfatta </w:t>
      </w:r>
      <w:r w:rsidRPr="003425F4">
        <w:t>några av de vanligaste åtgärderna</w:t>
      </w:r>
      <w:r w:rsidR="005D2468" w:rsidRPr="003425F4">
        <w:t xml:space="preserve"> </w:t>
      </w:r>
      <w:r w:rsidRPr="003425F4">
        <w:t>s</w:t>
      </w:r>
      <w:r w:rsidR="005D2468" w:rsidRPr="003425F4">
        <w:t>om begärs i det rättsliga samarbetet i dag</w:t>
      </w:r>
      <w:r w:rsidRPr="003425F4">
        <w:t xml:space="preserve"> och som finns i princip i samtliga medlems</w:t>
      </w:r>
      <w:r w:rsidR="00B97964" w:rsidRPr="003425F4">
        <w:softHyphen/>
      </w:r>
      <w:r w:rsidRPr="003425F4">
        <w:t>stater</w:t>
      </w:r>
      <w:r w:rsidR="005D2468" w:rsidRPr="003425F4">
        <w:t xml:space="preserve">. </w:t>
      </w:r>
      <w:r w:rsidRPr="003425F4">
        <w:t>Frågan om dubbel straffbarhet får analyseras ytterligare.</w:t>
      </w:r>
    </w:p>
    <w:p w:rsidR="00D830BE" w:rsidRPr="003425F4" w:rsidRDefault="00D830BE" w:rsidP="00D830BE">
      <w:pPr>
        <w:pStyle w:val="RKnormal"/>
      </w:pPr>
    </w:p>
    <w:p w:rsidR="00D830BE" w:rsidRPr="003425F4" w:rsidRDefault="00D830BE" w:rsidP="00D830BE">
      <w:pPr>
        <w:pStyle w:val="RKnormal"/>
      </w:pPr>
      <w:r w:rsidRPr="003425F4">
        <w:rPr>
          <w:i/>
        </w:rPr>
        <w:t>Kategori 3:</w:t>
      </w:r>
      <w:r w:rsidRPr="003425F4">
        <w:t xml:space="preserve"> </w:t>
      </w:r>
      <w:r w:rsidR="00700B77" w:rsidRPr="003425F4">
        <w:t xml:space="preserve">Mindre vanliga </w:t>
      </w:r>
      <w:r w:rsidRPr="003425F4">
        <w:t>ingripande åtgärder</w:t>
      </w:r>
      <w:r w:rsidR="000E3201" w:rsidRPr="003425F4">
        <w:t>, t.ex.</w:t>
      </w:r>
      <w:r w:rsidR="00F7234A" w:rsidRPr="003425F4">
        <w:t xml:space="preserve"> användandet av en lögndetektor</w:t>
      </w:r>
      <w:r w:rsidR="000E3201" w:rsidRPr="003425F4">
        <w:t xml:space="preserve">, </w:t>
      </w:r>
      <w:r w:rsidRPr="003425F4">
        <w:t xml:space="preserve">som inte listas i kategori </w:t>
      </w:r>
      <w:r w:rsidR="00700B77" w:rsidRPr="003425F4">
        <w:t>2.</w:t>
      </w:r>
    </w:p>
    <w:p w:rsidR="00D830BE" w:rsidRPr="003425F4" w:rsidRDefault="00D830BE" w:rsidP="00D830BE">
      <w:pPr>
        <w:pStyle w:val="RKnormal"/>
      </w:pPr>
    </w:p>
    <w:p w:rsidR="00D830BE" w:rsidRPr="003425F4" w:rsidRDefault="00D830BE" w:rsidP="00D830BE">
      <w:pPr>
        <w:pStyle w:val="RKnormal"/>
      </w:pPr>
      <w:r w:rsidRPr="003425F4">
        <w:rPr>
          <w:i/>
        </w:rPr>
        <w:t>Kategori 4:</w:t>
      </w:r>
      <w:r w:rsidRPr="003425F4">
        <w:t xml:space="preserve"> </w:t>
      </w:r>
      <w:r w:rsidR="00700B77" w:rsidRPr="003425F4">
        <w:t>De mest ingripande åtgärderna., t</w:t>
      </w:r>
      <w:r w:rsidRPr="003425F4">
        <w:t>.ex. hemlig teleavlyssni</w:t>
      </w:r>
      <w:r w:rsidR="00700B77" w:rsidRPr="003425F4">
        <w:t>ng</w:t>
      </w:r>
      <w:r w:rsidRPr="003425F4">
        <w:t>. Verkställighet får vägras om det inte är tillåtet att använda åtgärden ifråga i ett liknande nationellt fall.</w:t>
      </w:r>
    </w:p>
    <w:p w:rsidR="00A145DD" w:rsidRPr="003425F4" w:rsidRDefault="00A145DD" w:rsidP="00A83E67">
      <w:pPr>
        <w:pStyle w:val="RKnormal"/>
      </w:pPr>
    </w:p>
    <w:p w:rsidR="005D2468" w:rsidRPr="003425F4" w:rsidRDefault="00A145DD" w:rsidP="00A83E67">
      <w:pPr>
        <w:pStyle w:val="RKnormal"/>
      </w:pPr>
      <w:r w:rsidRPr="003425F4">
        <w:rPr>
          <w:b/>
        </w:rPr>
        <w:t>3.</w:t>
      </w:r>
      <w:r w:rsidRPr="003425F4">
        <w:t xml:space="preserve"> Ordförandeskapet </w:t>
      </w:r>
      <w:r w:rsidR="00B97964" w:rsidRPr="003425F4">
        <w:t>vill</w:t>
      </w:r>
      <w:r w:rsidRPr="003425F4">
        <w:t xml:space="preserve"> enas om</w:t>
      </w:r>
      <w:r w:rsidR="00B72355" w:rsidRPr="003425F4">
        <w:t xml:space="preserve"> att en generell vägransgrund bö</w:t>
      </w:r>
      <w:r w:rsidRPr="003425F4">
        <w:t>r und</w:t>
      </w:r>
      <w:r w:rsidR="00B97964" w:rsidRPr="003425F4">
        <w:softHyphen/>
      </w:r>
      <w:r w:rsidRPr="003425F4">
        <w:t xml:space="preserve">vikas. </w:t>
      </w:r>
    </w:p>
    <w:p w:rsidR="005D2468" w:rsidRPr="003425F4" w:rsidRDefault="005D2468" w:rsidP="00A83E67">
      <w:pPr>
        <w:pStyle w:val="RKnormal"/>
      </w:pPr>
    </w:p>
    <w:p w:rsidR="00A145DD" w:rsidRPr="003425F4" w:rsidRDefault="00A145DD" w:rsidP="00A83E67">
      <w:pPr>
        <w:pStyle w:val="RKnormal"/>
      </w:pPr>
      <w:r w:rsidRPr="003425F4">
        <w:t>En följd av att samarbetet ska baseras på principen om ömsesidigt erkän</w:t>
      </w:r>
      <w:r w:rsidR="002D2B29" w:rsidRPr="003425F4">
        <w:softHyphen/>
      </w:r>
      <w:r w:rsidRPr="003425F4">
        <w:t>nande är att den verkställande staten i princip är skyldig att erkänna och verkställa en åtgärd, med undantag för ett begränsat antal specifika väg</w:t>
      </w:r>
      <w:r w:rsidR="002D2B29" w:rsidRPr="003425F4">
        <w:softHyphen/>
      </w:r>
      <w:r w:rsidRPr="003425F4">
        <w:t>ransgrunder</w:t>
      </w:r>
      <w:r w:rsidR="000E3201" w:rsidRPr="003425F4">
        <w:t xml:space="preserve"> vilka kommer att diskuteras under förhandlingarna av direktivet</w:t>
      </w:r>
      <w:r w:rsidRPr="003425F4">
        <w:t>. En del medlemsstater har förordat en generell vägrans</w:t>
      </w:r>
      <w:r w:rsidR="002D2B29" w:rsidRPr="003425F4">
        <w:softHyphen/>
      </w:r>
      <w:r w:rsidRPr="003425F4">
        <w:t xml:space="preserve">grund i direktivet. </w:t>
      </w:r>
    </w:p>
    <w:p w:rsidR="00907A3C" w:rsidRPr="003425F4" w:rsidRDefault="00907A3C" w:rsidP="00A83E67">
      <w:pPr>
        <w:pStyle w:val="RKnormal"/>
      </w:pPr>
    </w:p>
    <w:p w:rsidR="005D2468" w:rsidRPr="003425F4" w:rsidRDefault="00A145DD" w:rsidP="00A83E67">
      <w:pPr>
        <w:pStyle w:val="RKnormal"/>
      </w:pPr>
      <w:r w:rsidRPr="003425F4">
        <w:rPr>
          <w:b/>
        </w:rPr>
        <w:t>4 och 5.</w:t>
      </w:r>
      <w:r w:rsidR="007D481A" w:rsidRPr="003425F4">
        <w:t xml:space="preserve"> Ordförandeskapet vill</w:t>
      </w:r>
      <w:r w:rsidRPr="003425F4">
        <w:t xml:space="preserve"> enas om att frågorna om proportionalitet och kostnader är viktiga men att det är att föredra att hitta andra lösningar än specifik</w:t>
      </w:r>
      <w:r w:rsidR="005D73DD" w:rsidRPr="003425F4">
        <w:t>a vägr</w:t>
      </w:r>
      <w:r w:rsidRPr="003425F4">
        <w:t>a</w:t>
      </w:r>
      <w:r w:rsidR="005D73DD" w:rsidRPr="003425F4">
        <w:t>n</w:t>
      </w:r>
      <w:r w:rsidRPr="003425F4">
        <w:t>sgrunder</w:t>
      </w:r>
      <w:r w:rsidR="004E3D32" w:rsidRPr="003425F4">
        <w:t>.</w:t>
      </w:r>
      <w:r w:rsidR="00B72355" w:rsidRPr="003425F4">
        <w:t xml:space="preserve"> </w:t>
      </w:r>
    </w:p>
    <w:p w:rsidR="005D2468" w:rsidRPr="003425F4" w:rsidRDefault="005D2468" w:rsidP="00A83E67">
      <w:pPr>
        <w:pStyle w:val="RKnormal"/>
      </w:pPr>
    </w:p>
    <w:p w:rsidR="00907A3C" w:rsidRPr="003425F4" w:rsidRDefault="007B0EA3" w:rsidP="00A83E67">
      <w:pPr>
        <w:pStyle w:val="RKnormal"/>
      </w:pPr>
      <w:r w:rsidRPr="003425F4">
        <w:t xml:space="preserve">I förhandlingarna har en ny bestämmelse </w:t>
      </w:r>
      <w:r w:rsidR="002D2B29" w:rsidRPr="003425F4">
        <w:t xml:space="preserve">tillkommit </w:t>
      </w:r>
      <w:r w:rsidRPr="003425F4">
        <w:t>som befäster pro</w:t>
      </w:r>
      <w:r w:rsidR="002D2B29" w:rsidRPr="003425F4">
        <w:softHyphen/>
      </w:r>
      <w:r w:rsidRPr="003425F4">
        <w:t>portionalitetsprincipen</w:t>
      </w:r>
      <w:r w:rsidR="002D2B29" w:rsidRPr="003425F4">
        <w:t>.</w:t>
      </w:r>
      <w:r w:rsidRPr="003425F4">
        <w:t xml:space="preserve"> Den utfärdande staten ska utfärda en order </w:t>
      </w:r>
      <w:r w:rsidR="00CD02FE" w:rsidRPr="003425F4">
        <w:t xml:space="preserve">endast </w:t>
      </w:r>
      <w:r w:rsidRPr="003425F4">
        <w:t>om åtgärden bedöms nödvändig och proportionerlig i förhållande till den inhemska utredningen. En del medlemsstater vill dessutom in</w:t>
      </w:r>
      <w:r w:rsidR="002D2B29" w:rsidRPr="003425F4">
        <w:softHyphen/>
      </w:r>
      <w:r w:rsidRPr="003425F4">
        <w:t>föra proportionalitet som en vägransgrund för den verkställande myn</w:t>
      </w:r>
      <w:r w:rsidR="002D2B29" w:rsidRPr="003425F4">
        <w:softHyphen/>
      </w:r>
      <w:r w:rsidRPr="003425F4">
        <w:t xml:space="preserve">digheten. </w:t>
      </w:r>
    </w:p>
    <w:p w:rsidR="00907A3C" w:rsidRPr="003425F4" w:rsidRDefault="00907A3C" w:rsidP="00A83E67">
      <w:pPr>
        <w:pStyle w:val="RKnormal"/>
      </w:pPr>
    </w:p>
    <w:p w:rsidR="00A145DD" w:rsidRPr="003425F4" w:rsidRDefault="00951B0B" w:rsidP="00A83E67">
      <w:pPr>
        <w:pStyle w:val="RKnormal"/>
      </w:pPr>
      <w:r w:rsidRPr="003425F4">
        <w:t>Vad gäller frågan om kostnader för verkställighet har en del medlems</w:t>
      </w:r>
      <w:r w:rsidR="00907A3C" w:rsidRPr="003425F4">
        <w:softHyphen/>
      </w:r>
      <w:r w:rsidRPr="003425F4">
        <w:t>stater förespråkat en vägransgrund med hänvisning till orimliga kost</w:t>
      </w:r>
      <w:r w:rsidR="00A06490" w:rsidRPr="003425F4">
        <w:softHyphen/>
      </w:r>
      <w:r w:rsidRPr="003425F4">
        <w:t xml:space="preserve">nader för den verkställande staten. Ordförandeskapet </w:t>
      </w:r>
      <w:r w:rsidR="00DA3E57" w:rsidRPr="003425F4">
        <w:t>menar att en sådan vägransgrund skulle ge alltför stor diskretion åt den verkställande myndigheten.</w:t>
      </w:r>
    </w:p>
    <w:bookmarkEnd w:id="1"/>
    <w:p w:rsidR="00496926" w:rsidRPr="003425F4" w:rsidRDefault="00496926">
      <w:pPr>
        <w:pStyle w:val="RKrubrik"/>
      </w:pPr>
      <w:r w:rsidRPr="003425F4">
        <w:t>Rättslig grund och beslutsförfarande</w:t>
      </w:r>
    </w:p>
    <w:p w:rsidR="00496926" w:rsidRPr="003425F4" w:rsidRDefault="00A20F02">
      <w:pPr>
        <w:pStyle w:val="RKnormal"/>
      </w:pPr>
      <w:r w:rsidRPr="003425F4">
        <w:t>Det föreslagna direktivet grundar sig på artikel 82.1 a i EUF-fördraget och har lagts fram av en grupp medlemsstater som utgör (minst) en fjärdedel av medlemsstaterna i enlighet med artikel 76 b, samma fördr</w:t>
      </w:r>
      <w:r w:rsidR="00635CA4" w:rsidRPr="003425F4">
        <w:t>ag. Texten har översänts</w:t>
      </w:r>
      <w:r w:rsidRPr="003425F4">
        <w:t xml:space="preserve"> till Europaparlamentet och kommissionen inom ramen för unionens ordinarie lagstiftningsförfarande enligt artik</w:t>
      </w:r>
      <w:r w:rsidR="00635CA4" w:rsidRPr="003425F4">
        <w:t>el 294 EUF-fördraget. Texten har också översänt</w:t>
      </w:r>
      <w:r w:rsidRPr="003425F4">
        <w:t>s till medlemsstaternas na</w:t>
      </w:r>
      <w:r w:rsidR="002D2B29" w:rsidRPr="003425F4">
        <w:softHyphen/>
      </w:r>
      <w:r w:rsidRPr="003425F4">
        <w:t>tionella parlament med tillämpning av artikel 2 i protokollet om de na</w:t>
      </w:r>
      <w:r w:rsidR="002D2B29" w:rsidRPr="003425F4">
        <w:softHyphen/>
      </w:r>
      <w:r w:rsidRPr="003425F4">
        <w:t>tionella parlamentens roll i Europeiska unionen och artikel 4 i proto</w:t>
      </w:r>
      <w:r w:rsidR="002D2B29" w:rsidRPr="003425F4">
        <w:softHyphen/>
      </w:r>
      <w:r w:rsidRPr="003425F4">
        <w:t>kollet om tillämpning av subsidiaritets- och proportionalitetsprinciperna till Lissabonfördraget, så att det blir möjligt att bedöma initiativets för</w:t>
      </w:r>
      <w:r w:rsidR="002D2B29" w:rsidRPr="003425F4">
        <w:softHyphen/>
      </w:r>
      <w:r w:rsidRPr="003425F4">
        <w:t xml:space="preserve">enlighet med subsidiaritetsprincipen. </w:t>
      </w:r>
      <w:r w:rsidR="00635CA4" w:rsidRPr="003425F4">
        <w:t xml:space="preserve">Av utdrag ur protokoll från utskottssammanträde 2009/10:39 framgår att Justitieutskottet ansåg att förslaget inte strider mot subsidiaritetsprincipen. </w:t>
      </w:r>
    </w:p>
    <w:p w:rsidR="00496926" w:rsidRPr="003425F4" w:rsidRDefault="00496926">
      <w:pPr>
        <w:pStyle w:val="RKrubrik"/>
        <w:rPr>
          <w:i/>
          <w:iCs/>
        </w:rPr>
      </w:pPr>
      <w:r w:rsidRPr="003425F4">
        <w:rPr>
          <w:i/>
          <w:iCs/>
        </w:rPr>
        <w:t>Svensk ståndpunkt</w:t>
      </w:r>
    </w:p>
    <w:p w:rsidR="00A4529B" w:rsidRPr="003425F4" w:rsidRDefault="00DA3E57">
      <w:pPr>
        <w:pStyle w:val="RKnormal"/>
      </w:pPr>
      <w:r w:rsidRPr="003425F4">
        <w:t>Sverige</w:t>
      </w:r>
      <w:r w:rsidR="00A20F02" w:rsidRPr="003425F4">
        <w:t xml:space="preserve"> är positiv</w:t>
      </w:r>
      <w:r w:rsidRPr="003425F4">
        <w:t>t</w:t>
      </w:r>
      <w:r w:rsidR="00A20F02" w:rsidRPr="003425F4">
        <w:t xml:space="preserve"> till direktivets syfte, dvs. att effektivisera och förbättra det rättsliga samarbetet inom EU när det gäller bevisinhämtning i straff</w:t>
      </w:r>
      <w:r w:rsidR="002D2B29" w:rsidRPr="003425F4">
        <w:softHyphen/>
      </w:r>
      <w:r w:rsidR="00A20F02" w:rsidRPr="003425F4">
        <w:t>rättsliga förfaranden. Förbättrade möjligheter för de brottsutredande myndigheterna bidrar till en förbätt</w:t>
      </w:r>
      <w:r w:rsidRPr="003425F4">
        <w:t>rad brottsbekämpning. Sverige</w:t>
      </w:r>
      <w:r w:rsidR="00A20F02" w:rsidRPr="003425F4">
        <w:t xml:space="preserve"> är vidare positiv</w:t>
      </w:r>
      <w:r w:rsidRPr="003425F4">
        <w:t>t</w:t>
      </w:r>
      <w:r w:rsidR="00A20F02" w:rsidRPr="003425F4">
        <w:t xml:space="preserve"> till ett enhetligt instrument med en heltäckande reglering som bygger på principen om ömsesidigt erkännande men även tar hän</w:t>
      </w:r>
      <w:r w:rsidR="002D2B29" w:rsidRPr="003425F4">
        <w:softHyphen/>
      </w:r>
      <w:r w:rsidR="00A20F02" w:rsidRPr="003425F4">
        <w:t xml:space="preserve">syn till </w:t>
      </w:r>
      <w:r w:rsidR="002D2B29" w:rsidRPr="003425F4">
        <w:t xml:space="preserve">den </w:t>
      </w:r>
      <w:r w:rsidR="00A20F02" w:rsidRPr="003425F4">
        <w:t xml:space="preserve">flexibilitet </w:t>
      </w:r>
      <w:r w:rsidR="002D2B29" w:rsidRPr="003425F4">
        <w:t xml:space="preserve">som finns i samarbetet som sker med stöd av </w:t>
      </w:r>
      <w:r w:rsidR="00A20F02" w:rsidRPr="003425F4">
        <w:t>traditionell rättslig hjälp. Förslaget har många fördelar jämfört med vad som gäller i dag, med bl.a. ti</w:t>
      </w:r>
      <w:r w:rsidR="00694BD6" w:rsidRPr="003425F4">
        <w:t>dsfrister för verkställighet</w:t>
      </w:r>
      <w:r w:rsidR="00A20F02" w:rsidRPr="003425F4">
        <w:t>. De olika typerna av inhämtande av bevis, dvs. de olika straffprocessuella tvångsmedel som används, kräver dock en reglering som tar hänsyn till deras olika karaktär och skilda förutsättningar. Det är också av stor vikt att regleringen ut</w:t>
      </w:r>
      <w:r w:rsidR="002D2B29" w:rsidRPr="003425F4">
        <w:softHyphen/>
      </w:r>
      <w:r w:rsidR="00A20F02" w:rsidRPr="003425F4">
        <w:t>formas på ett flexibelt och ändamålsenligt sätt, som skapar förutsättning</w:t>
      </w:r>
      <w:r w:rsidR="002D2B29" w:rsidRPr="003425F4">
        <w:softHyphen/>
      </w:r>
      <w:r w:rsidR="00A20F02" w:rsidRPr="003425F4">
        <w:t>ar för att den ska kunna tillämpas effektivt.</w:t>
      </w:r>
      <w:r w:rsidR="00A4529B" w:rsidRPr="003425F4">
        <w:t xml:space="preserve"> </w:t>
      </w:r>
    </w:p>
    <w:p w:rsidR="00DA3E57" w:rsidRPr="003425F4" w:rsidRDefault="00DA3E57">
      <w:pPr>
        <w:pStyle w:val="RKnormal"/>
      </w:pPr>
    </w:p>
    <w:p w:rsidR="00DA3E57" w:rsidRPr="003425F4" w:rsidRDefault="00DA3E57">
      <w:pPr>
        <w:pStyle w:val="RKnormal"/>
      </w:pPr>
      <w:r w:rsidRPr="003425F4">
        <w:t>Sverige kan stödja ordförandeskapet o</w:t>
      </w:r>
      <w:r w:rsidR="00CD02FE" w:rsidRPr="003425F4">
        <w:t xml:space="preserve">ch majoriteten av </w:t>
      </w:r>
      <w:r w:rsidR="008B3A22" w:rsidRPr="003425F4">
        <w:t xml:space="preserve">medlemsstaterna </w:t>
      </w:r>
      <w:r w:rsidRPr="003425F4">
        <w:t>vad gäller samtliga nu upptagna frågeställningar</w:t>
      </w:r>
      <w:r w:rsidR="002D2B29" w:rsidRPr="003425F4">
        <w:t xml:space="preserve"> (</w:t>
      </w:r>
      <w:r w:rsidR="00A06490" w:rsidRPr="003425F4">
        <w:rPr>
          <w:b/>
        </w:rPr>
        <w:t xml:space="preserve">fråga </w:t>
      </w:r>
      <w:r w:rsidR="002D2B29" w:rsidRPr="003425F4">
        <w:rPr>
          <w:b/>
        </w:rPr>
        <w:t>1–5</w:t>
      </w:r>
      <w:r w:rsidR="002D2B29" w:rsidRPr="003425F4">
        <w:t>)</w:t>
      </w:r>
      <w:r w:rsidRPr="003425F4">
        <w:t>.</w:t>
      </w:r>
    </w:p>
    <w:p w:rsidR="00DA3E57" w:rsidRPr="003425F4" w:rsidRDefault="00DA3E57">
      <w:pPr>
        <w:pStyle w:val="RKnormal"/>
      </w:pPr>
    </w:p>
    <w:p w:rsidR="00DA3E57" w:rsidRPr="003425F4" w:rsidRDefault="00DA3E57" w:rsidP="00DA3E57">
      <w:pPr>
        <w:pStyle w:val="RKnormal"/>
      </w:pPr>
      <w:r w:rsidRPr="003425F4">
        <w:t xml:space="preserve">Det är givet att den vägledande principen i förhandlingarna om direktivet fortsatt ska vara att hitta lösningar beträffande olika aspekter, som </w:t>
      </w:r>
      <w:r w:rsidR="00CD02FE" w:rsidRPr="003425F4">
        <w:t xml:space="preserve">i vart fall </w:t>
      </w:r>
      <w:r w:rsidRPr="003425F4">
        <w:t>inte försämrar dagens samarbete mellan berörda myndigheter</w:t>
      </w:r>
      <w:r w:rsidR="002D2B29" w:rsidRPr="003425F4">
        <w:t xml:space="preserve"> (</w:t>
      </w:r>
      <w:r w:rsidR="002D2B29" w:rsidRPr="003425F4">
        <w:rPr>
          <w:b/>
        </w:rPr>
        <w:t>fråga 1</w:t>
      </w:r>
      <w:r w:rsidR="002D2B29" w:rsidRPr="003425F4">
        <w:t>)</w:t>
      </w:r>
      <w:r w:rsidRPr="003425F4">
        <w:t>.</w:t>
      </w:r>
    </w:p>
    <w:p w:rsidR="00DA3E57" w:rsidRPr="003425F4" w:rsidRDefault="00DA3E57">
      <w:pPr>
        <w:pStyle w:val="RKnormal"/>
      </w:pPr>
    </w:p>
    <w:p w:rsidR="00F7234A" w:rsidRPr="003425F4" w:rsidRDefault="00CE4FD9" w:rsidP="00CE4FD9">
      <w:pPr>
        <w:pStyle w:val="RKnormal"/>
      </w:pPr>
      <w:r w:rsidRPr="003425F4">
        <w:t xml:space="preserve">Sverige kan vidare stödja ordförandeskapets förslag att </w:t>
      </w:r>
      <w:r w:rsidR="008B3A22" w:rsidRPr="003425F4">
        <w:t xml:space="preserve">försöka dela upp </w:t>
      </w:r>
      <w:r w:rsidRPr="003425F4">
        <w:t>de olika utredningsåtgärderna, med hänsyn tagen till hur ingripande de är, i syfte att begränsa skälen för vägran till vad som är nödvändigt för respektive åtgärd</w:t>
      </w:r>
      <w:r w:rsidR="00907A3C" w:rsidRPr="003425F4">
        <w:t xml:space="preserve"> (</w:t>
      </w:r>
      <w:r w:rsidR="00907A3C" w:rsidRPr="003425F4">
        <w:rPr>
          <w:b/>
        </w:rPr>
        <w:t>fråga 2</w:t>
      </w:r>
      <w:r w:rsidR="00907A3C" w:rsidRPr="003425F4">
        <w:t>)</w:t>
      </w:r>
      <w:r w:rsidRPr="003425F4">
        <w:t>.</w:t>
      </w:r>
    </w:p>
    <w:p w:rsidR="00CE4FD9" w:rsidRPr="003425F4" w:rsidRDefault="00CE4FD9" w:rsidP="00CE4FD9">
      <w:pPr>
        <w:pStyle w:val="RKnormal"/>
      </w:pPr>
      <w:r w:rsidRPr="003425F4">
        <w:t xml:space="preserve"> </w:t>
      </w:r>
    </w:p>
    <w:p w:rsidR="00907A3C" w:rsidRPr="003425F4" w:rsidRDefault="00907A3C" w:rsidP="00907A3C">
      <w:pPr>
        <w:pStyle w:val="RKnormal"/>
      </w:pPr>
      <w:r w:rsidRPr="003425F4">
        <w:t>Sverige vill som ordförandeskapet undvika en generell vägransgrund (</w:t>
      </w:r>
      <w:r w:rsidRPr="003425F4">
        <w:rPr>
          <w:b/>
        </w:rPr>
        <w:t>fråga 3</w:t>
      </w:r>
      <w:r w:rsidRPr="003425F4">
        <w:t>). En sådan vägransgrund skulle strida mot principen om ömse</w:t>
      </w:r>
      <w:r w:rsidRPr="003425F4">
        <w:softHyphen/>
        <w:t>sidigt erkännande.</w:t>
      </w:r>
    </w:p>
    <w:p w:rsidR="00907A3C" w:rsidRPr="003425F4" w:rsidRDefault="00907A3C" w:rsidP="00CE4FD9">
      <w:pPr>
        <w:pStyle w:val="RKnormal"/>
      </w:pPr>
    </w:p>
    <w:p w:rsidR="00DA3E57" w:rsidRPr="003425F4" w:rsidRDefault="00CE4FD9">
      <w:pPr>
        <w:pStyle w:val="RKnormal"/>
      </w:pPr>
      <w:r w:rsidRPr="003425F4">
        <w:t>Frågorna om proportionalitet och kostnader är viktiga</w:t>
      </w:r>
      <w:r w:rsidR="00907A3C" w:rsidRPr="003425F4">
        <w:t xml:space="preserve"> (</w:t>
      </w:r>
      <w:r w:rsidR="00907A3C" w:rsidRPr="003425F4">
        <w:rPr>
          <w:b/>
        </w:rPr>
        <w:t>fråga 4 och 5</w:t>
      </w:r>
      <w:r w:rsidR="00907A3C" w:rsidRPr="003425F4">
        <w:t>)</w:t>
      </w:r>
      <w:r w:rsidRPr="003425F4">
        <w:t>. Sverige delar ordförandeskapets uppfattning att det är att föredra att hitta andra lösningar än specifika vägransgrunder. Proportionalitetsbe</w:t>
      </w:r>
      <w:r w:rsidR="00907A3C" w:rsidRPr="003425F4">
        <w:softHyphen/>
      </w:r>
      <w:r w:rsidRPr="003425F4">
        <w:t>dömningen bör göras av den utfärdande myndigheten</w:t>
      </w:r>
      <w:r w:rsidR="00CD02FE" w:rsidRPr="003425F4">
        <w:t xml:space="preserve"> såsom föreslås</w:t>
      </w:r>
      <w:r w:rsidR="000E3201" w:rsidRPr="003425F4">
        <w:t xml:space="preserve">. </w:t>
      </w:r>
      <w:r w:rsidR="00907A3C" w:rsidRPr="003425F4">
        <w:t>En vägransgrund</w:t>
      </w:r>
      <w:r w:rsidR="003D61C2" w:rsidRPr="003425F4">
        <w:t xml:space="preserve"> med hänvisning till proportionalitet</w:t>
      </w:r>
      <w:r w:rsidR="00907A3C" w:rsidRPr="003425F4">
        <w:t xml:space="preserve"> skulle underminera EU-samarbetet med ömsesidigt erkännande och det ömsesidiga förtroendet. </w:t>
      </w:r>
      <w:r w:rsidR="008B3A22" w:rsidRPr="003425F4">
        <w:t xml:space="preserve">Det är inte möjligt idag att vägra verkställighet av kostnadsskäl. </w:t>
      </w:r>
      <w:r w:rsidRPr="003425F4">
        <w:t>Det vore en nyhet i samarbetet mellan medlemsstaterna och ett steg bakåt i utveck</w:t>
      </w:r>
      <w:r w:rsidR="00907A3C" w:rsidRPr="003425F4">
        <w:softHyphen/>
        <w:t xml:space="preserve">lingen och Sverige stödjer ordförandeskapets syn på frågan. </w:t>
      </w:r>
    </w:p>
    <w:p w:rsidR="00496926" w:rsidRPr="003425F4" w:rsidRDefault="00496926">
      <w:pPr>
        <w:pStyle w:val="RKrubrik"/>
      </w:pPr>
      <w:r w:rsidRPr="003425F4">
        <w:t>Europaparlamentets inställning</w:t>
      </w:r>
    </w:p>
    <w:p w:rsidR="00496926" w:rsidRPr="003425F4" w:rsidRDefault="00255B3E">
      <w:pPr>
        <w:pStyle w:val="RKnormal"/>
      </w:pPr>
      <w:r w:rsidRPr="003425F4">
        <w:t>Europaparlamentet</w:t>
      </w:r>
      <w:r w:rsidR="00A20F02" w:rsidRPr="003425F4">
        <w:t xml:space="preserve"> har ännu inte behandlat förslaget.</w:t>
      </w:r>
      <w:r w:rsidR="000E3201" w:rsidRPr="003425F4">
        <w:t xml:space="preserve"> </w:t>
      </w:r>
    </w:p>
    <w:p w:rsidR="00A16757" w:rsidRPr="003425F4" w:rsidRDefault="00496926" w:rsidP="00A16757">
      <w:pPr>
        <w:pStyle w:val="RKrubrik"/>
        <w:rPr>
          <w:i/>
          <w:iCs/>
        </w:rPr>
      </w:pPr>
      <w:r w:rsidRPr="003425F4">
        <w:t>Förslaget</w:t>
      </w:r>
    </w:p>
    <w:p w:rsidR="00FD46F6" w:rsidRPr="003425F4" w:rsidRDefault="00FD46F6" w:rsidP="00FD46F6">
      <w:pPr>
        <w:pStyle w:val="RKnormal"/>
      </w:pPr>
      <w:r w:rsidRPr="003425F4">
        <w:t>Direktivet om den europeiska utredningsordern syftar till att ge en samlad reglering för all bevisinhämtning i det straffrättsliga samarbetet mellan medlemsstaterna. En europeisk utredningsorder ska utfärdas så att en eller flera utredningsåtgärder kan vidtas i bevisinhämtningssyfte i den verkställande staten. Detta omfattar inhämtande av bevis som den verkställande myndigheten redan har i sin besittning men även inhämt</w:t>
      </w:r>
      <w:r w:rsidR="00A06490" w:rsidRPr="003425F4">
        <w:softHyphen/>
      </w:r>
      <w:r w:rsidRPr="003425F4">
        <w:t>ande av ny bevisning, t.ex. beslag, förhör och hemlig teleavlyssning. Förslaget är i princip grundat på en skyldighet för den verkställande staten att erkänna och verkställa en utredningsorder. Det föreslås emellertid också vissa vägransgrunder samt möjligheter för den verk</w:t>
      </w:r>
      <w:r w:rsidR="00A06490" w:rsidRPr="003425F4">
        <w:softHyphen/>
      </w:r>
      <w:r w:rsidRPr="003425F4">
        <w:t xml:space="preserve">ställande staten att tillämpa </w:t>
      </w:r>
      <w:r w:rsidR="0077176A" w:rsidRPr="003425F4">
        <w:t xml:space="preserve">nationella </w:t>
      </w:r>
      <w:r w:rsidRPr="003425F4">
        <w:t>villkor som gäller för motsvarande åtgärd. Direktivet innehåller också bestämmelser om tidsfrister för verk</w:t>
      </w:r>
      <w:r w:rsidR="00A06490" w:rsidRPr="003425F4">
        <w:softHyphen/>
      </w:r>
      <w:r w:rsidRPr="003425F4">
        <w:t>ställighet och den europeiska utredningsorderns innehåll och form.</w:t>
      </w:r>
      <w:r w:rsidR="00C337A2" w:rsidRPr="003425F4">
        <w:t xml:space="preserve"> </w:t>
      </w:r>
      <w:r w:rsidRPr="003425F4">
        <w:t>I direktivet ges vidare ytterligare, mer detaljerade, regler för vissa typer av utredningsåtgärder, såsom t.ex. tillfälligt överförande av frihetsberövade personer i utredningssyfte eller hörande genom video- och telefonkon</w:t>
      </w:r>
      <w:r w:rsidR="00A06490" w:rsidRPr="003425F4">
        <w:softHyphen/>
      </w:r>
      <w:r w:rsidRPr="003425F4">
        <w:t>ferens. Ett antal utredningsåtgärder är undantagna från tillämpningsom</w:t>
      </w:r>
      <w:r w:rsidR="00A06490" w:rsidRPr="003425F4">
        <w:softHyphen/>
      </w:r>
      <w:r w:rsidRPr="003425F4">
        <w:t>rådet, såsom t.ex. inrättandet av gemensam utredningsgrupp.</w:t>
      </w:r>
      <w:r w:rsidR="00D872D2" w:rsidRPr="003425F4">
        <w:t xml:space="preserve"> </w:t>
      </w:r>
    </w:p>
    <w:p w:rsidR="00496926" w:rsidRPr="003425F4" w:rsidRDefault="00496926">
      <w:pPr>
        <w:pStyle w:val="RKrubrik"/>
        <w:rPr>
          <w:i/>
          <w:iCs/>
        </w:rPr>
      </w:pPr>
      <w:r w:rsidRPr="003425F4">
        <w:rPr>
          <w:i/>
          <w:iCs/>
        </w:rPr>
        <w:t>Gällande svenska regler och förslagets effekter på dessa</w:t>
      </w:r>
    </w:p>
    <w:p w:rsidR="00C27F13" w:rsidRPr="003425F4" w:rsidRDefault="00C27F13" w:rsidP="00C27F13">
      <w:pPr>
        <w:pStyle w:val="RKnormal"/>
      </w:pPr>
      <w:r w:rsidRPr="003425F4">
        <w:t>Det finns flera lagar som innehåller bestämmelser om internationellt rättsligt samarbete. Av särskilt intresse i detta sammanhang är bestäm</w:t>
      </w:r>
      <w:r w:rsidR="00012428" w:rsidRPr="003425F4">
        <w:softHyphen/>
      </w:r>
      <w:r w:rsidRPr="003425F4">
        <w:t>melserna i lagen (2000:562) om internationell rättslig hjälp i brottmål. Bestäm</w:t>
      </w:r>
      <w:r w:rsidRPr="003425F4">
        <w:softHyphen/>
        <w:t>melserna bygger i stor utsträckning på 1959 års europeiska konvention om ömsesidig rättslig hjälp i brottmål och dess protokoll från år 1978. Vidare genomför lagen Schengenkonventionens bestäm</w:t>
      </w:r>
      <w:r w:rsidR="00012428" w:rsidRPr="003425F4">
        <w:softHyphen/>
      </w:r>
      <w:r w:rsidRPr="003425F4">
        <w:t>melser om rättslig hjälp i brottmål samt vissa bestämmelser i EU:s kon</w:t>
      </w:r>
      <w:r w:rsidR="00012428" w:rsidRPr="003425F4">
        <w:softHyphen/>
      </w:r>
      <w:r w:rsidRPr="003425F4">
        <w:t>vention från år 2000 om ömse</w:t>
      </w:r>
      <w:r w:rsidRPr="003425F4">
        <w:softHyphen/>
        <w:t xml:space="preserve">sidig rättslig hjälp i brottmål och dess tilläggsprotokoll från år 2001. Dessa bestämmelser bygger på den traditionella formen av rättslig hjälp. </w:t>
      </w:r>
    </w:p>
    <w:p w:rsidR="00D33394" w:rsidRPr="003425F4" w:rsidRDefault="00D33394" w:rsidP="00C27F13">
      <w:pPr>
        <w:pStyle w:val="RKnormal"/>
      </w:pPr>
    </w:p>
    <w:p w:rsidR="00C27F13" w:rsidRPr="003425F4" w:rsidRDefault="00C27F13" w:rsidP="00C27F13">
      <w:pPr>
        <w:pStyle w:val="RKnormal"/>
      </w:pPr>
      <w:r w:rsidRPr="003425F4">
        <w:t>Lagen om internationell rättslig hjälp i brottmål innehåller bestämmelser om rättslig hjälp som svenska åklagare och domstolar kan lämna på ut</w:t>
      </w:r>
      <w:r w:rsidR="00012428" w:rsidRPr="003425F4">
        <w:softHyphen/>
      </w:r>
      <w:r w:rsidRPr="003425F4">
        <w:t>ländsk begäran eller begära utomlands. Rättslig hjälp enligt denna lag omfattar bl.a. åtgärder som förhör i samband med förundersökning i brottmål, bevisupptagning vid domstol, telefonförhör, förhör genom videokonferens, kvarstad, beslag samt husrannsakan och andra åtgärder som avses i 28 kap. rättegångsbalken, hemlig teleavlyssning och hemlig teleövervakning, överförande av frihetsberövande för förhör m.m. En grundtanke är att alla åtgärder som kan vidtas i en svensk förunder</w:t>
      </w:r>
      <w:r w:rsidR="00012428" w:rsidRPr="003425F4">
        <w:softHyphen/>
      </w:r>
      <w:r w:rsidRPr="003425F4">
        <w:t>sökning eller rättegång också ska kunna vidtas för att bistå utländska myndigheter. Åtgärderna ska då lämnas under i huvudsak samma för</w:t>
      </w:r>
      <w:r w:rsidR="00012428" w:rsidRPr="003425F4">
        <w:softHyphen/>
      </w:r>
      <w:r w:rsidRPr="003425F4">
        <w:t>utsättningar som vid en svensk förundersökning eller rättegång, dvs. huvudsakligen enligt rättegångsbalkens bestämmelser om inhämtande av bevisning. För åtgärder som innebär användande av tvångsåtgärder gäller ett generellt krav på dubbel straffbarhet. Ett undantag från detta krav gäller dock för beslag och husrannsakan som sker på begäran av bl.a. en medlemsstat i EU. Svenska ansökningar om rättslig hjälp följer i huvud</w:t>
      </w:r>
      <w:r w:rsidR="00012428" w:rsidRPr="003425F4">
        <w:softHyphen/>
      </w:r>
      <w:r w:rsidRPr="003425F4">
        <w:t>sak de regler som gäller i den anmodade staten och i lagen finns därför bara några grundläggande bestämmelser för dessa fall. Lagen innehåller ett antal obligatoriska respektive fakultativa avslagsgrunder, vilka överensstämmer med de internationella förpliktelser som Sverige har åtagit sig. Vissa förfaranderegler finns i lagen och i övrigt ska samma förfarande tillämpas som när en motsvarande åtgärd vidtas i en svensk förundersökning eller rättegång. För rättslig hjälp med beslag, överläm</w:t>
      </w:r>
      <w:r w:rsidR="00012428" w:rsidRPr="003425F4">
        <w:softHyphen/>
      </w:r>
      <w:r w:rsidRPr="003425F4">
        <w:t>nande av egendom som har tagits i beslag till en annan stat samt husrann</w:t>
      </w:r>
      <w:r w:rsidR="00012428" w:rsidRPr="003425F4">
        <w:softHyphen/>
      </w:r>
      <w:r w:rsidRPr="003425F4">
        <w:t xml:space="preserve">sakan och andra åtgärder som avses i 28 kap. rättegångsbalken, t.ex. kroppsvisitation, finns särskilda bestämmelser. Ansökningar om sådana åtgärder i Sverige handläggs av åklagare och prövas i vissa fall av domstol. Det är alltid domstol som prövar om ett beslag är lagligen grundat och om egendomen ska överlämnas till den ansökande staten. Beslutet att överlämna beslagtagen egendom till en annan stat verkställs av åklagaren. </w:t>
      </w:r>
    </w:p>
    <w:p w:rsidR="00D33394" w:rsidRPr="003425F4" w:rsidRDefault="00D33394" w:rsidP="00C27F13">
      <w:pPr>
        <w:pStyle w:val="RKnormal"/>
      </w:pPr>
    </w:p>
    <w:p w:rsidR="00C27F13" w:rsidRPr="003425F4" w:rsidRDefault="00C27F13" w:rsidP="00C27F13">
      <w:pPr>
        <w:pStyle w:val="RKnormal"/>
      </w:pPr>
      <w:r w:rsidRPr="003425F4">
        <w:t>När det gäller inhämtande av information angående bankkonton och banktransaktioner finns det i ett flertal lagar, t.ex. enligt 1 kap. 11 § lagen (2004:297) om bank- och finansieringsrörelse en skyldighet för t.ex. ett kreditinstitut att lämna ut uppgifter om enskildas förhållanden till insti</w:t>
      </w:r>
      <w:r w:rsidR="00012428" w:rsidRPr="003425F4">
        <w:softHyphen/>
      </w:r>
      <w:r w:rsidRPr="003425F4">
        <w:t>tutet, om det under en utredning enligt bestämmelserna om förunder</w:t>
      </w:r>
      <w:r w:rsidR="00012428" w:rsidRPr="003425F4">
        <w:softHyphen/>
      </w:r>
      <w:r w:rsidRPr="003425F4">
        <w:t>sökning i brottmål begärs av undersökningsledare eller om det i ett ärende om rättslig hjälp i brottmål på framställning av en annan stat eller en mellanfolklig domstol begärs av åklagare.</w:t>
      </w:r>
    </w:p>
    <w:p w:rsidR="00D33394" w:rsidRPr="003425F4" w:rsidRDefault="00D33394" w:rsidP="00C27F13">
      <w:pPr>
        <w:pStyle w:val="RKnormal"/>
      </w:pPr>
    </w:p>
    <w:p w:rsidR="00C27F13" w:rsidRPr="003425F4" w:rsidRDefault="00C27F13" w:rsidP="00C27F13">
      <w:pPr>
        <w:pStyle w:val="RKnormal"/>
      </w:pPr>
      <w:r w:rsidRPr="003425F4">
        <w:t xml:space="preserve">Av intresse är också reglerna i lagen (2005:500) om erkännande och verkställighet inom Europeiska unionen av frysningsbeslut, som utgår från principen om ömsesidigt erkännande. Lagen reglerar både beslut om frysning som meddelas i Sverige och erkännande och verkställighet här av frysningsbeslut som har översänts hit från andra medlemsstater. Med frysningsbeslut avses i lagen sådana beslut som har fattats i syfte att säkra bevismaterial eller verkställighet av förverkandebeslut, för svensk del närmast beslag eller kvarstad som har meddelats i ett sådant syfte. </w:t>
      </w:r>
    </w:p>
    <w:p w:rsidR="00496926" w:rsidRPr="003425F4" w:rsidRDefault="00C27F13">
      <w:pPr>
        <w:pStyle w:val="RKnormal"/>
      </w:pPr>
      <w:r w:rsidRPr="003425F4">
        <w:t>Samarbetet mellan EU:s medlemsstater bygger huvudsakligen på ömse</w:t>
      </w:r>
      <w:r w:rsidR="00B3309A" w:rsidRPr="003425F4">
        <w:softHyphen/>
      </w:r>
      <w:r w:rsidRPr="003425F4">
        <w:t>sidig rättslig hjälp. Detta gäller även den svenska lagstiftningen. Direk</w:t>
      </w:r>
      <w:r w:rsidR="00B3309A" w:rsidRPr="003425F4">
        <w:softHyphen/>
      </w:r>
      <w:r w:rsidRPr="003425F4">
        <w:t>tivet föreslår ett i princip heltäckande system för straffrättsligt samar</w:t>
      </w:r>
      <w:r w:rsidR="00B3309A" w:rsidRPr="003425F4">
        <w:softHyphen/>
      </w:r>
      <w:r w:rsidRPr="003425F4">
        <w:t>bete med bevisinhämtning som i stället bygger på principen om ömse</w:t>
      </w:r>
      <w:r w:rsidR="00B3309A" w:rsidRPr="003425F4">
        <w:softHyphen/>
      </w:r>
      <w:r w:rsidRPr="003425F4">
        <w:t>sidigt erkännande. Den nya ordning för europeiskt samarbete om bevis</w:t>
      </w:r>
      <w:r w:rsidR="00B3309A" w:rsidRPr="003425F4">
        <w:softHyphen/>
      </w:r>
      <w:r w:rsidRPr="003425F4">
        <w:t>inhämtning som föreslås i direktivet kommer således att kräva genom</w:t>
      </w:r>
      <w:r w:rsidR="00B3309A" w:rsidRPr="003425F4">
        <w:softHyphen/>
      </w:r>
      <w:r w:rsidRPr="003425F4">
        <w:t>gripande förändringar i svensk lagstiftning. Det är emellertid i mycket formerna för samarbetet, inte dess materiella innehåll i något grund</w:t>
      </w:r>
      <w:r w:rsidR="00B3309A" w:rsidRPr="003425F4">
        <w:softHyphen/>
      </w:r>
      <w:r w:rsidRPr="003425F4">
        <w:t>läggande avseende, som förändras genom direktivet. De åtaganden som följer av direktivet innebär inte några principiella svårigheter för svensk del. Däremot medför direktivet övergången till en ny form av samarbete och vissa processuella nyheter. Det kommer därför att krävas lagstiftning för att reglera förfarandet för den delvis nya samarbetsformen. Den tryck- och yttrandefrihetsrättsliga regleringen i tryckfrihetsförordningen och yttrandefrihetsgrundlagen påverkas däremot inte av förslaget.</w:t>
      </w:r>
    </w:p>
    <w:p w:rsidR="00496926" w:rsidRPr="003425F4" w:rsidRDefault="00C27F13">
      <w:pPr>
        <w:pStyle w:val="RKrubrik"/>
      </w:pPr>
      <w:r w:rsidRPr="003425F4">
        <w:t>Ekonomiska konsekvenser</w:t>
      </w:r>
    </w:p>
    <w:p w:rsidR="00A20F02" w:rsidRPr="003425F4" w:rsidRDefault="00A20F02" w:rsidP="00A20F02">
      <w:pPr>
        <w:pStyle w:val="RKnormal"/>
      </w:pPr>
      <w:r w:rsidRPr="003425F4">
        <w:t>Direktivet är avsett att effektivisera och förbättra det rättsliga samarbetet inom EU när det gäller bevisinhämtning i straffrättsliga förfaranden. Förbättrade möjligheter för de brottsutredande myndigheterna bidrar till en förbättrad brottsbekämpning, vilket i sig kan medföra positiva sam</w:t>
      </w:r>
      <w:r w:rsidR="00B3309A" w:rsidRPr="003425F4">
        <w:softHyphen/>
      </w:r>
      <w:r w:rsidRPr="003425F4">
        <w:t xml:space="preserve">hällsekonomiska konsekvenser. </w:t>
      </w:r>
    </w:p>
    <w:p w:rsidR="00496926" w:rsidRPr="003425F4" w:rsidRDefault="00A20F02">
      <w:pPr>
        <w:pStyle w:val="RKnormal"/>
      </w:pPr>
      <w:r w:rsidRPr="003425F4">
        <w:t>Det är fråga om åtgärder som staterna redan i dag bistår varandra med, men som nu ska genomföras på ett annat sätt. Den nya samarbetsformen är avsedd att vara enklare, snabbare och mer effektiv än dagens samarbe</w:t>
      </w:r>
      <w:r w:rsidR="00B3309A" w:rsidRPr="003425F4">
        <w:softHyphen/>
      </w:r>
      <w:r w:rsidRPr="003425F4">
        <w:t>te. Det gäller de berörda myndigheternas arbete såväl när de begär ut</w:t>
      </w:r>
      <w:r w:rsidR="00B3309A" w:rsidRPr="003425F4">
        <w:softHyphen/>
      </w:r>
      <w:r w:rsidRPr="003425F4">
        <w:t>ländskt bistånd som när de bistår sina utländska motsvarigheter. Ett för</w:t>
      </w:r>
      <w:r w:rsidR="00B3309A" w:rsidRPr="003425F4">
        <w:softHyphen/>
      </w:r>
      <w:r w:rsidRPr="003425F4">
        <w:t>bättrat internationellt samarbete kan visserligen leda till fler ärenden av detta slag än i dag, men detta torde kompenseras av de effektivitets</w:t>
      </w:r>
      <w:r w:rsidR="00B3309A" w:rsidRPr="003425F4">
        <w:softHyphen/>
      </w:r>
      <w:r w:rsidRPr="003425F4">
        <w:t>vinster som kan förväntas. I dagsläget är det inte dock inte möjligt att närmare bedöma vilka budgetära konsekvenser ett genomförande av direktivet kommer att få. Det bör dock kunna förutsättas att eventuella budgetära konsekvenser, såväl nationella som inom EU, ska kunna finansieras genom omprioriteringar inom befintliga budgetramar.</w:t>
      </w:r>
    </w:p>
    <w:p w:rsidR="00496926" w:rsidRPr="003425F4" w:rsidRDefault="00A20F02" w:rsidP="00A20F02">
      <w:pPr>
        <w:pStyle w:val="RKnormal"/>
        <w:jc w:val="center"/>
      </w:pPr>
      <w:r w:rsidRPr="003425F4">
        <w:t>_____________________</w:t>
      </w:r>
    </w:p>
    <w:sectPr w:rsidR="00496926" w:rsidRPr="003425F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34A" w:rsidRPr="003425F4" w:rsidRDefault="00F7234A">
      <w:r w:rsidRPr="003425F4">
        <w:separator/>
      </w:r>
    </w:p>
  </w:endnote>
  <w:endnote w:type="continuationSeparator" w:id="0">
    <w:p w:rsidR="00F7234A" w:rsidRPr="003425F4" w:rsidRDefault="00F7234A">
      <w:r w:rsidRPr="003425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34A" w:rsidRPr="003425F4" w:rsidRDefault="00F7234A">
      <w:r w:rsidRPr="003425F4">
        <w:separator/>
      </w:r>
    </w:p>
  </w:footnote>
  <w:footnote w:type="continuationSeparator" w:id="0">
    <w:p w:rsidR="00F7234A" w:rsidRPr="003425F4" w:rsidRDefault="00F7234A">
      <w:r w:rsidRPr="003425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34A" w:rsidRPr="003425F4" w:rsidRDefault="00F7234A">
    <w:pPr>
      <w:pStyle w:val="Sidhuvud"/>
      <w:framePr w:wrap="around" w:vAnchor="text" w:hAnchor="margin" w:xAlign="right" w:y="1"/>
      <w:rPr>
        <w:rStyle w:val="Sidnummer"/>
      </w:rPr>
    </w:pPr>
    <w:r w:rsidRPr="003425F4">
      <w:rPr>
        <w:rStyle w:val="Sidnummer"/>
      </w:rPr>
      <w:fldChar w:fldCharType="begin" w:fldLock="1"/>
    </w:r>
    <w:r w:rsidRPr="003425F4">
      <w:rPr>
        <w:rStyle w:val="Sidnummer"/>
      </w:rPr>
      <w:instrText xml:space="preserve">PAGE  </w:instrText>
    </w:r>
    <w:r w:rsidRPr="003425F4">
      <w:rPr>
        <w:rStyle w:val="Sidnummer"/>
      </w:rPr>
      <w:fldChar w:fldCharType="separate"/>
    </w:r>
    <w:r w:rsidR="00F2639C" w:rsidRPr="003425F4">
      <w:rPr>
        <w:rStyle w:val="Sidnummer"/>
      </w:rPr>
      <w:t>6</w:t>
    </w:r>
    <w:r w:rsidRPr="003425F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7234A" w:rsidRPr="003425F4">
      <w:tblPrEx>
        <w:tblCellMar>
          <w:top w:w="0" w:type="dxa"/>
          <w:bottom w:w="0" w:type="dxa"/>
        </w:tblCellMar>
      </w:tblPrEx>
      <w:trPr>
        <w:cantSplit/>
      </w:trPr>
      <w:tc>
        <w:tcPr>
          <w:tcW w:w="3119" w:type="dxa"/>
        </w:tcPr>
        <w:p w:rsidR="00F7234A" w:rsidRPr="003425F4" w:rsidRDefault="00F7234A">
          <w:pPr>
            <w:pStyle w:val="Sidhuvud"/>
            <w:spacing w:line="200" w:lineRule="atLeast"/>
            <w:ind w:right="357"/>
            <w:rPr>
              <w:rFonts w:ascii="TradeGothic" w:hAnsi="TradeGothic"/>
              <w:b/>
              <w:bCs/>
              <w:sz w:val="16"/>
            </w:rPr>
          </w:pPr>
        </w:p>
      </w:tc>
      <w:tc>
        <w:tcPr>
          <w:tcW w:w="4111" w:type="dxa"/>
          <w:tcMar>
            <w:left w:w="567" w:type="dxa"/>
          </w:tcMar>
        </w:tcPr>
        <w:p w:rsidR="00F7234A" w:rsidRPr="003425F4" w:rsidRDefault="00F7234A">
          <w:pPr>
            <w:pStyle w:val="Sidhuvud"/>
            <w:ind w:right="360"/>
          </w:pPr>
        </w:p>
      </w:tc>
      <w:tc>
        <w:tcPr>
          <w:tcW w:w="1525" w:type="dxa"/>
        </w:tcPr>
        <w:p w:rsidR="00F7234A" w:rsidRPr="003425F4" w:rsidRDefault="00F7234A">
          <w:pPr>
            <w:pStyle w:val="Sidhuvud"/>
            <w:ind w:right="360"/>
          </w:pPr>
        </w:p>
      </w:tc>
    </w:tr>
  </w:tbl>
  <w:p w:rsidR="00F7234A" w:rsidRPr="003425F4" w:rsidRDefault="00F7234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34A" w:rsidRPr="003425F4" w:rsidRDefault="00F7234A">
    <w:pPr>
      <w:pStyle w:val="Sidhuvud"/>
      <w:framePr w:wrap="around" w:vAnchor="text" w:hAnchor="margin" w:xAlign="right" w:y="1"/>
      <w:rPr>
        <w:rStyle w:val="Sidnummer"/>
      </w:rPr>
    </w:pPr>
    <w:r w:rsidRPr="003425F4">
      <w:rPr>
        <w:rStyle w:val="Sidnummer"/>
      </w:rPr>
      <w:fldChar w:fldCharType="begin" w:fldLock="1"/>
    </w:r>
    <w:r w:rsidRPr="003425F4">
      <w:rPr>
        <w:rStyle w:val="Sidnummer"/>
      </w:rPr>
      <w:instrText xml:space="preserve">PAGE  </w:instrText>
    </w:r>
    <w:r w:rsidRPr="003425F4">
      <w:rPr>
        <w:rStyle w:val="Sidnummer"/>
      </w:rPr>
      <w:fldChar w:fldCharType="separate"/>
    </w:r>
    <w:r w:rsidR="00F2639C" w:rsidRPr="003425F4">
      <w:rPr>
        <w:rStyle w:val="Sidnummer"/>
      </w:rPr>
      <w:t>7</w:t>
    </w:r>
    <w:r w:rsidRPr="003425F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7234A" w:rsidRPr="003425F4">
      <w:tblPrEx>
        <w:tblCellMar>
          <w:top w:w="0" w:type="dxa"/>
          <w:bottom w:w="0" w:type="dxa"/>
        </w:tblCellMar>
      </w:tblPrEx>
      <w:trPr>
        <w:cantSplit/>
      </w:trPr>
      <w:tc>
        <w:tcPr>
          <w:tcW w:w="3119" w:type="dxa"/>
        </w:tcPr>
        <w:p w:rsidR="00F7234A" w:rsidRPr="003425F4" w:rsidRDefault="00F7234A">
          <w:pPr>
            <w:pStyle w:val="Sidhuvud"/>
            <w:spacing w:line="200" w:lineRule="atLeast"/>
            <w:ind w:right="357"/>
            <w:rPr>
              <w:rFonts w:ascii="TradeGothic" w:hAnsi="TradeGothic"/>
              <w:b/>
              <w:bCs/>
              <w:sz w:val="16"/>
            </w:rPr>
          </w:pPr>
        </w:p>
      </w:tc>
      <w:tc>
        <w:tcPr>
          <w:tcW w:w="4111" w:type="dxa"/>
          <w:tcMar>
            <w:left w:w="567" w:type="dxa"/>
          </w:tcMar>
        </w:tcPr>
        <w:p w:rsidR="00F7234A" w:rsidRPr="003425F4" w:rsidRDefault="00F7234A">
          <w:pPr>
            <w:pStyle w:val="Sidhuvud"/>
            <w:ind w:right="360"/>
          </w:pPr>
        </w:p>
      </w:tc>
      <w:tc>
        <w:tcPr>
          <w:tcW w:w="1525" w:type="dxa"/>
        </w:tcPr>
        <w:p w:rsidR="00F7234A" w:rsidRPr="003425F4" w:rsidRDefault="00F7234A">
          <w:pPr>
            <w:pStyle w:val="Sidhuvud"/>
            <w:ind w:right="360"/>
          </w:pPr>
        </w:p>
      </w:tc>
    </w:tr>
  </w:tbl>
  <w:p w:rsidR="00F7234A" w:rsidRPr="003425F4" w:rsidRDefault="00F7234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34A" w:rsidRPr="003425F4" w:rsidRDefault="003425F4">
    <w:pPr>
      <w:framePr w:w="2948" w:h="1321" w:hRule="exact" w:wrap="notBeside" w:vAnchor="page" w:hAnchor="page" w:x="1362" w:y="653"/>
    </w:pPr>
    <w:r w:rsidRPr="003425F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7234A" w:rsidRPr="003425F4" w:rsidRDefault="00F7234A">
    <w:pPr>
      <w:pStyle w:val="RKrubrik"/>
      <w:keepNext w:val="0"/>
      <w:tabs>
        <w:tab w:val="clear" w:pos="1134"/>
        <w:tab w:val="clear" w:pos="2835"/>
      </w:tabs>
      <w:spacing w:before="0" w:after="0" w:line="320" w:lineRule="atLeast"/>
      <w:rPr>
        <w:bCs/>
      </w:rPr>
    </w:pPr>
  </w:p>
  <w:p w:rsidR="00F7234A" w:rsidRPr="003425F4" w:rsidRDefault="00F7234A">
    <w:pPr>
      <w:rPr>
        <w:rFonts w:ascii="TradeGothic" w:hAnsi="TradeGothic"/>
        <w:b/>
        <w:bCs/>
        <w:spacing w:val="12"/>
        <w:sz w:val="22"/>
      </w:rPr>
    </w:pPr>
  </w:p>
  <w:p w:rsidR="00F7234A" w:rsidRPr="003425F4" w:rsidRDefault="00F7234A">
    <w:pPr>
      <w:pStyle w:val="RKrubrik"/>
      <w:keepNext w:val="0"/>
      <w:tabs>
        <w:tab w:val="clear" w:pos="1134"/>
        <w:tab w:val="clear" w:pos="2835"/>
      </w:tabs>
      <w:spacing w:before="0" w:after="0" w:line="320" w:lineRule="atLeast"/>
      <w:rPr>
        <w:bCs/>
      </w:rPr>
    </w:pPr>
  </w:p>
  <w:p w:rsidR="00F7234A" w:rsidRPr="003425F4" w:rsidRDefault="00F7234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496926"/>
    <w:rsid w:val="00005194"/>
    <w:rsid w:val="00012428"/>
    <w:rsid w:val="00064357"/>
    <w:rsid w:val="000B674E"/>
    <w:rsid w:val="000E3201"/>
    <w:rsid w:val="00150384"/>
    <w:rsid w:val="001523CA"/>
    <w:rsid w:val="001805B7"/>
    <w:rsid w:val="001C1BB3"/>
    <w:rsid w:val="00255B3E"/>
    <w:rsid w:val="002744E3"/>
    <w:rsid w:val="002D2B29"/>
    <w:rsid w:val="002E2E19"/>
    <w:rsid w:val="003425F4"/>
    <w:rsid w:val="003D61C2"/>
    <w:rsid w:val="003F5829"/>
    <w:rsid w:val="004747A0"/>
    <w:rsid w:val="00475153"/>
    <w:rsid w:val="00496926"/>
    <w:rsid w:val="004A328D"/>
    <w:rsid w:val="004D0CAE"/>
    <w:rsid w:val="004E3D32"/>
    <w:rsid w:val="004E6892"/>
    <w:rsid w:val="0058512B"/>
    <w:rsid w:val="005D2468"/>
    <w:rsid w:val="005D73DD"/>
    <w:rsid w:val="00600984"/>
    <w:rsid w:val="00624B7A"/>
    <w:rsid w:val="00635CA4"/>
    <w:rsid w:val="00635DCE"/>
    <w:rsid w:val="006569D5"/>
    <w:rsid w:val="00676E60"/>
    <w:rsid w:val="0068233B"/>
    <w:rsid w:val="00694BD6"/>
    <w:rsid w:val="006B1A74"/>
    <w:rsid w:val="006C28B6"/>
    <w:rsid w:val="006E4E11"/>
    <w:rsid w:val="00700B77"/>
    <w:rsid w:val="007242A3"/>
    <w:rsid w:val="00735922"/>
    <w:rsid w:val="0077176A"/>
    <w:rsid w:val="007943B5"/>
    <w:rsid w:val="007B0EA3"/>
    <w:rsid w:val="007C024E"/>
    <w:rsid w:val="007D481A"/>
    <w:rsid w:val="00804CBF"/>
    <w:rsid w:val="00811454"/>
    <w:rsid w:val="008B3A22"/>
    <w:rsid w:val="00907A3C"/>
    <w:rsid w:val="009367FD"/>
    <w:rsid w:val="00951B0B"/>
    <w:rsid w:val="009615CC"/>
    <w:rsid w:val="00A06490"/>
    <w:rsid w:val="00A12BE6"/>
    <w:rsid w:val="00A145DD"/>
    <w:rsid w:val="00A16757"/>
    <w:rsid w:val="00A20F02"/>
    <w:rsid w:val="00A4529B"/>
    <w:rsid w:val="00A54AA5"/>
    <w:rsid w:val="00A83E67"/>
    <w:rsid w:val="00B3309A"/>
    <w:rsid w:val="00B60F07"/>
    <w:rsid w:val="00B72355"/>
    <w:rsid w:val="00B97964"/>
    <w:rsid w:val="00BB5899"/>
    <w:rsid w:val="00BC47F9"/>
    <w:rsid w:val="00C045E5"/>
    <w:rsid w:val="00C27F13"/>
    <w:rsid w:val="00C337A2"/>
    <w:rsid w:val="00C61373"/>
    <w:rsid w:val="00CD02FE"/>
    <w:rsid w:val="00CE4FD9"/>
    <w:rsid w:val="00CF09F6"/>
    <w:rsid w:val="00D33394"/>
    <w:rsid w:val="00D830BE"/>
    <w:rsid w:val="00D872D2"/>
    <w:rsid w:val="00DA0EF0"/>
    <w:rsid w:val="00DA3E57"/>
    <w:rsid w:val="00E147F1"/>
    <w:rsid w:val="00E24777"/>
    <w:rsid w:val="00E35E65"/>
    <w:rsid w:val="00E8651A"/>
    <w:rsid w:val="00EC25F9"/>
    <w:rsid w:val="00EE23AC"/>
    <w:rsid w:val="00F2639C"/>
    <w:rsid w:val="00F34CAE"/>
    <w:rsid w:val="00F47FD7"/>
    <w:rsid w:val="00F70213"/>
    <w:rsid w:val="00F7234A"/>
    <w:rsid w:val="00FD46F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26A71EA-ED68-4E17-A95B-E01C9410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7943B5"/>
    <w:rPr>
      <w:sz w:val="20"/>
    </w:rPr>
  </w:style>
  <w:style w:type="character" w:styleId="Fotnotsreferens">
    <w:name w:val="footnote reference"/>
    <w:basedOn w:val="Standardstycketeckensnitt"/>
    <w:semiHidden/>
    <w:rsid w:val="007943B5"/>
    <w:rPr>
      <w:vertAlign w:val="superscript"/>
    </w:rPr>
  </w:style>
  <w:style w:type="paragraph" w:styleId="Ballongtext">
    <w:name w:val="Balloon Text"/>
    <w:basedOn w:val="Normal"/>
    <w:semiHidden/>
    <w:rsid w:val="00EE2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2198</Words>
  <Characters>13875</Characters>
  <Application>Microsoft Office Word</Application>
  <DocSecurity>4</DocSecurity>
  <Lines>308</Lines>
  <Paragraphs>61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2010-11-01T12:24:00Z</cp:lastPrinted>
  <dcterms:created xsi:type="dcterms:W3CDTF">2025-12-18T03:49:00Z</dcterms:created>
  <dcterms:modified xsi:type="dcterms:W3CDTF">2025-12-18T03:49:00Z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6.4. Administration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