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36A03A2"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015573B9" w:rsidR="00447E69" w:rsidRDefault="00E04650">
            <w:pPr>
              <w:rPr>
                <w:b/>
              </w:rPr>
            </w:pPr>
            <w:r>
              <w:rPr>
                <w:b/>
              </w:rPr>
              <w:t>UTSKOTTSSAMMANTRÄDE 20</w:t>
            </w:r>
            <w:r w:rsidR="00BD09A6">
              <w:rPr>
                <w:b/>
              </w:rPr>
              <w:t>2</w:t>
            </w:r>
            <w:r w:rsidR="00135867">
              <w:rPr>
                <w:b/>
              </w:rPr>
              <w:t>5</w:t>
            </w:r>
            <w:r w:rsidR="00E362AB">
              <w:rPr>
                <w:b/>
              </w:rPr>
              <w:t>/2</w:t>
            </w:r>
            <w:r w:rsidR="00135867">
              <w:rPr>
                <w:b/>
              </w:rPr>
              <w:t>6</w:t>
            </w:r>
            <w:r w:rsidR="00520D71">
              <w:rPr>
                <w:b/>
              </w:rPr>
              <w:t>:</w:t>
            </w:r>
            <w:r w:rsidR="000274DC">
              <w:rPr>
                <w:b/>
              </w:rPr>
              <w:t>4</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54623B84" w:rsidR="00447E69" w:rsidRDefault="00BB7028" w:rsidP="007765ED">
            <w:r>
              <w:t>20</w:t>
            </w:r>
            <w:r w:rsidR="005F0E85">
              <w:t>2</w:t>
            </w:r>
            <w:r w:rsidR="002406D5">
              <w:t>5</w:t>
            </w:r>
            <w:r w:rsidR="00520D71">
              <w:t>-</w:t>
            </w:r>
            <w:r w:rsidR="000274DC">
              <w:t>09</w:t>
            </w:r>
            <w:r w:rsidR="00520D71">
              <w:t>-</w:t>
            </w:r>
            <w:r w:rsidR="000274DC">
              <w:t>23</w:t>
            </w:r>
          </w:p>
        </w:tc>
      </w:tr>
      <w:tr w:rsidR="00447E69" w14:paraId="55018730" w14:textId="77777777">
        <w:tc>
          <w:tcPr>
            <w:tcW w:w="1985" w:type="dxa"/>
          </w:tcPr>
          <w:p w14:paraId="664E9CD2" w14:textId="77777777" w:rsidR="00447E69" w:rsidRDefault="00447E69">
            <w:r>
              <w:t>TID</w:t>
            </w:r>
          </w:p>
        </w:tc>
        <w:tc>
          <w:tcPr>
            <w:tcW w:w="6463" w:type="dxa"/>
          </w:tcPr>
          <w:p w14:paraId="70E324A3" w14:textId="16A426AB" w:rsidR="00447E69" w:rsidRDefault="000274DC">
            <w:r>
              <w:t>11</w:t>
            </w:r>
            <w:r w:rsidR="00306F1B">
              <w:t>:00</w:t>
            </w:r>
            <w:r w:rsidR="00FA543D">
              <w:t>–</w:t>
            </w:r>
            <w:r w:rsidR="00494EEE" w:rsidRPr="00494EEE">
              <w:t>11</w:t>
            </w:r>
            <w:r w:rsidR="00A77DB6" w:rsidRPr="00494EEE">
              <w:t>:</w:t>
            </w:r>
            <w:r w:rsidR="00494EEE" w:rsidRPr="00494EEE">
              <w:t>25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62C0B5E8" w:rsidR="00447E69" w:rsidRDefault="00576AFA">
            <w:r>
              <w:t>Se bilaga</w:t>
            </w:r>
            <w:r w:rsidR="00A956F9">
              <w:t xml:space="preserve"> </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35867" w14:paraId="51DF6958" w14:textId="77777777" w:rsidTr="0001177E">
        <w:tc>
          <w:tcPr>
            <w:tcW w:w="567" w:type="dxa"/>
          </w:tcPr>
          <w:p w14:paraId="15D71B81" w14:textId="77777777" w:rsidR="00135867" w:rsidRPr="003B4DE8" w:rsidRDefault="00135867" w:rsidP="003B4DE8">
            <w:pPr>
              <w:pStyle w:val="Liststycke"/>
              <w:numPr>
                <w:ilvl w:val="0"/>
                <w:numId w:val="2"/>
              </w:numPr>
              <w:tabs>
                <w:tab w:val="left" w:pos="1701"/>
              </w:tabs>
              <w:rPr>
                <w:b/>
                <w:snapToGrid w:val="0"/>
              </w:rPr>
            </w:pPr>
          </w:p>
        </w:tc>
        <w:tc>
          <w:tcPr>
            <w:tcW w:w="6946" w:type="dxa"/>
            <w:gridSpan w:val="2"/>
          </w:tcPr>
          <w:p w14:paraId="7671EE30" w14:textId="77777777" w:rsidR="00135867" w:rsidRPr="00556204" w:rsidRDefault="00C34B84">
            <w:pPr>
              <w:tabs>
                <w:tab w:val="left" w:pos="1701"/>
              </w:tabs>
              <w:rPr>
                <w:b/>
              </w:rPr>
            </w:pPr>
            <w:r w:rsidRPr="00556204">
              <w:rPr>
                <w:b/>
              </w:rPr>
              <w:t>EU-överläggning om förslag till förordning om etablering av EU:s program Erasmus+ för 2028–2034</w:t>
            </w:r>
          </w:p>
          <w:p w14:paraId="1FE52527" w14:textId="77777777" w:rsidR="00C34B84" w:rsidRPr="00556204" w:rsidRDefault="00C34B84">
            <w:pPr>
              <w:tabs>
                <w:tab w:val="left" w:pos="1701"/>
              </w:tabs>
              <w:rPr>
                <w:b/>
              </w:rPr>
            </w:pPr>
          </w:p>
          <w:p w14:paraId="490C6683" w14:textId="4586A8E9" w:rsidR="00C34B84" w:rsidRPr="00556204" w:rsidRDefault="00C34B84" w:rsidP="00C34B84">
            <w:r w:rsidRPr="00556204">
              <w:rPr>
                <w:snapToGrid w:val="0"/>
              </w:rPr>
              <w:t xml:space="preserve">Utskottet överlade med </w:t>
            </w:r>
            <w:r w:rsidRPr="00556204">
              <w:rPr>
                <w:bCs/>
              </w:rPr>
              <w:t>statssekreterare Oskar Wåglund Söderström, biträdd av</w:t>
            </w:r>
            <w:r w:rsidRPr="00556204">
              <w:t xml:space="preserve"> medarbetare från Utbildningsdepartementet</w:t>
            </w:r>
            <w:r w:rsidR="000A729C" w:rsidRPr="00556204">
              <w:t xml:space="preserve"> och </w:t>
            </w:r>
            <w:r w:rsidR="00556204" w:rsidRPr="00556204">
              <w:t>S</w:t>
            </w:r>
            <w:r w:rsidR="000A729C" w:rsidRPr="00556204">
              <w:t>ocialdepartementet</w:t>
            </w:r>
            <w:r w:rsidRPr="00556204">
              <w:t>, om kommissionens förslag till förordning om etablering av EU:s program Erasmus+ för 2028–2034.</w:t>
            </w:r>
          </w:p>
          <w:p w14:paraId="11B5301F" w14:textId="6F03DCF7" w:rsidR="00C34B84" w:rsidRPr="00556204" w:rsidRDefault="00C34B84" w:rsidP="00C34B84"/>
          <w:p w14:paraId="416BD91D" w14:textId="77777777" w:rsidR="00C34B84" w:rsidRPr="00556204" w:rsidRDefault="00C34B84" w:rsidP="00C34B84">
            <w:pPr>
              <w:tabs>
                <w:tab w:val="left" w:pos="1701"/>
              </w:tabs>
              <w:rPr>
                <w:bCs/>
                <w:i/>
                <w:iCs/>
                <w:snapToGrid w:val="0"/>
                <w:szCs w:val="24"/>
              </w:rPr>
            </w:pPr>
            <w:r w:rsidRPr="00556204">
              <w:rPr>
                <w:bCs/>
                <w:i/>
                <w:iCs/>
                <w:snapToGrid w:val="0"/>
                <w:szCs w:val="24"/>
              </w:rPr>
              <w:t>Underlag för överläggningen</w:t>
            </w:r>
          </w:p>
          <w:p w14:paraId="74398D8D" w14:textId="77777777" w:rsidR="00C34B84" w:rsidRPr="00556204" w:rsidRDefault="00C34B84" w:rsidP="00C34B84">
            <w:pPr>
              <w:rPr>
                <w:snapToGrid w:val="0"/>
              </w:rPr>
            </w:pPr>
            <w:r w:rsidRPr="00556204">
              <w:rPr>
                <w:snapToGrid w:val="0"/>
              </w:rPr>
              <w:t>Faktapromemoria från Regeringskansliet (2025/</w:t>
            </w:r>
            <w:proofErr w:type="gramStart"/>
            <w:r w:rsidRPr="00556204">
              <w:rPr>
                <w:snapToGrid w:val="0"/>
              </w:rPr>
              <w:t>26:FPM</w:t>
            </w:r>
            <w:proofErr w:type="gramEnd"/>
            <w:r w:rsidRPr="00556204">
              <w:rPr>
                <w:snapToGrid w:val="0"/>
              </w:rPr>
              <w:t>18)</w:t>
            </w:r>
          </w:p>
          <w:p w14:paraId="0240E96B" w14:textId="5EF84272" w:rsidR="00C34B84" w:rsidRPr="00556204" w:rsidRDefault="00C34B84" w:rsidP="00C34B84">
            <w:pPr>
              <w:rPr>
                <w:snapToGrid w:val="0"/>
              </w:rPr>
            </w:pPr>
            <w:proofErr w:type="gramStart"/>
            <w:r w:rsidRPr="00556204">
              <w:rPr>
                <w:snapToGrid w:val="0"/>
              </w:rPr>
              <w:t>COM(</w:t>
            </w:r>
            <w:proofErr w:type="gramEnd"/>
            <w:r w:rsidRPr="00556204">
              <w:rPr>
                <w:snapToGrid w:val="0"/>
              </w:rPr>
              <w:t>2025) 549</w:t>
            </w:r>
          </w:p>
          <w:p w14:paraId="737A6A3C" w14:textId="3A4A8578" w:rsidR="00C34B84" w:rsidRPr="00556204" w:rsidRDefault="00C34B84" w:rsidP="00C34B84">
            <w:pPr>
              <w:rPr>
                <w:snapToGrid w:val="0"/>
              </w:rPr>
            </w:pPr>
          </w:p>
          <w:p w14:paraId="0CE73EE5" w14:textId="77777777" w:rsidR="00C34B84" w:rsidRPr="00556204" w:rsidRDefault="00C34B84" w:rsidP="00C34B84">
            <w:pPr>
              <w:tabs>
                <w:tab w:val="left" w:pos="1701"/>
              </w:tabs>
              <w:rPr>
                <w:bCs/>
                <w:i/>
                <w:iCs/>
                <w:snapToGrid w:val="0"/>
                <w:szCs w:val="24"/>
              </w:rPr>
            </w:pPr>
            <w:r w:rsidRPr="00556204">
              <w:rPr>
                <w:bCs/>
                <w:i/>
                <w:iCs/>
                <w:snapToGrid w:val="0"/>
                <w:szCs w:val="24"/>
              </w:rPr>
              <w:t>Regeringens förslag till svensk ståndpunkt</w:t>
            </w:r>
          </w:p>
          <w:p w14:paraId="31E245A0" w14:textId="7E9243EA" w:rsidR="00C34B84" w:rsidRPr="00556204" w:rsidRDefault="00C34B84" w:rsidP="00C34B84">
            <w:pPr>
              <w:rPr>
                <w:snapToGrid w:val="0"/>
              </w:rPr>
            </w:pPr>
            <w:r w:rsidRPr="00556204">
              <w:rPr>
                <w:snapToGrid w:val="0"/>
              </w:rPr>
              <w:t>Regeringens ståndpunkter avseende övergripande principer för den fleråriga budgetramen och dess storlek, inklusive för enskilda fonder och program, behandlas i faktapromemoria 2025/</w:t>
            </w:r>
            <w:proofErr w:type="gramStart"/>
            <w:r w:rsidRPr="00556204">
              <w:rPr>
                <w:snapToGrid w:val="0"/>
              </w:rPr>
              <w:t>26:FPM</w:t>
            </w:r>
            <w:proofErr w:type="gramEnd"/>
            <w:r w:rsidRPr="00556204">
              <w:rPr>
                <w:snapToGrid w:val="0"/>
              </w:rPr>
              <w:t>3.</w:t>
            </w:r>
          </w:p>
          <w:p w14:paraId="4C445C39" w14:textId="77777777" w:rsidR="00C34B84" w:rsidRPr="00556204" w:rsidRDefault="00C34B84" w:rsidP="00C34B84">
            <w:pPr>
              <w:rPr>
                <w:snapToGrid w:val="0"/>
              </w:rPr>
            </w:pPr>
          </w:p>
          <w:p w14:paraId="5095E4E3" w14:textId="7592C60E" w:rsidR="00C34B84" w:rsidRPr="00556204" w:rsidRDefault="00C34B84" w:rsidP="00C34B84">
            <w:pPr>
              <w:rPr>
                <w:snapToGrid w:val="0"/>
              </w:rPr>
            </w:pPr>
            <w:r w:rsidRPr="00556204">
              <w:rPr>
                <w:snapToGrid w:val="0"/>
              </w:rPr>
              <w:t>Den befogenhet som EU kan använda sig av inom det område förslaget täcker är begränsad till en stödjande befogenhet och ska enligt regeringen så förbli, vilket även gäller beslut om finansiering.</w:t>
            </w:r>
          </w:p>
          <w:p w14:paraId="1AC4EEA4" w14:textId="77777777" w:rsidR="00C34B84" w:rsidRPr="00556204" w:rsidRDefault="00C34B84" w:rsidP="00C34B84">
            <w:pPr>
              <w:rPr>
                <w:snapToGrid w:val="0"/>
              </w:rPr>
            </w:pPr>
          </w:p>
          <w:p w14:paraId="511FEFB0" w14:textId="77777777" w:rsidR="00C34B84" w:rsidRPr="00556204" w:rsidRDefault="00C34B84" w:rsidP="00C34B84">
            <w:pPr>
              <w:rPr>
                <w:snapToGrid w:val="0"/>
              </w:rPr>
            </w:pPr>
            <w:r w:rsidRPr="00556204">
              <w:rPr>
                <w:snapToGrid w:val="0"/>
              </w:rPr>
              <w:t>Regeringen välkomnar kommissionens förslag till förordning. Regeringen anser att programmet är en hörnsten i EU-samarbetet och att det spelar en viktig roll i att förse elever, ungdomar, studenter, idrottsaktörer och andra intressenter med relevanta kompetenser och värdefulla interkulturella erfarenheter.</w:t>
            </w:r>
          </w:p>
          <w:p w14:paraId="60326DCD" w14:textId="77777777" w:rsidR="00C34B84" w:rsidRPr="00556204" w:rsidRDefault="00C34B84" w:rsidP="00C34B84">
            <w:pPr>
              <w:rPr>
                <w:snapToGrid w:val="0"/>
              </w:rPr>
            </w:pPr>
          </w:p>
          <w:p w14:paraId="158FC371" w14:textId="09AB3DD3" w:rsidR="00C34B84" w:rsidRPr="00556204" w:rsidRDefault="00C34B84" w:rsidP="00C34B84">
            <w:pPr>
              <w:rPr>
                <w:snapToGrid w:val="0"/>
              </w:rPr>
            </w:pPr>
            <w:r w:rsidRPr="00556204">
              <w:rPr>
                <w:snapToGrid w:val="0"/>
              </w:rPr>
              <w:t>Regeringen välkomnar att kommissionen föreslår en fortsättning av det framgångsrika initiativet med Erasmusackreditering då det möjliggör långsiktighet och strategiskt arbete med internationalisering.</w:t>
            </w:r>
          </w:p>
          <w:p w14:paraId="096F6DCB" w14:textId="77777777" w:rsidR="00C34B84" w:rsidRPr="00556204" w:rsidRDefault="00C34B84" w:rsidP="00C34B84">
            <w:pPr>
              <w:rPr>
                <w:snapToGrid w:val="0"/>
              </w:rPr>
            </w:pPr>
          </w:p>
          <w:p w14:paraId="474982AB" w14:textId="12D3C9AF" w:rsidR="00C34B84" w:rsidRPr="00556204" w:rsidRDefault="00C34B84" w:rsidP="00C34B84">
            <w:pPr>
              <w:rPr>
                <w:snapToGrid w:val="0"/>
              </w:rPr>
            </w:pPr>
            <w:r w:rsidRPr="00556204">
              <w:rPr>
                <w:snapToGrid w:val="0"/>
              </w:rPr>
              <w:t>Regeringen anser att det är angeläget att samtliga områden som programmet inbegriper ska inkluderas på ett ändamålsenligt, effektivt och tillfredsställande sätt som skapar mervärde, bl.a. mot bakgrund av programmets förändrade struktur samt att ESK integreras i Erasmus+. Regeringen har inga principiella invändningar mot att ESK integreras i Erasmus+, förutsatt att kärnan och sakinnehållet i båda program värnas och att sammanslagningen kan leda till stordriftsfördelar och förenklade processer.</w:t>
            </w:r>
          </w:p>
          <w:p w14:paraId="61ECF63F" w14:textId="77777777" w:rsidR="00C34B84" w:rsidRPr="00556204" w:rsidRDefault="00C34B84" w:rsidP="00C34B84">
            <w:pPr>
              <w:rPr>
                <w:snapToGrid w:val="0"/>
              </w:rPr>
            </w:pPr>
          </w:p>
          <w:p w14:paraId="6A26B1EF" w14:textId="5AAFA727" w:rsidR="00C34B84" w:rsidRPr="00556204" w:rsidRDefault="00C34B84" w:rsidP="00C34B84">
            <w:pPr>
              <w:rPr>
                <w:snapToGrid w:val="0"/>
              </w:rPr>
            </w:pPr>
            <w:r w:rsidRPr="00556204">
              <w:rPr>
                <w:snapToGrid w:val="0"/>
              </w:rPr>
              <w:t>Regeringen stödjer programmets övergripande ambition att främja mobilitet och samarbeten i utbildningssyfte, i utbildnings-, ungdoms- och idrottsområdena samt för volontärarbete. Mobilitet i utbildningssyfte och samarbeten över gränserna är inte bara viktiga drivkrafter för kvalitet inom utbildnings, ungdoms- och idrottsområdet, utan kan även bidra till erfarenheter som är av stor nytta på både individ- och samhällsnivå.</w:t>
            </w:r>
          </w:p>
          <w:p w14:paraId="1FAC5BF6" w14:textId="77777777" w:rsidR="00C34B84" w:rsidRPr="00556204" w:rsidRDefault="00C34B84" w:rsidP="00C34B84">
            <w:pPr>
              <w:rPr>
                <w:snapToGrid w:val="0"/>
              </w:rPr>
            </w:pPr>
          </w:p>
          <w:p w14:paraId="57EF283B" w14:textId="69851987" w:rsidR="00C34B84" w:rsidRPr="00556204" w:rsidRDefault="00C34B84" w:rsidP="00C34B84">
            <w:pPr>
              <w:rPr>
                <w:snapToGrid w:val="0"/>
              </w:rPr>
            </w:pPr>
            <w:r w:rsidRPr="00556204">
              <w:rPr>
                <w:snapToGrid w:val="0"/>
              </w:rPr>
              <w:t>Regeringen välkomnar att programmet även fortsättningsvis föreslås prioritera inkludering och mångfald med särskilt fokus på deltagare med begränsade möjligheter inom samtliga områden.</w:t>
            </w:r>
          </w:p>
          <w:p w14:paraId="7AA691AF" w14:textId="632FF11D" w:rsidR="00C34B84" w:rsidRPr="00556204" w:rsidRDefault="00C34B84" w:rsidP="00C34B84">
            <w:pPr>
              <w:rPr>
                <w:snapToGrid w:val="0"/>
              </w:rPr>
            </w:pPr>
          </w:p>
          <w:p w14:paraId="4141E031" w14:textId="1183FA7C" w:rsidR="00C34B84" w:rsidRPr="00556204" w:rsidRDefault="00C34B84" w:rsidP="00C34B84">
            <w:pPr>
              <w:rPr>
                <w:snapToGrid w:val="0"/>
              </w:rPr>
            </w:pPr>
            <w:r w:rsidRPr="00556204">
              <w:rPr>
                <w:snapToGrid w:val="0"/>
              </w:rPr>
              <w:t>Regeringen välkomnar kommissionens ambition att förenkla programmet och ser det som prioriterat att administrationen av programmet förenklas och görs mer användarvänligt över samtliga områden som programmet täcker. Regeringen anser det vara en förutsättning för ett inkluderande program som möjliggör deltagande av såväl personer med begränsade möjligheter som nya organisationer och organisationer med begränsad administrativ kapacitet.</w:t>
            </w:r>
          </w:p>
          <w:p w14:paraId="6562CBBD" w14:textId="77777777" w:rsidR="00C34B84" w:rsidRPr="00556204" w:rsidRDefault="00C34B84" w:rsidP="00C34B84">
            <w:pPr>
              <w:rPr>
                <w:snapToGrid w:val="0"/>
              </w:rPr>
            </w:pPr>
          </w:p>
          <w:p w14:paraId="7E045384" w14:textId="77777777" w:rsidR="00C34B84" w:rsidRPr="00556204" w:rsidRDefault="00C34B84" w:rsidP="00C34B84">
            <w:pPr>
              <w:tabs>
                <w:tab w:val="left" w:pos="1701"/>
              </w:tabs>
              <w:rPr>
                <w:bCs/>
                <w:i/>
                <w:iCs/>
                <w:snapToGrid w:val="0"/>
                <w:szCs w:val="24"/>
              </w:rPr>
            </w:pPr>
            <w:r w:rsidRPr="00556204">
              <w:rPr>
                <w:bCs/>
                <w:i/>
                <w:iCs/>
                <w:snapToGrid w:val="0"/>
                <w:szCs w:val="24"/>
              </w:rPr>
              <w:t>Överläggningen</w:t>
            </w:r>
          </w:p>
          <w:p w14:paraId="31132561" w14:textId="77777777" w:rsidR="00C34B84" w:rsidRPr="00556204" w:rsidRDefault="00C34B84" w:rsidP="00C34B84">
            <w:pPr>
              <w:tabs>
                <w:tab w:val="left" w:pos="1701"/>
              </w:tabs>
              <w:rPr>
                <w:bCs/>
                <w:snapToGrid w:val="0"/>
                <w:szCs w:val="24"/>
              </w:rPr>
            </w:pPr>
            <w:r w:rsidRPr="00556204">
              <w:rPr>
                <w:bCs/>
                <w:snapToGrid w:val="0"/>
                <w:szCs w:val="24"/>
              </w:rPr>
              <w:t>Ordföranden konstaterade att det fanns stöd för regeringens ståndpunkt.</w:t>
            </w:r>
          </w:p>
          <w:p w14:paraId="7846DED4" w14:textId="0505C2BC" w:rsidR="00C34B84" w:rsidRPr="00556204" w:rsidRDefault="00C34B84" w:rsidP="00A47142">
            <w:pPr>
              <w:rPr>
                <w:snapToGrid w:val="0"/>
              </w:rPr>
            </w:pPr>
          </w:p>
        </w:tc>
      </w:tr>
      <w:tr w:rsidR="00135867" w14:paraId="37BF61E1" w14:textId="77777777" w:rsidTr="0001177E">
        <w:tc>
          <w:tcPr>
            <w:tcW w:w="567" w:type="dxa"/>
          </w:tcPr>
          <w:p w14:paraId="4D916E9D" w14:textId="77777777" w:rsidR="00135867" w:rsidRPr="003B4DE8" w:rsidRDefault="00135867" w:rsidP="003B4DE8">
            <w:pPr>
              <w:pStyle w:val="Liststycke"/>
              <w:numPr>
                <w:ilvl w:val="0"/>
                <w:numId w:val="2"/>
              </w:numPr>
              <w:tabs>
                <w:tab w:val="left" w:pos="1701"/>
              </w:tabs>
              <w:rPr>
                <w:b/>
                <w:snapToGrid w:val="0"/>
              </w:rPr>
            </w:pPr>
          </w:p>
        </w:tc>
        <w:tc>
          <w:tcPr>
            <w:tcW w:w="6946" w:type="dxa"/>
            <w:gridSpan w:val="2"/>
          </w:tcPr>
          <w:p w14:paraId="0598E0DB" w14:textId="77777777" w:rsidR="00135867" w:rsidRPr="00556204" w:rsidRDefault="00C34B84">
            <w:pPr>
              <w:tabs>
                <w:tab w:val="left" w:pos="1701"/>
              </w:tabs>
              <w:rPr>
                <w:b/>
              </w:rPr>
            </w:pPr>
            <w:r w:rsidRPr="00556204">
              <w:rPr>
                <w:b/>
              </w:rPr>
              <w:t>EU-överläggning om utkast till rådsresolution om den andra cykeln av det strategiska ramverket för europeiskt samarbete inom utbildning mot det europeiska utbildningsområdet (2026–2030)</w:t>
            </w:r>
          </w:p>
          <w:p w14:paraId="1C9574C6" w14:textId="77777777" w:rsidR="00C34B84" w:rsidRPr="00556204" w:rsidRDefault="00C34B84">
            <w:pPr>
              <w:tabs>
                <w:tab w:val="left" w:pos="1701"/>
              </w:tabs>
              <w:rPr>
                <w:b/>
              </w:rPr>
            </w:pPr>
          </w:p>
          <w:p w14:paraId="0CC7511A" w14:textId="68962246" w:rsidR="00C34B84" w:rsidRPr="00556204" w:rsidRDefault="00C34B84" w:rsidP="00C34B84">
            <w:pPr>
              <w:tabs>
                <w:tab w:val="left" w:pos="1701"/>
              </w:tabs>
              <w:rPr>
                <w:b/>
              </w:rPr>
            </w:pPr>
            <w:r w:rsidRPr="00556204">
              <w:rPr>
                <w:snapToGrid w:val="0"/>
              </w:rPr>
              <w:t xml:space="preserve">Utskottet överlade med </w:t>
            </w:r>
            <w:r w:rsidRPr="00556204">
              <w:rPr>
                <w:bCs/>
              </w:rPr>
              <w:t>statssekreterare Oskar Wåglund Söderström, biträdd av medarbetare från Utbildningsdepartementet</w:t>
            </w:r>
            <w:r w:rsidR="000A729C" w:rsidRPr="00556204">
              <w:rPr>
                <w:bCs/>
              </w:rPr>
              <w:t xml:space="preserve"> och </w:t>
            </w:r>
            <w:r w:rsidR="00556204" w:rsidRPr="00556204">
              <w:rPr>
                <w:bCs/>
              </w:rPr>
              <w:t>S</w:t>
            </w:r>
            <w:r w:rsidR="000A729C" w:rsidRPr="00556204">
              <w:rPr>
                <w:bCs/>
              </w:rPr>
              <w:t>ocialdepartementet</w:t>
            </w:r>
            <w:r w:rsidRPr="00556204">
              <w:rPr>
                <w:bCs/>
              </w:rPr>
              <w:t>, om ett utkast till rådsresolution om den andra cykeln av det strategiska ramverket för europeiskt samarbete inom utbildning mot det europeiska utbildningsområdet (2026–2030).</w:t>
            </w:r>
          </w:p>
          <w:p w14:paraId="2CAD9AEF" w14:textId="006F3BEB" w:rsidR="00C34B84" w:rsidRPr="00556204" w:rsidRDefault="00C34B84" w:rsidP="00C34B84">
            <w:pPr>
              <w:rPr>
                <w:snapToGrid w:val="0"/>
              </w:rPr>
            </w:pPr>
          </w:p>
          <w:p w14:paraId="11F3B9FE" w14:textId="77777777" w:rsidR="00C34B84" w:rsidRPr="00556204" w:rsidRDefault="00C34B84" w:rsidP="00C34B84">
            <w:pPr>
              <w:tabs>
                <w:tab w:val="left" w:pos="1701"/>
              </w:tabs>
              <w:rPr>
                <w:bCs/>
                <w:i/>
                <w:iCs/>
                <w:snapToGrid w:val="0"/>
                <w:szCs w:val="24"/>
              </w:rPr>
            </w:pPr>
            <w:r w:rsidRPr="00556204">
              <w:rPr>
                <w:bCs/>
                <w:i/>
                <w:iCs/>
                <w:snapToGrid w:val="0"/>
                <w:szCs w:val="24"/>
              </w:rPr>
              <w:t>Underlag för överläggningen</w:t>
            </w:r>
          </w:p>
          <w:p w14:paraId="17FE310F" w14:textId="77777777" w:rsidR="00C34B84" w:rsidRPr="00556204" w:rsidRDefault="00C34B84" w:rsidP="00C34B84">
            <w:pPr>
              <w:rPr>
                <w:snapToGrid w:val="0"/>
              </w:rPr>
            </w:pPr>
            <w:r w:rsidRPr="00556204">
              <w:rPr>
                <w:snapToGrid w:val="0"/>
              </w:rPr>
              <w:t xml:space="preserve">Promemoria från Utbildningsdepartementet (dnr </w:t>
            </w:r>
            <w:proofErr w:type="gramStart"/>
            <w:r w:rsidRPr="00556204">
              <w:rPr>
                <w:snapToGrid w:val="0"/>
              </w:rPr>
              <w:t>101-2025</w:t>
            </w:r>
            <w:proofErr w:type="gramEnd"/>
            <w:r w:rsidRPr="00556204">
              <w:rPr>
                <w:snapToGrid w:val="0"/>
              </w:rPr>
              <w:t>/26)</w:t>
            </w:r>
          </w:p>
          <w:p w14:paraId="4E3304F6" w14:textId="0DACBAFC" w:rsidR="00C34B84" w:rsidRPr="00556204" w:rsidRDefault="00C34B84" w:rsidP="00C34B84">
            <w:pPr>
              <w:rPr>
                <w:snapToGrid w:val="0"/>
              </w:rPr>
            </w:pPr>
            <w:r w:rsidRPr="00556204">
              <w:rPr>
                <w:snapToGrid w:val="0"/>
              </w:rPr>
              <w:t>Rådsdokument 11966/25</w:t>
            </w:r>
          </w:p>
          <w:p w14:paraId="16523A58" w14:textId="77777777" w:rsidR="00C34B84" w:rsidRPr="00556204" w:rsidRDefault="00C34B84" w:rsidP="00C34B84">
            <w:pPr>
              <w:rPr>
                <w:snapToGrid w:val="0"/>
              </w:rPr>
            </w:pPr>
          </w:p>
          <w:p w14:paraId="6B9507CD" w14:textId="77777777" w:rsidR="00C34B84" w:rsidRPr="00556204" w:rsidRDefault="00C34B84" w:rsidP="00C34B84">
            <w:pPr>
              <w:tabs>
                <w:tab w:val="left" w:pos="1701"/>
              </w:tabs>
              <w:rPr>
                <w:bCs/>
                <w:i/>
                <w:iCs/>
                <w:snapToGrid w:val="0"/>
                <w:szCs w:val="24"/>
              </w:rPr>
            </w:pPr>
            <w:r w:rsidRPr="00556204">
              <w:rPr>
                <w:bCs/>
                <w:i/>
                <w:iCs/>
                <w:snapToGrid w:val="0"/>
                <w:szCs w:val="24"/>
              </w:rPr>
              <w:t>Regeringens förslag till svensk ståndpunkt</w:t>
            </w:r>
          </w:p>
          <w:p w14:paraId="358156B3" w14:textId="0A2D50EB" w:rsidR="00C34B84" w:rsidRPr="00556204" w:rsidRDefault="00C34B84" w:rsidP="00C34B84">
            <w:pPr>
              <w:rPr>
                <w:snapToGrid w:val="0"/>
              </w:rPr>
            </w:pPr>
            <w:r w:rsidRPr="00556204">
              <w:rPr>
                <w:snapToGrid w:val="0"/>
              </w:rPr>
              <w:t>Den befogenhet som EU kan använda sig av inom det europeiska utbildningsområdet är begränsad till en stödjande befogenhet och ska enligt regeringen så förbli.</w:t>
            </w:r>
          </w:p>
          <w:p w14:paraId="0785F442" w14:textId="77777777" w:rsidR="00C34B84" w:rsidRPr="00556204" w:rsidRDefault="00C34B84" w:rsidP="00C34B84">
            <w:pPr>
              <w:rPr>
                <w:snapToGrid w:val="0"/>
              </w:rPr>
            </w:pPr>
          </w:p>
          <w:p w14:paraId="3DE7D67C" w14:textId="38F833E3" w:rsidR="00C34B84" w:rsidRPr="00556204" w:rsidRDefault="00C34B84" w:rsidP="00C34B84">
            <w:pPr>
              <w:rPr>
                <w:snapToGrid w:val="0"/>
              </w:rPr>
            </w:pPr>
            <w:r w:rsidRPr="00556204">
              <w:rPr>
                <w:snapToGrid w:val="0"/>
              </w:rPr>
              <w:t xml:space="preserve">Regeringens inställning är att ramverket för EEA fungerar väl, att EEA även fortsatt bör vara det övergripande ramverket för utbildningsfrågor och att grundstrukturen för EEA ska finnas kvar. Regeringen stödjer att de nuvarande arbetsgrupperna inom det strategiska ramverket för EEA ska fortsätta sitt arbete, men är också öppen för att förändringar kan behöva göras baserat på nya eller </w:t>
            </w:r>
            <w:r w:rsidRPr="00556204">
              <w:rPr>
                <w:snapToGrid w:val="0"/>
              </w:rPr>
              <w:lastRenderedPageBreak/>
              <w:t>förändrade strategiska prioriteringar.</w:t>
            </w:r>
          </w:p>
          <w:p w14:paraId="24EB4FE0" w14:textId="77777777" w:rsidR="00C34B84" w:rsidRPr="00556204" w:rsidRDefault="00C34B84" w:rsidP="00C34B84">
            <w:pPr>
              <w:rPr>
                <w:snapToGrid w:val="0"/>
              </w:rPr>
            </w:pPr>
          </w:p>
          <w:p w14:paraId="021C3B80" w14:textId="726417FE" w:rsidR="00C34B84" w:rsidRPr="00556204" w:rsidRDefault="00C34B84" w:rsidP="00C34B84">
            <w:pPr>
              <w:rPr>
                <w:snapToGrid w:val="0"/>
              </w:rPr>
            </w:pPr>
            <w:r w:rsidRPr="00556204">
              <w:rPr>
                <w:snapToGrid w:val="0"/>
              </w:rPr>
              <w:t>Regeringen anser dock att det är viktigt att eventuella justeringar av beslutsfattande och arbetssätt inom ramen för EEA har ett tydligt mervärde och beaktar utbildningens dubbla målsättningar; dvs. dels att förse arbetsmarknaden med rätt utbildad arbetskraft, dels som ett verktyg för individens utveckling och möjlighet att delta i samhället som upplysta, demokratiska medborgare.</w:t>
            </w:r>
          </w:p>
          <w:p w14:paraId="04F96064" w14:textId="77777777" w:rsidR="00C34B84" w:rsidRPr="00556204" w:rsidRDefault="00C34B84" w:rsidP="00C34B84">
            <w:pPr>
              <w:rPr>
                <w:snapToGrid w:val="0"/>
              </w:rPr>
            </w:pPr>
          </w:p>
          <w:p w14:paraId="102358EC" w14:textId="6DF38C34" w:rsidR="00C34B84" w:rsidRPr="00556204" w:rsidRDefault="00C34B84" w:rsidP="00C34B84">
            <w:pPr>
              <w:rPr>
                <w:snapToGrid w:val="0"/>
              </w:rPr>
            </w:pPr>
            <w:r w:rsidRPr="00556204">
              <w:rPr>
                <w:snapToGrid w:val="0"/>
              </w:rPr>
              <w:t>Kompetensfrågorna är av stor vikt för EU:s konkurrenskraft och kompetensfrågorna i kompetensunionen (Union of Skills, UoS), kan utgöra ett viktigt komplement i arbetet med utbildningsfrågorna i EEA.</w:t>
            </w:r>
          </w:p>
          <w:p w14:paraId="3356A9B7" w14:textId="77777777" w:rsidR="00C34B84" w:rsidRPr="00556204" w:rsidRDefault="00C34B84" w:rsidP="00C34B84">
            <w:pPr>
              <w:rPr>
                <w:snapToGrid w:val="0"/>
              </w:rPr>
            </w:pPr>
          </w:p>
          <w:p w14:paraId="37170AC9" w14:textId="1EB9B104" w:rsidR="00C34B84" w:rsidRPr="00556204" w:rsidRDefault="00C34B84" w:rsidP="00C34B84">
            <w:pPr>
              <w:rPr>
                <w:snapToGrid w:val="0"/>
              </w:rPr>
            </w:pPr>
            <w:r w:rsidRPr="00556204">
              <w:rPr>
                <w:snapToGrid w:val="0"/>
              </w:rPr>
              <w:t>Regeringen stödjer skrivningar som betonar vikten av att alla ska ha samma tillgång till likvärdig utbildning av hög kvalitet. Det är av största vikt att arbeta för ett likvärdigt och jämställt utbildningssystem som utjämnar livschanser och bidrar till sammanhållning, demokratiska värderingar, inkludering och gemenskap. Detta främjar livslångt lärande för alla, oavsett bakgrund, kön, ålder, funktionsnedsättning och bostadsort. När det gäller inkludering i utbildning vill regeringen understryka att det inte alltid är så att elever får det bästa eller mest ändamålsenliga stödet inom ramarna för den ordinarie undervisningen och att andra stödformer ibland bör användas. Regeringen vill också understryka att arbeta för att alla ska nå framgång med sin utbildning inte kan användas för att kompromissa med kvalitet och kraven på en utbildning.</w:t>
            </w:r>
          </w:p>
          <w:p w14:paraId="54C8B0A2" w14:textId="77777777" w:rsidR="00C34B84" w:rsidRPr="00556204" w:rsidRDefault="00C34B84" w:rsidP="00C34B84">
            <w:pPr>
              <w:rPr>
                <w:snapToGrid w:val="0"/>
              </w:rPr>
            </w:pPr>
          </w:p>
          <w:p w14:paraId="4F592867" w14:textId="153ACE47" w:rsidR="00C34B84" w:rsidRPr="00556204" w:rsidRDefault="00C34B84" w:rsidP="00C34B84">
            <w:pPr>
              <w:rPr>
                <w:snapToGrid w:val="0"/>
              </w:rPr>
            </w:pPr>
            <w:r w:rsidRPr="00556204">
              <w:rPr>
                <w:snapToGrid w:val="0"/>
              </w:rPr>
              <w:t>Regeringen stödjer de mål på EU-nivå som medlemsstaterna tidigare har kommit överens om inkluderas i resolutionen och det strategiska ramverket för det europeiska utbildningsområdet.</w:t>
            </w:r>
          </w:p>
          <w:p w14:paraId="0C082A5A" w14:textId="304D66C9" w:rsidR="00C34B84" w:rsidRPr="00556204" w:rsidRDefault="00C34B84" w:rsidP="00C34B84">
            <w:pPr>
              <w:rPr>
                <w:snapToGrid w:val="0"/>
              </w:rPr>
            </w:pPr>
          </w:p>
          <w:p w14:paraId="5F7BDF39" w14:textId="322D09F3" w:rsidR="00C34B84" w:rsidRPr="00556204" w:rsidRDefault="00C34B84" w:rsidP="00C34B84">
            <w:pPr>
              <w:rPr>
                <w:snapToGrid w:val="0"/>
              </w:rPr>
            </w:pPr>
            <w:r w:rsidRPr="00556204">
              <w:rPr>
                <w:snapToGrid w:val="0"/>
              </w:rPr>
              <w:t>Regeringen stödjer att kvalitet, likvärdighet och inkludering, liksom livslångt lärande, läraryrket och högre utbildning fortsatt ingår i de strategiska prioriteringarna för arbetet inom EEA. Regeringen stödjer också att det nu har lagts till en strategisk prioritering om yrkesutbildning, så att det tydliggörs att alla delar av utbildningsområdet ingår i EEA.</w:t>
            </w:r>
          </w:p>
          <w:p w14:paraId="04E3739E" w14:textId="77777777" w:rsidR="00C34B84" w:rsidRPr="00556204" w:rsidRDefault="00C34B84" w:rsidP="00C34B84">
            <w:pPr>
              <w:rPr>
                <w:snapToGrid w:val="0"/>
              </w:rPr>
            </w:pPr>
          </w:p>
          <w:p w14:paraId="2E2F66F3" w14:textId="24D71AB0" w:rsidR="00C34B84" w:rsidRPr="00556204" w:rsidRDefault="00C34B84" w:rsidP="00C34B84">
            <w:pPr>
              <w:rPr>
                <w:snapToGrid w:val="0"/>
              </w:rPr>
            </w:pPr>
            <w:r w:rsidRPr="00556204">
              <w:rPr>
                <w:snapToGrid w:val="0"/>
              </w:rPr>
              <w:t>Regeringen har en uttalad önskan om att högre utbildning ska ha en stark internationell prägel och anser att Bolognaprocessen är framgångsrik och ska värnas. Initiativ inom det europeiska utbildningsområdet ska komplettera, inte ersätta, de befintliga Bolognaverktygen.</w:t>
            </w:r>
          </w:p>
          <w:p w14:paraId="6B27A4CE" w14:textId="77777777" w:rsidR="00C34B84" w:rsidRPr="00556204" w:rsidRDefault="00C34B84" w:rsidP="00C34B84">
            <w:pPr>
              <w:rPr>
                <w:snapToGrid w:val="0"/>
              </w:rPr>
            </w:pPr>
          </w:p>
          <w:p w14:paraId="6B8D3890" w14:textId="6AEA6EFD" w:rsidR="00C34B84" w:rsidRPr="00556204" w:rsidRDefault="00C34B84" w:rsidP="00C34B84">
            <w:pPr>
              <w:rPr>
                <w:snapToGrid w:val="0"/>
              </w:rPr>
            </w:pPr>
            <w:r w:rsidRPr="00556204">
              <w:rPr>
                <w:snapToGrid w:val="0"/>
              </w:rPr>
              <w:t xml:space="preserve">Regeringen anser att en utveckling av en gemensam europeisk examen kan bli aktuell först efter att frågan om en europeisk examensmärkning utforskats. Regeringen anser det även viktigt att en eventuell europeisk examensmärkning eller en europeisk examen utformas som en frivillig möjlighet för medlemsstaterna, likväl som för universitet och högskolor. Regeringen är positivt inställd till </w:t>
            </w:r>
            <w:r w:rsidRPr="00556204">
              <w:rPr>
                <w:snapToGrid w:val="0"/>
              </w:rPr>
              <w:lastRenderedPageBreak/>
              <w:t>Europauniversitet.</w:t>
            </w:r>
          </w:p>
          <w:p w14:paraId="3EB0DF5D" w14:textId="77777777" w:rsidR="00C34B84" w:rsidRPr="00556204" w:rsidRDefault="00C34B84" w:rsidP="00C34B84">
            <w:pPr>
              <w:rPr>
                <w:snapToGrid w:val="0"/>
              </w:rPr>
            </w:pPr>
          </w:p>
          <w:p w14:paraId="23BFE6AC" w14:textId="2275CB94" w:rsidR="00C34B84" w:rsidRPr="00556204" w:rsidRDefault="00C34B84" w:rsidP="00C34B84">
            <w:pPr>
              <w:rPr>
                <w:snapToGrid w:val="0"/>
              </w:rPr>
            </w:pPr>
            <w:r w:rsidRPr="00556204">
              <w:rPr>
                <w:snapToGrid w:val="0"/>
              </w:rPr>
              <w:t>Regeringen anser att samarbete inom yrkesutbildning fortsatt bör fokusera på transparensverktyg och förtroende för varandras system och anser inte att ett europeiskt yrkesutbildningsdiplom, som innebär obligatoriskt utbildningsinnehåll, är önskvärt. Regeringen välkomnar frivilligt samarbete mellan länder men ser inte något behov av en utveckling mot ökad harmonisering av utbildningsinnehåll. Det finns skillnader mellan medlemsstaternas nationella sammanhang och medlemsstaternas yrkesutbildningssystem. Även om medlemsstaterna står inför liknande utmaningar är det viktigt att initiativ inte går utöver EU:s befogenheter på utbildningsområdet.</w:t>
            </w:r>
          </w:p>
          <w:p w14:paraId="1C0FA99C" w14:textId="77777777" w:rsidR="00C34B84" w:rsidRPr="00556204" w:rsidRDefault="00C34B84" w:rsidP="00C34B84">
            <w:pPr>
              <w:rPr>
                <w:snapToGrid w:val="0"/>
              </w:rPr>
            </w:pPr>
          </w:p>
          <w:p w14:paraId="246CE751" w14:textId="14011FCA" w:rsidR="00C34B84" w:rsidRPr="00556204" w:rsidRDefault="00C34B84" w:rsidP="00C34B84">
            <w:pPr>
              <w:rPr>
                <w:snapToGrid w:val="0"/>
              </w:rPr>
            </w:pPr>
            <w:r w:rsidRPr="00556204">
              <w:rPr>
                <w:snapToGrid w:val="0"/>
              </w:rPr>
              <w:t>Regeringen anser att det är viktigt att uppmärksamma utbildningens roll när det gäller att öka medborgarnas kunskaper om demokratiska normer och värderingar samt för att stärka deltagandet i det civila samhället och att öka EU:s motståndskraft.</w:t>
            </w:r>
          </w:p>
          <w:p w14:paraId="2A6FC4AC" w14:textId="77777777" w:rsidR="00C34B84" w:rsidRPr="00556204" w:rsidRDefault="00C34B84" w:rsidP="00C34B84">
            <w:pPr>
              <w:rPr>
                <w:snapToGrid w:val="0"/>
              </w:rPr>
            </w:pPr>
          </w:p>
          <w:p w14:paraId="1CD8B861" w14:textId="77777777" w:rsidR="00C34B84" w:rsidRPr="00556204" w:rsidRDefault="00C34B84" w:rsidP="00C34B84">
            <w:pPr>
              <w:tabs>
                <w:tab w:val="left" w:pos="1701"/>
              </w:tabs>
              <w:rPr>
                <w:bCs/>
                <w:i/>
                <w:iCs/>
                <w:snapToGrid w:val="0"/>
                <w:szCs w:val="24"/>
              </w:rPr>
            </w:pPr>
            <w:r w:rsidRPr="00556204">
              <w:rPr>
                <w:bCs/>
                <w:i/>
                <w:iCs/>
                <w:snapToGrid w:val="0"/>
                <w:szCs w:val="24"/>
              </w:rPr>
              <w:t>Överläggningen</w:t>
            </w:r>
          </w:p>
          <w:p w14:paraId="465A5174" w14:textId="380F0845" w:rsidR="00C34B84" w:rsidRPr="00556204" w:rsidRDefault="00C34B84" w:rsidP="00494EEE">
            <w:pPr>
              <w:tabs>
                <w:tab w:val="left" w:pos="1701"/>
              </w:tabs>
              <w:rPr>
                <w:bCs/>
                <w:snapToGrid w:val="0"/>
                <w:szCs w:val="24"/>
              </w:rPr>
            </w:pPr>
            <w:r w:rsidRPr="00556204">
              <w:rPr>
                <w:bCs/>
                <w:snapToGrid w:val="0"/>
                <w:szCs w:val="24"/>
              </w:rPr>
              <w:t>Ordföranden konstaterade att det fanns stöd för regeringens ståndpunkt.</w:t>
            </w:r>
          </w:p>
          <w:p w14:paraId="5F4D68EE" w14:textId="54F6D6A6" w:rsidR="00C34B84" w:rsidRPr="00556204" w:rsidRDefault="00C34B84">
            <w:pPr>
              <w:tabs>
                <w:tab w:val="left" w:pos="1701"/>
              </w:tabs>
              <w:rPr>
                <w:b/>
                <w:snapToGrid w:val="0"/>
              </w:rPr>
            </w:pPr>
          </w:p>
        </w:tc>
      </w:tr>
      <w:tr w:rsidR="00DC7C43" w14:paraId="0AFD4E95" w14:textId="77777777" w:rsidTr="0001177E">
        <w:tc>
          <w:tcPr>
            <w:tcW w:w="567" w:type="dxa"/>
          </w:tcPr>
          <w:p w14:paraId="4D71F3DD" w14:textId="77777777" w:rsidR="00DC7C43" w:rsidRPr="003B4DE8" w:rsidRDefault="00DC7C43" w:rsidP="003B4DE8">
            <w:pPr>
              <w:pStyle w:val="Liststycke"/>
              <w:numPr>
                <w:ilvl w:val="0"/>
                <w:numId w:val="2"/>
              </w:numPr>
              <w:tabs>
                <w:tab w:val="left" w:pos="1701"/>
              </w:tabs>
              <w:rPr>
                <w:b/>
                <w:snapToGrid w:val="0"/>
              </w:rPr>
            </w:pPr>
          </w:p>
        </w:tc>
        <w:tc>
          <w:tcPr>
            <w:tcW w:w="6946" w:type="dxa"/>
            <w:gridSpan w:val="2"/>
          </w:tcPr>
          <w:p w14:paraId="590A6332" w14:textId="77777777" w:rsidR="00DC7C43" w:rsidRDefault="00C34B84">
            <w:pPr>
              <w:tabs>
                <w:tab w:val="left" w:pos="1701"/>
              </w:tabs>
              <w:rPr>
                <w:b/>
              </w:rPr>
            </w:pPr>
            <w:r w:rsidRPr="00114342">
              <w:rPr>
                <w:b/>
              </w:rPr>
              <w:t>EU-information om det danska ordförandeskapets prioriteringar i EU-arbetet på utbildningsområdet hösten 2025</w:t>
            </w:r>
          </w:p>
          <w:p w14:paraId="6C239877" w14:textId="2007EDD9" w:rsidR="00C34B84" w:rsidRDefault="00C34B84">
            <w:pPr>
              <w:tabs>
                <w:tab w:val="left" w:pos="1701"/>
              </w:tabs>
              <w:rPr>
                <w:b/>
              </w:rPr>
            </w:pPr>
          </w:p>
          <w:p w14:paraId="6B3C708D" w14:textId="4DFAB725" w:rsidR="00C34B84" w:rsidRDefault="00C34B84">
            <w:pPr>
              <w:tabs>
                <w:tab w:val="left" w:pos="1701"/>
              </w:tabs>
              <w:rPr>
                <w:b/>
              </w:rPr>
            </w:pPr>
            <w:r>
              <w:rPr>
                <w:bCs/>
              </w:rPr>
              <w:t>S</w:t>
            </w:r>
            <w:r w:rsidRPr="00114342">
              <w:rPr>
                <w:bCs/>
              </w:rPr>
              <w:t>tatssekreterare Oskar Wåglund Söderström</w:t>
            </w:r>
            <w:r>
              <w:rPr>
                <w:bCs/>
              </w:rPr>
              <w:t>, biträdd av medarbetare från Utbildningsdepartementet</w:t>
            </w:r>
            <w:r w:rsidR="00556204">
              <w:rPr>
                <w:bCs/>
              </w:rPr>
              <w:t xml:space="preserve"> och Socialdepartementet</w:t>
            </w:r>
            <w:r>
              <w:rPr>
                <w:bCs/>
              </w:rPr>
              <w:t>, informerade om det danska ordförandeskapets prioriteringar i EU-arbetet på utbildningsområdet hösten 2025.</w:t>
            </w:r>
          </w:p>
          <w:p w14:paraId="27A54964" w14:textId="7E8C6C4C" w:rsidR="00C34B84" w:rsidRDefault="00C34B84">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16C8CEBC"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35867">
              <w:rPr>
                <w:snapToGrid w:val="0"/>
                <w:sz w:val="23"/>
                <w:szCs w:val="23"/>
              </w:rPr>
              <w:t>5</w:t>
            </w:r>
            <w:r w:rsidR="00267FC1" w:rsidRPr="008D4BF2">
              <w:rPr>
                <w:snapToGrid w:val="0"/>
                <w:sz w:val="23"/>
                <w:szCs w:val="23"/>
              </w:rPr>
              <w:t>/</w:t>
            </w:r>
            <w:r w:rsidR="00E362AB" w:rsidRPr="008D4BF2">
              <w:rPr>
                <w:snapToGrid w:val="0"/>
                <w:sz w:val="23"/>
                <w:szCs w:val="23"/>
              </w:rPr>
              <w:t>2</w:t>
            </w:r>
            <w:r w:rsidR="00135867">
              <w:rPr>
                <w:snapToGrid w:val="0"/>
                <w:sz w:val="23"/>
                <w:szCs w:val="23"/>
              </w:rPr>
              <w:t>6</w:t>
            </w:r>
            <w:r w:rsidR="00A2367D" w:rsidRPr="008D4BF2">
              <w:rPr>
                <w:snapToGrid w:val="0"/>
                <w:sz w:val="23"/>
                <w:szCs w:val="23"/>
              </w:rPr>
              <w:t>:</w:t>
            </w:r>
            <w:r w:rsidR="000274DC">
              <w:rPr>
                <w:snapToGrid w:val="0"/>
                <w:sz w:val="23"/>
                <w:szCs w:val="23"/>
              </w:rPr>
              <w:t>3</w:t>
            </w:r>
            <w:r w:rsidR="00447E69">
              <w:rPr>
                <w:snapToGrid w:val="0"/>
              </w:rPr>
              <w:t>.</w:t>
            </w:r>
          </w:p>
          <w:p w14:paraId="69A855E0" w14:textId="77777777" w:rsidR="00447E69" w:rsidRDefault="00447E69">
            <w:pPr>
              <w:tabs>
                <w:tab w:val="left" w:pos="1701"/>
              </w:tabs>
              <w:rPr>
                <w:snapToGrid w:val="0"/>
              </w:rPr>
            </w:pPr>
          </w:p>
        </w:tc>
      </w:tr>
      <w:tr w:rsidR="00DC7C43" w14:paraId="504C5203" w14:textId="77777777" w:rsidTr="0001177E">
        <w:tc>
          <w:tcPr>
            <w:tcW w:w="567" w:type="dxa"/>
          </w:tcPr>
          <w:p w14:paraId="2B667863" w14:textId="77777777" w:rsidR="00DC7C43" w:rsidRPr="003B4DE8" w:rsidRDefault="00DC7C43" w:rsidP="003B4DE8">
            <w:pPr>
              <w:pStyle w:val="Liststycke"/>
              <w:numPr>
                <w:ilvl w:val="0"/>
                <w:numId w:val="2"/>
              </w:numPr>
              <w:tabs>
                <w:tab w:val="left" w:pos="1701"/>
              </w:tabs>
              <w:rPr>
                <w:b/>
                <w:snapToGrid w:val="0"/>
              </w:rPr>
            </w:pPr>
          </w:p>
        </w:tc>
        <w:tc>
          <w:tcPr>
            <w:tcW w:w="6946" w:type="dxa"/>
            <w:gridSpan w:val="2"/>
          </w:tcPr>
          <w:p w14:paraId="040AD7E4" w14:textId="77777777" w:rsidR="00DC7C43" w:rsidRDefault="00C34B84">
            <w:pPr>
              <w:tabs>
                <w:tab w:val="left" w:pos="1701"/>
              </w:tabs>
              <w:rPr>
                <w:b/>
              </w:rPr>
            </w:pPr>
            <w:r w:rsidRPr="00114342">
              <w:rPr>
                <w:b/>
              </w:rPr>
              <w:t>Förslag till Europaparlamentets och rådets förordning om inrättande av Horisont Europa, ramprogrammet för forskning och innovation, för perioden 2028–2034 samt om fastställande av dess regler för deltagande och spridning och om upphävande av förordning (EU) 2021/695</w:t>
            </w:r>
          </w:p>
          <w:p w14:paraId="05D83C71" w14:textId="784C6EEE" w:rsidR="00C34B84" w:rsidRDefault="00C34B84">
            <w:pPr>
              <w:tabs>
                <w:tab w:val="left" w:pos="1701"/>
              </w:tabs>
              <w:rPr>
                <w:b/>
              </w:rPr>
            </w:pPr>
          </w:p>
          <w:p w14:paraId="274890EE" w14:textId="6EA48E00" w:rsidR="00C34B84" w:rsidRDefault="00C34B84">
            <w:pPr>
              <w:tabs>
                <w:tab w:val="left" w:pos="1701"/>
              </w:tabs>
              <w:rPr>
                <w:bCs/>
                <w:snapToGrid w:val="0"/>
              </w:rPr>
            </w:pPr>
            <w:r w:rsidRPr="00C34B84">
              <w:rPr>
                <w:bCs/>
                <w:snapToGrid w:val="0"/>
              </w:rPr>
              <w:t>Utskottet inledde subsidiaritetsprövningen av</w:t>
            </w:r>
            <w:r>
              <w:rPr>
                <w:bCs/>
                <w:snapToGrid w:val="0"/>
              </w:rPr>
              <w:t xml:space="preserve"> </w:t>
            </w:r>
            <w:proofErr w:type="gramStart"/>
            <w:r w:rsidRPr="00C34B84">
              <w:rPr>
                <w:bCs/>
                <w:snapToGrid w:val="0"/>
              </w:rPr>
              <w:t>COM(</w:t>
            </w:r>
            <w:proofErr w:type="gramEnd"/>
            <w:r w:rsidRPr="00C34B84">
              <w:rPr>
                <w:bCs/>
                <w:snapToGrid w:val="0"/>
              </w:rPr>
              <w:t>2025) 543</w:t>
            </w:r>
            <w:r>
              <w:rPr>
                <w:bCs/>
                <w:snapToGrid w:val="0"/>
              </w:rPr>
              <w:t>.</w:t>
            </w:r>
          </w:p>
          <w:p w14:paraId="75E7CE3A" w14:textId="58DF8433" w:rsidR="00C34B84" w:rsidRDefault="00C34B84">
            <w:pPr>
              <w:tabs>
                <w:tab w:val="left" w:pos="1701"/>
              </w:tabs>
              <w:rPr>
                <w:bCs/>
                <w:snapToGrid w:val="0"/>
              </w:rPr>
            </w:pPr>
          </w:p>
          <w:p w14:paraId="11DF7F8F" w14:textId="2A43EEC3" w:rsidR="00C34B84" w:rsidRDefault="00C34B84">
            <w:pPr>
              <w:tabs>
                <w:tab w:val="left" w:pos="1701"/>
              </w:tabs>
              <w:rPr>
                <w:b/>
              </w:rPr>
            </w:pPr>
            <w:r>
              <w:rPr>
                <w:bCs/>
                <w:snapToGrid w:val="0"/>
              </w:rPr>
              <w:t>Utskottet ansåg att förslaget inte strider mot subsidiaritetsprincipen.</w:t>
            </w:r>
          </w:p>
          <w:p w14:paraId="15253AC5" w14:textId="2F08F629" w:rsidR="00C34B84" w:rsidRDefault="00C34B84">
            <w:pPr>
              <w:tabs>
                <w:tab w:val="left" w:pos="1701"/>
              </w:tabs>
              <w:rPr>
                <w:b/>
                <w:snapToGrid w:val="0"/>
              </w:rPr>
            </w:pPr>
          </w:p>
        </w:tc>
      </w:tr>
      <w:tr w:rsidR="00DC7C43" w14:paraId="54BCB05B" w14:textId="77777777" w:rsidTr="0001177E">
        <w:tc>
          <w:tcPr>
            <w:tcW w:w="567" w:type="dxa"/>
          </w:tcPr>
          <w:p w14:paraId="13156DAD" w14:textId="77777777" w:rsidR="00DC7C43" w:rsidRPr="003B4DE8" w:rsidRDefault="00DC7C43" w:rsidP="003B4DE8">
            <w:pPr>
              <w:pStyle w:val="Liststycke"/>
              <w:numPr>
                <w:ilvl w:val="0"/>
                <w:numId w:val="2"/>
              </w:numPr>
              <w:tabs>
                <w:tab w:val="left" w:pos="1701"/>
              </w:tabs>
              <w:rPr>
                <w:b/>
                <w:snapToGrid w:val="0"/>
              </w:rPr>
            </w:pPr>
          </w:p>
        </w:tc>
        <w:tc>
          <w:tcPr>
            <w:tcW w:w="6946" w:type="dxa"/>
            <w:gridSpan w:val="2"/>
          </w:tcPr>
          <w:p w14:paraId="5CE3E19B" w14:textId="77777777" w:rsidR="00DC7C43" w:rsidRDefault="00C34B84">
            <w:pPr>
              <w:tabs>
                <w:tab w:val="left" w:pos="1701"/>
              </w:tabs>
              <w:rPr>
                <w:b/>
              </w:rPr>
            </w:pPr>
            <w:r w:rsidRPr="00114342">
              <w:rPr>
                <w:b/>
              </w:rPr>
              <w:t>Förslag till Europaparlamentets och rådets beslut om inrättande av särskilda programmet för implementering av Horisont Europa – ramprogrammet för forskning och innovation för perioden 2028–2034, om fastställande av regler för deltagande och spridning under detta program samt om upphävande av beslut (EU) 2021/764</w:t>
            </w:r>
          </w:p>
          <w:p w14:paraId="5FFD1025" w14:textId="78675B9B" w:rsidR="00C34B84" w:rsidRDefault="00C34B84">
            <w:pPr>
              <w:tabs>
                <w:tab w:val="left" w:pos="1701"/>
              </w:tabs>
              <w:rPr>
                <w:b/>
              </w:rPr>
            </w:pPr>
          </w:p>
          <w:p w14:paraId="303248B0" w14:textId="4CBAEC9B" w:rsidR="00C34B84" w:rsidRDefault="00C34B84">
            <w:pPr>
              <w:tabs>
                <w:tab w:val="left" w:pos="1701"/>
              </w:tabs>
              <w:rPr>
                <w:bCs/>
                <w:snapToGrid w:val="0"/>
              </w:rPr>
            </w:pPr>
            <w:r w:rsidRPr="00C34B84">
              <w:rPr>
                <w:bCs/>
                <w:snapToGrid w:val="0"/>
              </w:rPr>
              <w:lastRenderedPageBreak/>
              <w:t>Utskottet inledde subsidiaritetsprövningen av</w:t>
            </w:r>
            <w:r>
              <w:rPr>
                <w:bCs/>
                <w:snapToGrid w:val="0"/>
              </w:rPr>
              <w:t xml:space="preserve"> </w:t>
            </w:r>
            <w:proofErr w:type="gramStart"/>
            <w:r w:rsidRPr="00C34B84">
              <w:rPr>
                <w:bCs/>
                <w:snapToGrid w:val="0"/>
              </w:rPr>
              <w:t>COM(</w:t>
            </w:r>
            <w:proofErr w:type="gramEnd"/>
            <w:r w:rsidRPr="00C34B84">
              <w:rPr>
                <w:bCs/>
                <w:snapToGrid w:val="0"/>
              </w:rPr>
              <w:t>2025) 544</w:t>
            </w:r>
            <w:r>
              <w:rPr>
                <w:bCs/>
                <w:snapToGrid w:val="0"/>
              </w:rPr>
              <w:t>.</w:t>
            </w:r>
          </w:p>
          <w:p w14:paraId="4E05D6ED" w14:textId="51130E26" w:rsidR="00C34B84" w:rsidRDefault="00C34B84">
            <w:pPr>
              <w:tabs>
                <w:tab w:val="left" w:pos="1701"/>
              </w:tabs>
              <w:rPr>
                <w:bCs/>
                <w:snapToGrid w:val="0"/>
              </w:rPr>
            </w:pPr>
          </w:p>
          <w:p w14:paraId="6312AFA7" w14:textId="4156A1FB" w:rsidR="00C34B84" w:rsidRDefault="00C34B84">
            <w:pPr>
              <w:tabs>
                <w:tab w:val="left" w:pos="1701"/>
              </w:tabs>
              <w:rPr>
                <w:b/>
              </w:rPr>
            </w:pPr>
            <w:r>
              <w:rPr>
                <w:bCs/>
                <w:snapToGrid w:val="0"/>
              </w:rPr>
              <w:t>Utskottet ansåg att förslaget inte strider mot subsidiaritetsprincipen.</w:t>
            </w:r>
          </w:p>
          <w:p w14:paraId="381D3D12" w14:textId="2D52E3E2" w:rsidR="00C34B84" w:rsidRDefault="00C34B84">
            <w:pPr>
              <w:tabs>
                <w:tab w:val="left" w:pos="1701"/>
              </w:tabs>
              <w:rPr>
                <w:b/>
                <w:snapToGrid w:val="0"/>
              </w:rPr>
            </w:pPr>
          </w:p>
        </w:tc>
      </w:tr>
      <w:tr w:rsidR="00DC7C43" w14:paraId="5B6D9913" w14:textId="77777777" w:rsidTr="0001177E">
        <w:tc>
          <w:tcPr>
            <w:tcW w:w="567" w:type="dxa"/>
          </w:tcPr>
          <w:p w14:paraId="198A90E9" w14:textId="77777777" w:rsidR="00DC7C43" w:rsidRPr="003B4DE8" w:rsidRDefault="00DC7C43" w:rsidP="003B4DE8">
            <w:pPr>
              <w:pStyle w:val="Liststycke"/>
              <w:numPr>
                <w:ilvl w:val="0"/>
                <w:numId w:val="2"/>
              </w:numPr>
              <w:tabs>
                <w:tab w:val="left" w:pos="1701"/>
              </w:tabs>
              <w:rPr>
                <w:b/>
                <w:snapToGrid w:val="0"/>
              </w:rPr>
            </w:pPr>
          </w:p>
        </w:tc>
        <w:tc>
          <w:tcPr>
            <w:tcW w:w="6946" w:type="dxa"/>
            <w:gridSpan w:val="2"/>
          </w:tcPr>
          <w:p w14:paraId="4F095409" w14:textId="77777777" w:rsidR="00DC7C43" w:rsidRDefault="00C34B84">
            <w:pPr>
              <w:tabs>
                <w:tab w:val="left" w:pos="1701"/>
              </w:tabs>
              <w:rPr>
                <w:b/>
              </w:rPr>
            </w:pPr>
            <w:r w:rsidRPr="00114342">
              <w:rPr>
                <w:b/>
              </w:rPr>
              <w:t xml:space="preserve">Förslag till </w:t>
            </w:r>
            <w:r>
              <w:rPr>
                <w:b/>
              </w:rPr>
              <w:t xml:space="preserve">Europaparlamentets och rådets </w:t>
            </w:r>
            <w:r w:rsidRPr="00114342">
              <w:rPr>
                <w:b/>
              </w:rPr>
              <w:t xml:space="preserve">förordning om etablering av EU:s program Erasmus+ för </w:t>
            </w:r>
            <w:r>
              <w:rPr>
                <w:b/>
              </w:rPr>
              <w:t>perioden</w:t>
            </w:r>
            <w:r w:rsidRPr="00114342">
              <w:rPr>
                <w:b/>
              </w:rPr>
              <w:t xml:space="preserve"> 2028–2034 och upphävande av förordning (EU) 2021/817 och förordning (EU) 2021/888</w:t>
            </w:r>
          </w:p>
          <w:p w14:paraId="2AEB7CAB" w14:textId="77777777" w:rsidR="00C34B84" w:rsidRDefault="00C34B84">
            <w:pPr>
              <w:tabs>
                <w:tab w:val="left" w:pos="1701"/>
              </w:tabs>
              <w:rPr>
                <w:b/>
                <w:snapToGrid w:val="0"/>
              </w:rPr>
            </w:pPr>
          </w:p>
          <w:p w14:paraId="4D14EBCD" w14:textId="77777777" w:rsidR="00C34B84" w:rsidRPr="00C34B84" w:rsidRDefault="00C34B84">
            <w:pPr>
              <w:tabs>
                <w:tab w:val="left" w:pos="1701"/>
              </w:tabs>
              <w:rPr>
                <w:bCs/>
                <w:snapToGrid w:val="0"/>
              </w:rPr>
            </w:pPr>
            <w:r w:rsidRPr="00C34B84">
              <w:rPr>
                <w:bCs/>
                <w:snapToGrid w:val="0"/>
              </w:rPr>
              <w:t xml:space="preserve">Utskottet inledde subsidiaritetsprövningen av </w:t>
            </w:r>
            <w:proofErr w:type="gramStart"/>
            <w:r w:rsidRPr="00C34B84">
              <w:rPr>
                <w:bCs/>
                <w:snapToGrid w:val="0"/>
              </w:rPr>
              <w:t>COM(</w:t>
            </w:r>
            <w:proofErr w:type="gramEnd"/>
            <w:r w:rsidRPr="00C34B84">
              <w:rPr>
                <w:bCs/>
                <w:snapToGrid w:val="0"/>
              </w:rPr>
              <w:t>2025) 549.</w:t>
            </w:r>
          </w:p>
          <w:p w14:paraId="3C36EABD" w14:textId="77777777" w:rsidR="00C34B84" w:rsidRPr="00C34B84" w:rsidRDefault="00C34B84">
            <w:pPr>
              <w:tabs>
                <w:tab w:val="left" w:pos="1701"/>
              </w:tabs>
              <w:rPr>
                <w:bCs/>
                <w:snapToGrid w:val="0"/>
              </w:rPr>
            </w:pPr>
          </w:p>
          <w:p w14:paraId="5333E622" w14:textId="77777777" w:rsidR="00C34B84" w:rsidRPr="00C34B84" w:rsidRDefault="00C34B84">
            <w:pPr>
              <w:tabs>
                <w:tab w:val="left" w:pos="1701"/>
              </w:tabs>
              <w:rPr>
                <w:bCs/>
                <w:snapToGrid w:val="0"/>
              </w:rPr>
            </w:pPr>
            <w:r w:rsidRPr="00C34B84">
              <w:rPr>
                <w:bCs/>
                <w:snapToGrid w:val="0"/>
              </w:rPr>
              <w:t>Under förutsättning att förslaget hänvisas till utskottet för subsidiaritetsprövning ansåg utskottet att förslaget inte strider mot subsidiaritetsprincipen.</w:t>
            </w:r>
          </w:p>
          <w:p w14:paraId="73E60C2A" w14:textId="6B7A7052" w:rsidR="00C34B84" w:rsidRDefault="00C34B84">
            <w:pPr>
              <w:tabs>
                <w:tab w:val="left" w:pos="1701"/>
              </w:tabs>
              <w:rPr>
                <w:b/>
                <w:snapToGrid w:val="0"/>
              </w:rPr>
            </w:pPr>
          </w:p>
        </w:tc>
      </w:tr>
      <w:tr w:rsidR="00BD0D32" w14:paraId="1B96B847" w14:textId="77777777" w:rsidTr="0001177E">
        <w:tc>
          <w:tcPr>
            <w:tcW w:w="567" w:type="dxa"/>
          </w:tcPr>
          <w:p w14:paraId="5278D7F0" w14:textId="77777777" w:rsidR="00BD0D32" w:rsidRPr="003B4DE8" w:rsidRDefault="00BD0D32" w:rsidP="003B4DE8">
            <w:pPr>
              <w:pStyle w:val="Liststycke"/>
              <w:numPr>
                <w:ilvl w:val="0"/>
                <w:numId w:val="2"/>
              </w:numPr>
              <w:tabs>
                <w:tab w:val="left" w:pos="1701"/>
              </w:tabs>
              <w:rPr>
                <w:b/>
                <w:snapToGrid w:val="0"/>
              </w:rPr>
            </w:pPr>
          </w:p>
        </w:tc>
        <w:tc>
          <w:tcPr>
            <w:tcW w:w="6946" w:type="dxa"/>
            <w:gridSpan w:val="2"/>
          </w:tcPr>
          <w:p w14:paraId="115C9E09" w14:textId="3A13C9B4" w:rsidR="00BD0D32" w:rsidRDefault="00C34B84" w:rsidP="00BD0D32">
            <w:pPr>
              <w:tabs>
                <w:tab w:val="left" w:pos="1701"/>
              </w:tabs>
              <w:rPr>
                <w:b/>
                <w:color w:val="000000"/>
              </w:rPr>
            </w:pPr>
            <w:r>
              <w:rPr>
                <w:b/>
                <w:color w:val="000000"/>
              </w:rPr>
              <w:t>Ökat informationsutbyte mellan myndigheter – en ny sekretessbrytande bestämmelse</w:t>
            </w:r>
          </w:p>
          <w:p w14:paraId="242DDE9A" w14:textId="77777777" w:rsidR="00C34B84" w:rsidRDefault="00C34B84" w:rsidP="00BD0D32">
            <w:pPr>
              <w:tabs>
                <w:tab w:val="left" w:pos="1701"/>
              </w:tabs>
              <w:rPr>
                <w:b/>
                <w:bCs/>
              </w:rPr>
            </w:pPr>
          </w:p>
          <w:p w14:paraId="70F82DFC" w14:textId="6956FD91" w:rsidR="00C34B84" w:rsidRDefault="00C34B84" w:rsidP="00C34B84">
            <w:pPr>
              <w:tabs>
                <w:tab w:val="left" w:pos="1701"/>
              </w:tabs>
            </w:pPr>
            <w:r w:rsidRPr="008D4BF2">
              <w:t xml:space="preserve">Utskottet </w:t>
            </w:r>
            <w:r>
              <w:t xml:space="preserve">fortsatte behandlingen av frågan om ett yttrande till konstitutionsutskottet över proposition 2024/25:180 och motioner. </w:t>
            </w:r>
          </w:p>
          <w:p w14:paraId="6B3E65FA" w14:textId="77777777" w:rsidR="00BD0D32" w:rsidRPr="008D4BF2" w:rsidRDefault="00BD0D32" w:rsidP="00BD0D32">
            <w:pPr>
              <w:tabs>
                <w:tab w:val="left" w:pos="1701"/>
              </w:tabs>
            </w:pPr>
          </w:p>
          <w:p w14:paraId="53DB1404" w14:textId="77777777" w:rsidR="00BD0D32" w:rsidRDefault="00BD0D32" w:rsidP="00BD0D32">
            <w:pPr>
              <w:tabs>
                <w:tab w:val="left" w:pos="1701"/>
              </w:tabs>
              <w:rPr>
                <w:b/>
                <w:bCs/>
              </w:rPr>
            </w:pPr>
            <w:r w:rsidRPr="008D4BF2">
              <w:t>Ärendet bordlades.</w:t>
            </w:r>
            <w:r>
              <w:rPr>
                <w:b/>
                <w:bCs/>
              </w:rPr>
              <w:t xml:space="preserve"> </w:t>
            </w:r>
          </w:p>
          <w:p w14:paraId="0100ED28" w14:textId="77777777" w:rsidR="00BD0D32" w:rsidRDefault="00BD0D32" w:rsidP="00BB7028">
            <w:pPr>
              <w:tabs>
                <w:tab w:val="left" w:pos="1701"/>
              </w:tabs>
              <w:rPr>
                <w:b/>
                <w:bCs/>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7D1CEC6D"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0274DC">
              <w:rPr>
                <w:szCs w:val="24"/>
              </w:rPr>
              <w:t>tis</w:t>
            </w:r>
            <w:r w:rsidR="00BB7028">
              <w:rPr>
                <w:szCs w:val="24"/>
              </w:rPr>
              <w:t xml:space="preserve">dagen den </w:t>
            </w:r>
            <w:r w:rsidR="000274DC">
              <w:rPr>
                <w:szCs w:val="24"/>
              </w:rPr>
              <w:t>30</w:t>
            </w:r>
            <w:r w:rsidR="00575176">
              <w:rPr>
                <w:szCs w:val="24"/>
              </w:rPr>
              <w:t xml:space="preserve"> </w:t>
            </w:r>
            <w:r w:rsidR="001B67B2">
              <w:rPr>
                <w:szCs w:val="24"/>
              </w:rPr>
              <w:t>september</w:t>
            </w:r>
            <w:r w:rsidR="008D4BF2">
              <w:rPr>
                <w:szCs w:val="24"/>
              </w:rPr>
              <w:t xml:space="preserve"> </w:t>
            </w:r>
            <w:r w:rsidR="00BB7028">
              <w:rPr>
                <w:szCs w:val="24"/>
              </w:rPr>
              <w:t>20</w:t>
            </w:r>
            <w:r w:rsidR="005F0E85">
              <w:rPr>
                <w:szCs w:val="24"/>
              </w:rPr>
              <w:t>2</w:t>
            </w:r>
            <w:r w:rsidR="002406D5">
              <w:rPr>
                <w:szCs w:val="24"/>
              </w:rPr>
              <w:t>5</w:t>
            </w:r>
            <w:r>
              <w:rPr>
                <w:szCs w:val="24"/>
              </w:rPr>
              <w:t xml:space="preserve"> kl. </w:t>
            </w:r>
            <w:r w:rsidR="000274DC">
              <w:rPr>
                <w:szCs w:val="24"/>
              </w:rPr>
              <w:t>11</w:t>
            </w:r>
            <w:r>
              <w:rPr>
                <w:szCs w:val="24"/>
              </w:rPr>
              <w:t>.00.</w:t>
            </w:r>
          </w:p>
        </w:tc>
      </w:tr>
      <w:tr w:rsidR="003B4DE8" w14:paraId="5405B6CE" w14:textId="77777777" w:rsidTr="0001177E">
        <w:trPr>
          <w:gridAfter w:val="1"/>
          <w:wAfter w:w="357" w:type="dxa"/>
        </w:trPr>
        <w:tc>
          <w:tcPr>
            <w:tcW w:w="7156" w:type="dxa"/>
            <w:gridSpan w:val="2"/>
          </w:tcPr>
          <w:p w14:paraId="0134A1F1" w14:textId="5BCEE557" w:rsidR="003B4DE8" w:rsidRDefault="003B4DE8" w:rsidP="003B4DE8">
            <w:pPr>
              <w:tabs>
                <w:tab w:val="left" w:pos="1701"/>
              </w:tabs>
              <w:rPr>
                <w:b/>
              </w:rPr>
            </w:pPr>
          </w:p>
          <w:p w14:paraId="2B410FBA" w14:textId="77777777" w:rsidR="00BD6AAA" w:rsidRDefault="00BD6AAA"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35D98C43" w:rsidR="00D817DA" w:rsidRDefault="000274DC"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1537567E" w:rsidR="00D817DA" w:rsidRDefault="00D817DA" w:rsidP="00D817DA">
            <w:pPr>
              <w:tabs>
                <w:tab w:val="left" w:pos="1701"/>
              </w:tabs>
            </w:pPr>
            <w:r w:rsidRPr="00C56172">
              <w:t xml:space="preserve">Justeras </w:t>
            </w:r>
            <w:r w:rsidR="000274DC">
              <w:t>tis</w:t>
            </w:r>
            <w:r w:rsidRPr="00C56172">
              <w:t xml:space="preserve">dagen </w:t>
            </w:r>
            <w:r w:rsidR="008D4BF2">
              <w:t xml:space="preserve">den </w:t>
            </w:r>
            <w:r w:rsidR="000274DC">
              <w:t xml:space="preserve">30 </w:t>
            </w:r>
            <w:r w:rsidR="001B67B2">
              <w:t>september</w:t>
            </w:r>
            <w:r w:rsidR="00BB7028">
              <w:t xml:space="preserve"> 20</w:t>
            </w:r>
            <w:r w:rsidR="005F0E85">
              <w:t>2</w:t>
            </w:r>
            <w:r w:rsidR="002406D5">
              <w:t>5</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12806573" w:rsidR="00822AF4" w:rsidRDefault="00822AF4" w:rsidP="007A14AA">
            <w:pPr>
              <w:tabs>
                <w:tab w:val="left" w:pos="1276"/>
              </w:tabs>
              <w:rPr>
                <w:b/>
              </w:rPr>
            </w:pPr>
            <w:r>
              <w:rPr>
                <w:b/>
              </w:rPr>
              <w:t>Bilaga</w:t>
            </w:r>
          </w:p>
          <w:p w14:paraId="153E390B" w14:textId="77777777" w:rsidR="00822AF4" w:rsidRPr="00DB43E0" w:rsidRDefault="00822AF4" w:rsidP="007A14AA">
            <w:pPr>
              <w:tabs>
                <w:tab w:val="left" w:pos="1276"/>
              </w:tabs>
            </w:pPr>
            <w:r w:rsidRPr="00DB43E0">
              <w:t>till protokoll</w:t>
            </w:r>
          </w:p>
          <w:p w14:paraId="0F1F14FE" w14:textId="6A40A333" w:rsidR="00822AF4" w:rsidRPr="00310016" w:rsidRDefault="00822AF4" w:rsidP="007A14AA">
            <w:pPr>
              <w:tabs>
                <w:tab w:val="left" w:pos="1276"/>
              </w:tabs>
              <w:rPr>
                <w:b/>
              </w:rPr>
            </w:pPr>
            <w:r w:rsidRPr="00DB43E0">
              <w:t>202</w:t>
            </w:r>
            <w:r w:rsidR="00135867">
              <w:t>5</w:t>
            </w:r>
            <w:r w:rsidRPr="00DB43E0">
              <w:t>/2</w:t>
            </w:r>
            <w:r w:rsidR="00135867">
              <w:t>6</w:t>
            </w:r>
            <w:r w:rsidRPr="00DB43E0">
              <w:t>:</w:t>
            </w:r>
            <w:r w:rsidR="000274DC">
              <w:t>4</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78723F69"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0A729C">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14:paraId="1B6C0EF0" w14:textId="24EADC99"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A47142">
              <w:rPr>
                <w:sz w:val="22"/>
              </w:rPr>
              <w:t>2</w:t>
            </w:r>
            <w:r w:rsidR="000A729C">
              <w:rPr>
                <w:sz w:val="22"/>
              </w:rPr>
              <w:t>-9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0A729C" w:rsidRPr="00C145F4"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0A729C" w:rsidRPr="003F58FF"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08FB827D"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0A729C" w:rsidRPr="00C145F4"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22DF131C" w:rsidR="000A729C" w:rsidRPr="003F58FF"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0A729C" w:rsidRPr="00C145F4" w:rsidRDefault="000A729C" w:rsidP="000A729C">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0A729C" w:rsidRPr="003F58FF" w:rsidRDefault="000A729C" w:rsidP="000A729C">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33C9A67D" w:rsidR="000A729C" w:rsidRDefault="000A729C" w:rsidP="000A729C">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348A57"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4BAD6B5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0A729C" w:rsidRPr="00C145F4" w:rsidRDefault="000A729C" w:rsidP="000A729C">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36258E31" w:rsidR="000A729C" w:rsidRPr="003F58FF" w:rsidRDefault="000A729C" w:rsidP="000A729C">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5A04E246" w:rsidR="000A729C" w:rsidRDefault="000A729C" w:rsidP="000A729C">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82ED2D"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36013B40"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0A729C" w:rsidRPr="00001172"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0A729C" w:rsidRPr="00C145F4" w:rsidRDefault="000A729C" w:rsidP="000A729C">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0A729C" w:rsidRPr="003F58FF" w:rsidRDefault="000A729C" w:rsidP="000A729C">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0869819B" w:rsidR="000A729C" w:rsidRDefault="000A729C" w:rsidP="000A729C">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01C5C24"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7B7D815B"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0A729C" w:rsidRPr="00C145F4" w:rsidRDefault="000A729C" w:rsidP="000A729C">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0A729C" w:rsidRPr="003F58FF" w:rsidRDefault="000A729C" w:rsidP="000A729C">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529DD98B" w:rsidR="000A729C" w:rsidRDefault="000A729C" w:rsidP="000A729C">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A3E7EB"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39EA3728"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0A729C" w:rsidRPr="00C145F4" w:rsidRDefault="000A729C" w:rsidP="000A729C">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009E80AF" w:rsidR="000A729C" w:rsidRPr="003F58FF" w:rsidRDefault="000A729C" w:rsidP="000A729C">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0CAF9938" w:rsidR="000A729C" w:rsidRDefault="000A729C" w:rsidP="000A729C">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3801C7"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40571D6F"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0A729C" w:rsidRPr="00EC27A5"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01527E99" w:rsidR="000A729C" w:rsidRPr="00C145F4" w:rsidRDefault="000A729C" w:rsidP="000A729C">
            <w:pPr>
              <w:rPr>
                <w:sz w:val="22"/>
                <w:szCs w:val="22"/>
              </w:rPr>
            </w:pPr>
            <w:r w:rsidRPr="0042750F">
              <w:rPr>
                <w:sz w:val="22"/>
                <w:szCs w:val="22"/>
              </w:rPr>
              <w:t xml:space="preserve">Marie-Louise Hänel Sandström </w:t>
            </w:r>
            <w:r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0A729C" w:rsidRPr="003F58FF" w:rsidRDefault="000A729C" w:rsidP="000A729C">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4795A627" w:rsidR="000A729C" w:rsidRDefault="000A729C" w:rsidP="000A729C">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05B970"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3A290381"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0A729C" w:rsidRPr="00C145F4" w:rsidRDefault="000A729C" w:rsidP="000A729C">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36CC106B" w:rsidR="000A729C" w:rsidRPr="003F58FF" w:rsidRDefault="000A729C" w:rsidP="000A729C">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5313F178" w:rsidR="000A729C" w:rsidRDefault="000A729C" w:rsidP="000A729C">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A6A8C"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58F86C78"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0A729C" w:rsidRPr="00C145F4" w:rsidRDefault="000A729C" w:rsidP="000A729C">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5B660B5C" w:rsidR="000A729C" w:rsidRPr="003F58FF" w:rsidRDefault="000A729C" w:rsidP="000A729C">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3F23777D" w:rsidR="000A729C" w:rsidRDefault="000A729C" w:rsidP="000A729C">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8C0150"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68A0423A"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103BEFCE" w:rsidR="000A729C" w:rsidRPr="00C145F4" w:rsidRDefault="000A729C" w:rsidP="000A729C">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4CE9FDC" w:rsidR="000A729C" w:rsidRPr="003F58FF" w:rsidRDefault="000A729C" w:rsidP="000A729C">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6912FC82"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4C544458"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32167237" w:rsidR="000A729C" w:rsidRPr="00C145F4" w:rsidRDefault="000A729C" w:rsidP="000A729C">
            <w:pPr>
              <w:rPr>
                <w:sz w:val="22"/>
                <w:szCs w:val="22"/>
              </w:rPr>
            </w:pPr>
            <w:r>
              <w:rPr>
                <w:sz w:val="22"/>
                <w:szCs w:val="22"/>
              </w:rPr>
              <w:t xml:space="preserve">Oliver Rosengren </w:t>
            </w:r>
            <w:r w:rsidRPr="0042750F">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0A729C" w:rsidRPr="003F58FF" w:rsidRDefault="000A729C" w:rsidP="000A729C">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4EABC9A8" w:rsidR="000A729C" w:rsidRDefault="000A729C" w:rsidP="000A729C">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C722E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6BE731E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2DBF1F57" w:rsidR="000A729C" w:rsidRPr="00C145F4" w:rsidRDefault="000A729C" w:rsidP="000A729C">
            <w:pPr>
              <w:rPr>
                <w:sz w:val="22"/>
                <w:szCs w:val="22"/>
              </w:rPr>
            </w:pPr>
            <w:r>
              <w:rPr>
                <w:sz w:val="22"/>
                <w:szCs w:val="22"/>
              </w:rPr>
              <w:t>Vakant</w:t>
            </w:r>
            <w:r w:rsidRPr="00C145F4">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35D7BA27" w:rsidR="000A729C" w:rsidRPr="003F58FF" w:rsidRDefault="000A729C" w:rsidP="000A729C">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4C28DEF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7916773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0A729C" w:rsidRPr="00C145F4" w:rsidRDefault="000A729C" w:rsidP="000A729C">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0A729C" w:rsidRPr="003F58FF" w:rsidRDefault="000A729C" w:rsidP="000A729C">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2F64044E" w:rsidR="000A729C" w:rsidRDefault="000A729C" w:rsidP="000A729C">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F5E0FC"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391F864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822AF4" w:rsidRPr="00C145F4" w:rsidRDefault="00FF2B62"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0499DDCC" w:rsidR="00822AF4" w:rsidRDefault="00A47142" w:rsidP="007A14AA">
            <w:r>
              <w:t>O</w:t>
            </w:r>
          </w:p>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0A729C" w:rsidRPr="00C145F4" w:rsidRDefault="000A729C" w:rsidP="000A729C">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0A729C" w:rsidRPr="003F58FF" w:rsidRDefault="000A729C" w:rsidP="000A729C">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CB7D289" w:rsidR="000A729C" w:rsidRDefault="000A729C" w:rsidP="000A729C">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778E63"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6484D413"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0A729C" w:rsidRPr="00C145F4" w:rsidRDefault="000A729C" w:rsidP="000A729C">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0A729C" w:rsidRPr="003F58FF" w:rsidRDefault="000A729C" w:rsidP="000A729C">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3314BE1E" w:rsidR="000A729C" w:rsidRDefault="000A729C" w:rsidP="000A729C">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F4045F"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0A729C" w:rsidRDefault="000A729C" w:rsidP="000A729C"/>
        </w:tc>
        <w:tc>
          <w:tcPr>
            <w:tcW w:w="356" w:type="dxa"/>
            <w:tcBorders>
              <w:top w:val="single" w:sz="6" w:space="0" w:color="auto"/>
              <w:left w:val="single" w:sz="6" w:space="0" w:color="auto"/>
              <w:bottom w:val="single" w:sz="6" w:space="0" w:color="auto"/>
              <w:right w:val="single" w:sz="6" w:space="0" w:color="auto"/>
            </w:tcBorders>
          </w:tcPr>
          <w:p w14:paraId="64CAEADD"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0A729C"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A729C"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0DC40C97" w:rsidR="000A729C" w:rsidRPr="00C145F4" w:rsidRDefault="000A729C" w:rsidP="000A729C">
            <w:pPr>
              <w:rPr>
                <w:sz w:val="22"/>
                <w:szCs w:val="22"/>
              </w:rPr>
            </w:pPr>
            <w:r w:rsidRPr="00B45668">
              <w:rPr>
                <w:sz w:val="22"/>
                <w:szCs w:val="22"/>
              </w:rPr>
              <w:t>Robert Olesen</w:t>
            </w:r>
            <w:r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70801CB7" w:rsidR="000A729C" w:rsidRPr="003F58FF"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0F35A5"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A729C"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8CB7A88" w:rsidR="000A729C" w:rsidRPr="00C145F4" w:rsidRDefault="000A729C" w:rsidP="000A729C">
            <w:pPr>
              <w:rPr>
                <w:sz w:val="22"/>
                <w:szCs w:val="22"/>
              </w:rPr>
            </w:pPr>
            <w:r>
              <w:rPr>
                <w:sz w:val="22"/>
                <w:szCs w:val="22"/>
              </w:rPr>
              <w:t>Lars-Ingvar Ljungman (M)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423E9A05" w:rsidR="000A729C" w:rsidRPr="003F58FF"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F58FF">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1D89F2FB"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3F58FF">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0A729C"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0A729C" w:rsidRPr="00C145F4" w:rsidRDefault="000A729C" w:rsidP="000A729C">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42409003" w:rsidR="000A729C" w:rsidRPr="003F58FF"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503B3A5C"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0A729C" w:rsidRPr="009E1FCA" w:rsidRDefault="000A729C" w:rsidP="000A7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3F58FF"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075860DF" w:rsidR="00822AF4" w:rsidRPr="00C145F4" w:rsidRDefault="008543BD" w:rsidP="007A14AA">
            <w:pPr>
              <w:rPr>
                <w:sz w:val="22"/>
                <w:szCs w:val="22"/>
              </w:rPr>
            </w:pPr>
            <w:r>
              <w:rPr>
                <w:sz w:val="22"/>
                <w:szCs w:val="22"/>
              </w:rPr>
              <w:t>Vakant</w:t>
            </w:r>
            <w:r w:rsidR="003E324A"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09AF8CB8" w:rsidR="00822AF4" w:rsidRPr="003F58FF" w:rsidRDefault="00A4714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0B3AB796" w:rsidR="00822AF4" w:rsidRDefault="000A729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37C782E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2EB62A90"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1DDE9555" w:rsidR="00822AF4" w:rsidRDefault="00A4714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5E674EB" w:rsidR="00822AF4" w:rsidRPr="00C145F4" w:rsidRDefault="00B873BB" w:rsidP="007A14AA">
            <w:pPr>
              <w:rPr>
                <w:sz w:val="22"/>
                <w:szCs w:val="22"/>
              </w:rPr>
            </w:pPr>
            <w:r>
              <w:rPr>
                <w:sz w:val="22"/>
                <w:szCs w:val="22"/>
              </w:rPr>
              <w:t>Helene Odenjung</w:t>
            </w:r>
            <w:r w:rsidR="00822AF4" w:rsidRPr="00C145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0D38D583" w:rsidR="00822AF4" w:rsidRPr="003F58FF" w:rsidRDefault="009B47E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66A1B900" w:rsidR="00822AF4" w:rsidRDefault="000A729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64341B18" w:rsidR="00822AF4" w:rsidRPr="00C145F4" w:rsidRDefault="00A47142" w:rsidP="007A14AA">
            <w:pPr>
              <w:rPr>
                <w:sz w:val="22"/>
                <w:szCs w:val="22"/>
              </w:rPr>
            </w:pPr>
            <w:r>
              <w:rPr>
                <w:sz w:val="22"/>
                <w:szCs w:val="22"/>
              </w:rPr>
              <w:t>Isabelle Mixter</w:t>
            </w:r>
            <w:r w:rsidR="00822AF4" w:rsidRPr="00E83E1F">
              <w:rPr>
                <w:sz w:val="22"/>
                <w:szCs w:val="22"/>
              </w:rPr>
              <w:t xml:space="preserve">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3E00453B" w:rsidR="00822AF4" w:rsidRPr="003F58FF" w:rsidRDefault="00A47142"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65432817" w:rsidR="00822AF4" w:rsidRDefault="000A729C"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lastRenderedPageBreak/>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Pr="003F58FF"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3A0277AD" w:rsidR="006826CB" w:rsidRDefault="00096E79" w:rsidP="007A14AA">
            <w:pPr>
              <w:rPr>
                <w:sz w:val="22"/>
                <w:szCs w:val="22"/>
              </w:rPr>
            </w:pPr>
            <w:r>
              <w:rPr>
                <w:sz w:val="22"/>
                <w:szCs w:val="22"/>
              </w:rPr>
              <w:t>Anne-Lie Sjölund</w:t>
            </w:r>
            <w:r w:rsidR="006826CB">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77777777" w:rsidR="006826CB" w:rsidRPr="003F58FF"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75E8F" w14:paraId="058D7B8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80C9B7" w14:textId="4E735E0C" w:rsidR="00975E8F" w:rsidRDefault="00975E8F" w:rsidP="007A14AA">
            <w:pPr>
              <w:rPr>
                <w:sz w:val="22"/>
                <w:szCs w:val="22"/>
              </w:rPr>
            </w:pPr>
            <w:r w:rsidRPr="00975E8F">
              <w:rPr>
                <w:sz w:val="22"/>
                <w:szCs w:val="22"/>
              </w:rPr>
              <w:t>Lena Bäckelin (S)</w:t>
            </w:r>
          </w:p>
        </w:tc>
        <w:tc>
          <w:tcPr>
            <w:tcW w:w="356" w:type="dxa"/>
            <w:gridSpan w:val="2"/>
            <w:tcBorders>
              <w:top w:val="single" w:sz="6" w:space="0" w:color="auto"/>
              <w:left w:val="single" w:sz="6" w:space="0" w:color="auto"/>
              <w:bottom w:val="single" w:sz="6" w:space="0" w:color="auto"/>
              <w:right w:val="single" w:sz="6" w:space="0" w:color="auto"/>
            </w:tcBorders>
          </w:tcPr>
          <w:p w14:paraId="43C72E8C" w14:textId="77777777" w:rsidR="00975E8F" w:rsidRPr="003F58F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18C1F"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79643F"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077657"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3BCF2"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848BD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F5C81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A066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A47469"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2B590"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C31D9"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1382E"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F541B5"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6A67B"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0E10259D" w14:textId="625D4E12" w:rsidR="00AB2E46" w:rsidRDefault="00AB2E46" w:rsidP="000274DC">
      <w:pPr>
        <w:widowControl/>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49DB"/>
    <w:rsid w:val="0001177E"/>
    <w:rsid w:val="00013FF4"/>
    <w:rsid w:val="0001407C"/>
    <w:rsid w:val="00022A7C"/>
    <w:rsid w:val="00026856"/>
    <w:rsid w:val="000274DC"/>
    <w:rsid w:val="00033465"/>
    <w:rsid w:val="00050807"/>
    <w:rsid w:val="00071F8E"/>
    <w:rsid w:val="00073768"/>
    <w:rsid w:val="000867B0"/>
    <w:rsid w:val="0009467D"/>
    <w:rsid w:val="00096E79"/>
    <w:rsid w:val="00097DF0"/>
    <w:rsid w:val="000A167A"/>
    <w:rsid w:val="000A2204"/>
    <w:rsid w:val="000A729C"/>
    <w:rsid w:val="000B5D40"/>
    <w:rsid w:val="000C0C72"/>
    <w:rsid w:val="000C461C"/>
    <w:rsid w:val="000C5953"/>
    <w:rsid w:val="000D534A"/>
    <w:rsid w:val="000E5FA0"/>
    <w:rsid w:val="000E611E"/>
    <w:rsid w:val="000E65A3"/>
    <w:rsid w:val="000F18FE"/>
    <w:rsid w:val="000F3EEE"/>
    <w:rsid w:val="000F4556"/>
    <w:rsid w:val="00100A34"/>
    <w:rsid w:val="00123C5B"/>
    <w:rsid w:val="00126727"/>
    <w:rsid w:val="00127778"/>
    <w:rsid w:val="0013107A"/>
    <w:rsid w:val="00135412"/>
    <w:rsid w:val="00135867"/>
    <w:rsid w:val="00143656"/>
    <w:rsid w:val="00161A87"/>
    <w:rsid w:val="00163039"/>
    <w:rsid w:val="001634B9"/>
    <w:rsid w:val="001671DE"/>
    <w:rsid w:val="001712BC"/>
    <w:rsid w:val="00186651"/>
    <w:rsid w:val="0019344E"/>
    <w:rsid w:val="001A287E"/>
    <w:rsid w:val="001A5933"/>
    <w:rsid w:val="001B67B2"/>
    <w:rsid w:val="001D2973"/>
    <w:rsid w:val="001D5522"/>
    <w:rsid w:val="001F30E5"/>
    <w:rsid w:val="001F5AC6"/>
    <w:rsid w:val="002059AD"/>
    <w:rsid w:val="00207D45"/>
    <w:rsid w:val="00210E6C"/>
    <w:rsid w:val="0022226E"/>
    <w:rsid w:val="00224EC3"/>
    <w:rsid w:val="00237DB6"/>
    <w:rsid w:val="002406D5"/>
    <w:rsid w:val="00241043"/>
    <w:rsid w:val="002462FF"/>
    <w:rsid w:val="00253162"/>
    <w:rsid w:val="002608E3"/>
    <w:rsid w:val="00267FC1"/>
    <w:rsid w:val="002711A1"/>
    <w:rsid w:val="002830F8"/>
    <w:rsid w:val="002871AD"/>
    <w:rsid w:val="0029458D"/>
    <w:rsid w:val="002A3434"/>
    <w:rsid w:val="002B5161"/>
    <w:rsid w:val="002C7850"/>
    <w:rsid w:val="002D5CD8"/>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380"/>
    <w:rsid w:val="003F4AD8"/>
    <w:rsid w:val="003F58FF"/>
    <w:rsid w:val="00402D5D"/>
    <w:rsid w:val="0040376B"/>
    <w:rsid w:val="00407517"/>
    <w:rsid w:val="00411691"/>
    <w:rsid w:val="004214D1"/>
    <w:rsid w:val="00424C64"/>
    <w:rsid w:val="0042750F"/>
    <w:rsid w:val="004309E7"/>
    <w:rsid w:val="00437505"/>
    <w:rsid w:val="00447E69"/>
    <w:rsid w:val="004514FD"/>
    <w:rsid w:val="00453542"/>
    <w:rsid w:val="0045482B"/>
    <w:rsid w:val="004610E6"/>
    <w:rsid w:val="004674B5"/>
    <w:rsid w:val="0048054F"/>
    <w:rsid w:val="00483EB5"/>
    <w:rsid w:val="004875DF"/>
    <w:rsid w:val="00494EEE"/>
    <w:rsid w:val="004C4C01"/>
    <w:rsid w:val="004C7522"/>
    <w:rsid w:val="004D13B3"/>
    <w:rsid w:val="004E024A"/>
    <w:rsid w:val="004E4037"/>
    <w:rsid w:val="00501D18"/>
    <w:rsid w:val="005054C4"/>
    <w:rsid w:val="00506F63"/>
    <w:rsid w:val="00520D71"/>
    <w:rsid w:val="005331E3"/>
    <w:rsid w:val="005349AA"/>
    <w:rsid w:val="00556204"/>
    <w:rsid w:val="005739C0"/>
    <w:rsid w:val="00575176"/>
    <w:rsid w:val="00576AFA"/>
    <w:rsid w:val="00587BBF"/>
    <w:rsid w:val="005A3941"/>
    <w:rsid w:val="005A4EAC"/>
    <w:rsid w:val="005A5EDE"/>
    <w:rsid w:val="005A63E8"/>
    <w:rsid w:val="005B70C0"/>
    <w:rsid w:val="005C173A"/>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D3F07"/>
    <w:rsid w:val="006E0945"/>
    <w:rsid w:val="006E6B54"/>
    <w:rsid w:val="006F6ADE"/>
    <w:rsid w:val="00711344"/>
    <w:rsid w:val="00721260"/>
    <w:rsid w:val="00740F7D"/>
    <w:rsid w:val="007517AC"/>
    <w:rsid w:val="00766B40"/>
    <w:rsid w:val="0076736F"/>
    <w:rsid w:val="00775DBD"/>
    <w:rsid w:val="007765ED"/>
    <w:rsid w:val="00776CA2"/>
    <w:rsid w:val="007801D9"/>
    <w:rsid w:val="007838D8"/>
    <w:rsid w:val="00786FC6"/>
    <w:rsid w:val="00786FE3"/>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253D"/>
    <w:rsid w:val="00822AF4"/>
    <w:rsid w:val="00823C8C"/>
    <w:rsid w:val="00825D78"/>
    <w:rsid w:val="00827DBD"/>
    <w:rsid w:val="00832BA8"/>
    <w:rsid w:val="0083501D"/>
    <w:rsid w:val="00841B9D"/>
    <w:rsid w:val="008543BD"/>
    <w:rsid w:val="00872753"/>
    <w:rsid w:val="00874D05"/>
    <w:rsid w:val="00876835"/>
    <w:rsid w:val="008840CE"/>
    <w:rsid w:val="00886BA6"/>
    <w:rsid w:val="008929D2"/>
    <w:rsid w:val="00895553"/>
    <w:rsid w:val="00896EBD"/>
    <w:rsid w:val="008B080B"/>
    <w:rsid w:val="008B4A0D"/>
    <w:rsid w:val="008B4E84"/>
    <w:rsid w:val="008C35C4"/>
    <w:rsid w:val="008D4BF2"/>
    <w:rsid w:val="008E2E78"/>
    <w:rsid w:val="008F6938"/>
    <w:rsid w:val="008F6C98"/>
    <w:rsid w:val="008F7983"/>
    <w:rsid w:val="009171C9"/>
    <w:rsid w:val="00923EFE"/>
    <w:rsid w:val="00925ABE"/>
    <w:rsid w:val="0094358D"/>
    <w:rsid w:val="00960E59"/>
    <w:rsid w:val="00974B1C"/>
    <w:rsid w:val="00975E8F"/>
    <w:rsid w:val="00985715"/>
    <w:rsid w:val="009A1313"/>
    <w:rsid w:val="009A164A"/>
    <w:rsid w:val="009A1CEC"/>
    <w:rsid w:val="009A292F"/>
    <w:rsid w:val="009B47EF"/>
    <w:rsid w:val="009B52FA"/>
    <w:rsid w:val="009D5E29"/>
    <w:rsid w:val="009E1FCA"/>
    <w:rsid w:val="009E7A20"/>
    <w:rsid w:val="00A0106A"/>
    <w:rsid w:val="00A03D80"/>
    <w:rsid w:val="00A0525A"/>
    <w:rsid w:val="00A102DB"/>
    <w:rsid w:val="00A10ED0"/>
    <w:rsid w:val="00A13D11"/>
    <w:rsid w:val="00A2367D"/>
    <w:rsid w:val="00A25C8C"/>
    <w:rsid w:val="00A26086"/>
    <w:rsid w:val="00A35508"/>
    <w:rsid w:val="00A370F4"/>
    <w:rsid w:val="00A41040"/>
    <w:rsid w:val="00A428EC"/>
    <w:rsid w:val="00A47142"/>
    <w:rsid w:val="00A47DB2"/>
    <w:rsid w:val="00A65178"/>
    <w:rsid w:val="00A66B33"/>
    <w:rsid w:val="00A77DB6"/>
    <w:rsid w:val="00A84772"/>
    <w:rsid w:val="00A956F9"/>
    <w:rsid w:val="00AB2E46"/>
    <w:rsid w:val="00AB3B80"/>
    <w:rsid w:val="00AB5776"/>
    <w:rsid w:val="00AC33D3"/>
    <w:rsid w:val="00AD44A0"/>
    <w:rsid w:val="00AF0314"/>
    <w:rsid w:val="00AF2B05"/>
    <w:rsid w:val="00AF4D2B"/>
    <w:rsid w:val="00AF62C3"/>
    <w:rsid w:val="00B1265F"/>
    <w:rsid w:val="00B22FB7"/>
    <w:rsid w:val="00B2693D"/>
    <w:rsid w:val="00B36F2A"/>
    <w:rsid w:val="00B40576"/>
    <w:rsid w:val="00B432F2"/>
    <w:rsid w:val="00B45668"/>
    <w:rsid w:val="00B529AF"/>
    <w:rsid w:val="00B6136A"/>
    <w:rsid w:val="00B63606"/>
    <w:rsid w:val="00B73227"/>
    <w:rsid w:val="00B734EF"/>
    <w:rsid w:val="00B873BB"/>
    <w:rsid w:val="00B8773E"/>
    <w:rsid w:val="00BA05FF"/>
    <w:rsid w:val="00BA1F9C"/>
    <w:rsid w:val="00BA404C"/>
    <w:rsid w:val="00BB4FC6"/>
    <w:rsid w:val="00BB6E1B"/>
    <w:rsid w:val="00BB7028"/>
    <w:rsid w:val="00BD09A6"/>
    <w:rsid w:val="00BD0D32"/>
    <w:rsid w:val="00BD3A78"/>
    <w:rsid w:val="00BD6AAA"/>
    <w:rsid w:val="00BF1E92"/>
    <w:rsid w:val="00BF41C2"/>
    <w:rsid w:val="00BF5F58"/>
    <w:rsid w:val="00C04265"/>
    <w:rsid w:val="00C1169B"/>
    <w:rsid w:val="00C13B6E"/>
    <w:rsid w:val="00C145F4"/>
    <w:rsid w:val="00C150F8"/>
    <w:rsid w:val="00C152B6"/>
    <w:rsid w:val="00C21DC4"/>
    <w:rsid w:val="00C24CCF"/>
    <w:rsid w:val="00C318F6"/>
    <w:rsid w:val="00C34B84"/>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14067"/>
    <w:rsid w:val="00D16550"/>
    <w:rsid w:val="00D21331"/>
    <w:rsid w:val="00D26FA3"/>
    <w:rsid w:val="00D35718"/>
    <w:rsid w:val="00D40FEB"/>
    <w:rsid w:val="00D4759F"/>
    <w:rsid w:val="00D63878"/>
    <w:rsid w:val="00D65276"/>
    <w:rsid w:val="00D67D14"/>
    <w:rsid w:val="00D73858"/>
    <w:rsid w:val="00D75785"/>
    <w:rsid w:val="00D817DA"/>
    <w:rsid w:val="00D81F84"/>
    <w:rsid w:val="00D85D67"/>
    <w:rsid w:val="00DA2684"/>
    <w:rsid w:val="00DB43E0"/>
    <w:rsid w:val="00DB451F"/>
    <w:rsid w:val="00DC3214"/>
    <w:rsid w:val="00DC7C43"/>
    <w:rsid w:val="00DE08F2"/>
    <w:rsid w:val="00DE3264"/>
    <w:rsid w:val="00DE45C0"/>
    <w:rsid w:val="00E03441"/>
    <w:rsid w:val="00E04650"/>
    <w:rsid w:val="00E12E8A"/>
    <w:rsid w:val="00E13501"/>
    <w:rsid w:val="00E15C69"/>
    <w:rsid w:val="00E15FBD"/>
    <w:rsid w:val="00E1627A"/>
    <w:rsid w:val="00E23AB7"/>
    <w:rsid w:val="00E2514D"/>
    <w:rsid w:val="00E362AB"/>
    <w:rsid w:val="00E36D84"/>
    <w:rsid w:val="00E37728"/>
    <w:rsid w:val="00E45BEC"/>
    <w:rsid w:val="00E52F02"/>
    <w:rsid w:val="00E72E3F"/>
    <w:rsid w:val="00E776AC"/>
    <w:rsid w:val="00E77ADF"/>
    <w:rsid w:val="00E810DC"/>
    <w:rsid w:val="00E81B4F"/>
    <w:rsid w:val="00E93918"/>
    <w:rsid w:val="00EB577E"/>
    <w:rsid w:val="00EC27A5"/>
    <w:rsid w:val="00EC418A"/>
    <w:rsid w:val="00EE4C8A"/>
    <w:rsid w:val="00EE73D8"/>
    <w:rsid w:val="00F12574"/>
    <w:rsid w:val="00F23954"/>
    <w:rsid w:val="00F33EF9"/>
    <w:rsid w:val="00F44908"/>
    <w:rsid w:val="00F46F0D"/>
    <w:rsid w:val="00F573AC"/>
    <w:rsid w:val="00F7021F"/>
    <w:rsid w:val="00F70C44"/>
    <w:rsid w:val="00F72877"/>
    <w:rsid w:val="00F816D5"/>
    <w:rsid w:val="00F8533C"/>
    <w:rsid w:val="00FA12EF"/>
    <w:rsid w:val="00FA543D"/>
    <w:rsid w:val="00FB46D8"/>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Kommentarsreferens">
    <w:name w:val="annotation reference"/>
    <w:basedOn w:val="Standardstycketeckensnitt"/>
    <w:rsid w:val="00135867"/>
    <w:rPr>
      <w:sz w:val="16"/>
      <w:szCs w:val="16"/>
    </w:rPr>
  </w:style>
  <w:style w:type="paragraph" w:styleId="Kommentarer">
    <w:name w:val="annotation text"/>
    <w:basedOn w:val="Normal"/>
    <w:link w:val="KommentarerChar"/>
    <w:rsid w:val="00135867"/>
    <w:rPr>
      <w:sz w:val="20"/>
    </w:rPr>
  </w:style>
  <w:style w:type="character" w:customStyle="1" w:styleId="KommentarerChar">
    <w:name w:val="Kommentarer Char"/>
    <w:basedOn w:val="Standardstycketeckensnitt"/>
    <w:link w:val="Kommentarer"/>
    <w:rsid w:val="00135867"/>
  </w:style>
  <w:style w:type="paragraph" w:styleId="Kommentarsmne">
    <w:name w:val="annotation subject"/>
    <w:basedOn w:val="Kommentarer"/>
    <w:next w:val="Kommentarer"/>
    <w:link w:val="KommentarsmneChar"/>
    <w:rsid w:val="00135867"/>
    <w:rPr>
      <w:b/>
      <w:bCs/>
    </w:rPr>
  </w:style>
  <w:style w:type="character" w:customStyle="1" w:styleId="KommentarsmneChar">
    <w:name w:val="Kommentarsämne Char"/>
    <w:basedOn w:val="KommentarerChar"/>
    <w:link w:val="Kommentarsmne"/>
    <w:rsid w:val="00135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13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1652</Words>
  <Characters>10510</Characters>
  <Application>Microsoft Office Word</Application>
  <DocSecurity>0</DocSecurity>
  <Lines>1167</Lines>
  <Paragraphs>233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2013-04-22T11:37:00Z</cp:lastPrinted>
  <dcterms:created xsi:type="dcterms:W3CDTF">2025-09-30T13:33:00Z</dcterms:created>
  <dcterms:modified xsi:type="dcterms:W3CDTF">2025-09-30T13:33:00Z</dcterms:modified>
</cp:coreProperties>
</file>