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C732FA">
        <w:trPr>
          <w:cantSplit/>
          <w:trHeight w:val="1720"/>
        </w:trPr>
        <w:tc>
          <w:tcPr>
            <w:tcW w:w="6024" w:type="dxa"/>
            <w:gridSpan w:val="2"/>
          </w:tcPr>
          <w:p w:rsidR="000C6E9C" w:rsidRPr="00C732FA" w:rsidRDefault="00167C05" w:rsidP="0020634B">
            <w:pPr>
              <w:pStyle w:val="HuvudRubrik"/>
            </w:pPr>
            <w:r w:rsidRPr="00C732FA">
              <w:t>Framställning till riksdagen</w:t>
            </w:r>
          </w:p>
          <w:p w:rsidR="000C6E9C" w:rsidRPr="00C732FA" w:rsidRDefault="00E86A26" w:rsidP="006D0187">
            <w:pPr>
              <w:pStyle w:val="HuvudRubrikRad2"/>
            </w:pPr>
            <w:bookmarkStart w:id="0" w:name="BetänkandeNr"/>
            <w:bookmarkEnd w:id="0"/>
            <w:r w:rsidRPr="00C732FA">
              <w:t>2009/10</w:t>
            </w:r>
            <w:r w:rsidR="000C6E9C" w:rsidRPr="00C732FA">
              <w:t>:</w:t>
            </w:r>
            <w:r w:rsidRPr="00C732FA">
              <w:t>RRS20</w:t>
            </w:r>
          </w:p>
        </w:tc>
        <w:tc>
          <w:tcPr>
            <w:tcW w:w="1418" w:type="dxa"/>
            <w:tcBorders>
              <w:bottom w:val="nil"/>
            </w:tcBorders>
          </w:tcPr>
          <w:p w:rsidR="000C6E9C" w:rsidRPr="00C732FA" w:rsidRDefault="00C732FA">
            <w:pPr>
              <w:spacing w:line="230" w:lineRule="auto"/>
              <w:jc w:val="center"/>
            </w:pPr>
            <w:r w:rsidRPr="00C732FA">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C732FA" w:rsidRDefault="000C6E9C">
            <w:pPr>
              <w:pStyle w:val="Normaltindrag"/>
              <w:jc w:val="center"/>
            </w:pPr>
          </w:p>
          <w:p w:rsidR="000C6E9C" w:rsidRPr="00C732FA" w:rsidRDefault="000C6E9C">
            <w:pPr>
              <w:pStyle w:val="StatusSida1"/>
            </w:pPr>
          </w:p>
          <w:p w:rsidR="000C6E9C" w:rsidRPr="00C732FA" w:rsidRDefault="000C6E9C" w:rsidP="00F16521">
            <w:pPr>
              <w:pStyle w:val="UtskriftsdatumSida1"/>
              <w:framePr w:wrap="around"/>
            </w:pPr>
          </w:p>
        </w:tc>
      </w:tr>
      <w:tr w:rsidR="000C6E9C" w:rsidRPr="00C732FA">
        <w:trPr>
          <w:cantSplit/>
        </w:trPr>
        <w:tc>
          <w:tcPr>
            <w:tcW w:w="6024" w:type="dxa"/>
            <w:gridSpan w:val="2"/>
            <w:tcBorders>
              <w:bottom w:val="single" w:sz="4" w:space="0" w:color="auto"/>
            </w:tcBorders>
          </w:tcPr>
          <w:p w:rsidR="000C6E9C" w:rsidRPr="00C732FA" w:rsidRDefault="00167C05" w:rsidP="00C402EA">
            <w:pPr>
              <w:pStyle w:val="DokumentRubrik"/>
              <w:rPr>
                <w:noProof w:val="0"/>
              </w:rPr>
            </w:pPr>
            <w:bookmarkStart w:id="1" w:name="Huvudrubrik"/>
            <w:bookmarkEnd w:id="1"/>
            <w:r w:rsidRPr="00C732FA">
              <w:rPr>
                <w:noProof w:val="0"/>
              </w:rPr>
              <w:t xml:space="preserve">Riksrevisionens styrelses framställning </w:t>
            </w:r>
            <w:r w:rsidR="00984F0C" w:rsidRPr="00C732FA">
              <w:rPr>
                <w:noProof w:val="0"/>
              </w:rPr>
              <w:t>om</w:t>
            </w:r>
            <w:r w:rsidR="00C402EA" w:rsidRPr="00C732FA">
              <w:rPr>
                <w:noProof w:val="0"/>
              </w:rPr>
              <w:t xml:space="preserve"> statens</w:t>
            </w:r>
            <w:r w:rsidRPr="00C732FA">
              <w:rPr>
                <w:noProof w:val="0"/>
              </w:rPr>
              <w:t xml:space="preserve"> garantier</w:t>
            </w:r>
            <w:r w:rsidR="000F2E14" w:rsidRPr="00C732FA">
              <w:rPr>
                <w:noProof w:val="0"/>
              </w:rPr>
              <w:t xml:space="preserve"> </w:t>
            </w:r>
          </w:p>
        </w:tc>
        <w:tc>
          <w:tcPr>
            <w:tcW w:w="1418" w:type="dxa"/>
            <w:tcBorders>
              <w:bottom w:val="nil"/>
            </w:tcBorders>
          </w:tcPr>
          <w:p w:rsidR="000C6E9C" w:rsidRPr="00C732FA" w:rsidRDefault="000C6E9C"/>
        </w:tc>
      </w:tr>
      <w:tr w:rsidR="000C6E9C" w:rsidRPr="00C732FA">
        <w:trPr>
          <w:cantSplit/>
          <w:trHeight w:hRule="exact" w:val="360"/>
        </w:trPr>
        <w:tc>
          <w:tcPr>
            <w:tcW w:w="3012" w:type="dxa"/>
          </w:tcPr>
          <w:p w:rsidR="000C6E9C" w:rsidRPr="00C732FA" w:rsidRDefault="000C6E9C"/>
        </w:tc>
        <w:tc>
          <w:tcPr>
            <w:tcW w:w="3012" w:type="dxa"/>
          </w:tcPr>
          <w:p w:rsidR="000C6E9C" w:rsidRPr="00C732FA" w:rsidRDefault="000C6E9C"/>
        </w:tc>
        <w:tc>
          <w:tcPr>
            <w:tcW w:w="1418" w:type="dxa"/>
          </w:tcPr>
          <w:p w:rsidR="000C6E9C" w:rsidRPr="00C732FA" w:rsidRDefault="000C6E9C"/>
        </w:tc>
      </w:tr>
    </w:tbl>
    <w:p w:rsidR="000C6E9C" w:rsidRPr="00C732FA" w:rsidRDefault="000C6E9C"/>
    <w:p w:rsidR="00167C05" w:rsidRPr="00C732FA" w:rsidRDefault="00167C05" w:rsidP="00167C05">
      <w:pPr>
        <w:pStyle w:val="Rubrik1"/>
        <w:spacing w:after="180"/>
        <w:rPr>
          <w:noProof w:val="0"/>
        </w:rPr>
      </w:pPr>
      <w:bookmarkStart w:id="2" w:name="_Toc254266868"/>
      <w:r w:rsidRPr="00C732FA">
        <w:rPr>
          <w:noProof w:val="0"/>
        </w:rPr>
        <w:t>Sammanfattning</w:t>
      </w:r>
      <w:bookmarkEnd w:id="2"/>
    </w:p>
    <w:p w:rsidR="007732C0" w:rsidRPr="00C732FA" w:rsidRDefault="007732C0" w:rsidP="007732C0">
      <w:r w:rsidRPr="00C732FA">
        <w:t>Riksrevisionen har granskat regeringens beslut, uppföljning och rapportering till riksdagen om de statliga garantiåtgärderna till följd av finanskrisen. Resu</w:t>
      </w:r>
      <w:r w:rsidRPr="00C732FA">
        <w:t>l</w:t>
      </w:r>
      <w:r w:rsidRPr="00C732FA">
        <w:t xml:space="preserve">tatet av granskningen har redovisats i granskningsrapporten </w:t>
      </w:r>
      <w:r w:rsidRPr="00C732FA">
        <w:rPr>
          <w:i/>
        </w:rPr>
        <w:t xml:space="preserve">Statens garantier i finanskrisen </w:t>
      </w:r>
      <w:r w:rsidRPr="00C732FA">
        <w:t>(RiR 2009:26).</w:t>
      </w:r>
    </w:p>
    <w:p w:rsidR="00011E78" w:rsidRPr="00C732FA" w:rsidRDefault="00011E78" w:rsidP="00011E78">
      <w:pPr>
        <w:pStyle w:val="Normaltindrag"/>
      </w:pPr>
      <w:r w:rsidRPr="00C732FA">
        <w:t>Riksrevisionen bedömer att villkoren och de avgifter som tas ut för bank- och insättningsgarantin och inom exportkreditområd</w:t>
      </w:r>
      <w:r w:rsidR="00836722" w:rsidRPr="00C732FA">
        <w:t>et bidrar till att hålla ned</w:t>
      </w:r>
      <w:r w:rsidRPr="00C732FA">
        <w:t xml:space="preserve"> statens kostnader för garantierna och ökar möjligheten till återvinning. Rik</w:t>
      </w:r>
      <w:r w:rsidRPr="00C732FA">
        <w:t>s</w:t>
      </w:r>
      <w:r w:rsidRPr="00C732FA">
        <w:t>revisionen anser däremot att regeringen inte har säkerställt ett tillfredsställa</w:t>
      </w:r>
      <w:r w:rsidRPr="00C732FA">
        <w:t>n</w:t>
      </w:r>
      <w:r w:rsidRPr="00C732FA">
        <w:t>de underlag för bedömning av statens risker för framtida kostnader inom garantiområdet. Riksrevisionens slutsats från granskningen är också att rege</w:t>
      </w:r>
      <w:r w:rsidRPr="00C732FA">
        <w:t>r</w:t>
      </w:r>
      <w:r w:rsidRPr="00C732FA">
        <w:t xml:space="preserve">ingen inte har lämnat en samlad och tydlig återrapportering till riksdagen. </w:t>
      </w:r>
    </w:p>
    <w:p w:rsidR="00D04C86" w:rsidRPr="00C732FA" w:rsidRDefault="00686849" w:rsidP="00D04C86">
      <w:pPr>
        <w:pStyle w:val="Normaltindrag"/>
      </w:pPr>
      <w:bookmarkStart w:id="3" w:name="TextStart"/>
      <w:bookmarkEnd w:id="3"/>
      <w:r w:rsidRPr="00C732FA">
        <w:t>Styrelsen vill underst</w:t>
      </w:r>
      <w:r w:rsidR="00836722" w:rsidRPr="00C732FA">
        <w:t>r</w:t>
      </w:r>
      <w:r w:rsidRPr="00C732FA">
        <w:t>yka betydelsen av att fullödig information lä</w:t>
      </w:r>
      <w:r w:rsidRPr="00C732FA">
        <w:t>m</w:t>
      </w:r>
      <w:r w:rsidRPr="00C732FA">
        <w:t xml:space="preserve">nas till riksdagen i en viktig fråga som omfattar betydande belopp. Trots att ett antal uppdrag </w:t>
      </w:r>
      <w:r w:rsidR="00430AC9" w:rsidRPr="00C732FA">
        <w:t xml:space="preserve">nu </w:t>
      </w:r>
      <w:r w:rsidR="00D04C86" w:rsidRPr="00C732FA">
        <w:t xml:space="preserve">har </w:t>
      </w:r>
      <w:r w:rsidR="003F2CE9" w:rsidRPr="00C732FA">
        <w:t>lämnats till Riksgäldskontoret</w:t>
      </w:r>
      <w:r w:rsidR="00836722" w:rsidRPr="00C732FA">
        <w:t xml:space="preserve"> </w:t>
      </w:r>
      <w:r w:rsidRPr="00C732FA">
        <w:t>anser styrelsen</w:t>
      </w:r>
      <w:r w:rsidR="00CE5148" w:rsidRPr="00C732FA">
        <w:t>, i likhet med vad riksdagen tidigare begärt,</w:t>
      </w:r>
      <w:r w:rsidRPr="00C732FA">
        <w:t xml:space="preserve"> </w:t>
      </w:r>
      <w:r w:rsidR="00836722" w:rsidRPr="00C732FA">
        <w:t xml:space="preserve">att </w:t>
      </w:r>
      <w:r w:rsidRPr="00C732FA">
        <w:t>regeringen bör uppmanas att snarast för riksdagen presentera en samlad redovisning av de ekonomiska riske</w:t>
      </w:r>
      <w:r w:rsidRPr="00C732FA">
        <w:t>r</w:t>
      </w:r>
      <w:r w:rsidRPr="00C732FA">
        <w:t>na för staten och skattebetalarna som inkluderar både bank- och exportkreditgarant</w:t>
      </w:r>
      <w:r w:rsidRPr="00C732FA">
        <w:t>i</w:t>
      </w:r>
      <w:r w:rsidRPr="00C732FA">
        <w:t>er.</w:t>
      </w:r>
    </w:p>
    <w:p w:rsidR="00D04C86" w:rsidRPr="00C732FA" w:rsidRDefault="00D04C86" w:rsidP="00D04C86">
      <w:pPr>
        <w:pStyle w:val="Normaltindrag"/>
      </w:pPr>
      <w:r w:rsidRPr="00C732FA">
        <w:t xml:space="preserve">Styrelsen föreslår därför att riksdagen begär att regeringen </w:t>
      </w:r>
      <w:r w:rsidR="003F2CE9" w:rsidRPr="00C732FA">
        <w:t xml:space="preserve">snarast </w:t>
      </w:r>
      <w:r w:rsidR="00836722" w:rsidRPr="00C732FA">
        <w:t>åte</w:t>
      </w:r>
      <w:r w:rsidR="00836722" w:rsidRPr="00C732FA">
        <w:t>r</w:t>
      </w:r>
      <w:r w:rsidR="00836722" w:rsidRPr="00C732FA">
        <w:t>kommer</w:t>
      </w:r>
      <w:r w:rsidRPr="00C732FA">
        <w:t xml:space="preserve"> till riksdagen med en samlad redovisning av de ekonomiska risker för staten som besluten om bank- och exportkreditgarantier har medfört. </w:t>
      </w:r>
    </w:p>
    <w:p w:rsidR="00686849" w:rsidRPr="00C732FA" w:rsidRDefault="00686849" w:rsidP="00686849">
      <w:pPr>
        <w:pStyle w:val="Normaltindrag"/>
      </w:pPr>
      <w:r w:rsidRPr="00C732FA">
        <w:t xml:space="preserve"> </w:t>
      </w:r>
    </w:p>
    <w:p w:rsidR="00167C05" w:rsidRPr="00C732FA" w:rsidRDefault="00167C05" w:rsidP="00167C05"/>
    <w:p w:rsidR="00167C05" w:rsidRPr="00C732FA" w:rsidRDefault="00167C05" w:rsidP="00167C05">
      <w:pPr>
        <w:pStyle w:val="Normaltindrag"/>
      </w:pPr>
    </w:p>
    <w:p w:rsidR="00167C05" w:rsidRPr="00C732FA" w:rsidRDefault="00167C05" w:rsidP="00167C05">
      <w:pPr>
        <w:pStyle w:val="Normaltindrag"/>
        <w:sectPr w:rsidR="00167C05" w:rsidRPr="00C732FA" w:rsidSect="00701C8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67C05" w:rsidRPr="00C732FA" w:rsidRDefault="00167C05" w:rsidP="00167C05">
      <w:pPr>
        <w:pStyle w:val="Rubrik1"/>
        <w:rPr>
          <w:noProof w:val="0"/>
        </w:rPr>
      </w:pPr>
      <w:bookmarkStart w:id="4" w:name="_Toc254266869"/>
      <w:r w:rsidRPr="00C732FA">
        <w:rPr>
          <w:noProof w:val="0"/>
        </w:rPr>
        <w:lastRenderedPageBreak/>
        <w:t>Innehållsförteckning</w:t>
      </w:r>
      <w:bookmarkEnd w:id="4"/>
    </w:p>
    <w:p w:rsidR="00303AFE" w:rsidRPr="00C732FA" w:rsidRDefault="00303AFE">
      <w:pPr>
        <w:pStyle w:val="Innehll1"/>
        <w:rPr>
          <w:sz w:val="24"/>
          <w:szCs w:val="24"/>
        </w:rPr>
      </w:pPr>
      <w:r w:rsidRPr="00C732FA">
        <w:t>Sammanfattning</w:t>
      </w:r>
      <w:r w:rsidRPr="00C732FA">
        <w:tab/>
        <w:t>1</w:t>
      </w:r>
    </w:p>
    <w:p w:rsidR="00303AFE" w:rsidRPr="00C732FA" w:rsidRDefault="00303AFE">
      <w:pPr>
        <w:pStyle w:val="Innehll1"/>
        <w:rPr>
          <w:sz w:val="24"/>
          <w:szCs w:val="24"/>
        </w:rPr>
      </w:pPr>
      <w:r w:rsidRPr="00C732FA">
        <w:t>Innehållsförteckning</w:t>
      </w:r>
      <w:r w:rsidRPr="00C732FA">
        <w:tab/>
        <w:t>2</w:t>
      </w:r>
    </w:p>
    <w:p w:rsidR="00303AFE" w:rsidRPr="00C732FA" w:rsidRDefault="00303AFE">
      <w:pPr>
        <w:pStyle w:val="Innehll1"/>
        <w:rPr>
          <w:sz w:val="24"/>
          <w:szCs w:val="24"/>
        </w:rPr>
      </w:pPr>
      <w:r w:rsidRPr="00C732FA">
        <w:t>Styrelsens förslag</w:t>
      </w:r>
      <w:r w:rsidRPr="00C732FA">
        <w:tab/>
        <w:t>3</w:t>
      </w:r>
    </w:p>
    <w:p w:rsidR="00303AFE" w:rsidRPr="00C732FA" w:rsidRDefault="00303AFE">
      <w:pPr>
        <w:pStyle w:val="Innehll1"/>
        <w:rPr>
          <w:sz w:val="24"/>
          <w:szCs w:val="24"/>
        </w:rPr>
      </w:pPr>
      <w:r w:rsidRPr="00C732FA">
        <w:t>Riksrevisionens granskning</w:t>
      </w:r>
      <w:r w:rsidRPr="00C732FA">
        <w:tab/>
        <w:t>4</w:t>
      </w:r>
    </w:p>
    <w:p w:rsidR="00303AFE" w:rsidRPr="00C732FA" w:rsidRDefault="00303AFE">
      <w:pPr>
        <w:pStyle w:val="Innehll2"/>
        <w:rPr>
          <w:sz w:val="24"/>
          <w:szCs w:val="24"/>
        </w:rPr>
      </w:pPr>
      <w:r w:rsidRPr="00C732FA">
        <w:t>Bakgrund</w:t>
      </w:r>
      <w:r w:rsidRPr="00C732FA">
        <w:tab/>
        <w:t>4</w:t>
      </w:r>
    </w:p>
    <w:p w:rsidR="00303AFE" w:rsidRPr="00C732FA" w:rsidRDefault="00303AFE">
      <w:pPr>
        <w:pStyle w:val="Innehll2"/>
        <w:rPr>
          <w:sz w:val="24"/>
          <w:szCs w:val="24"/>
        </w:rPr>
      </w:pPr>
      <w:r w:rsidRPr="00C732FA">
        <w:t>Revisionsfrågor och avgränsningar</w:t>
      </w:r>
      <w:r w:rsidRPr="00C732FA">
        <w:tab/>
        <w:t>4</w:t>
      </w:r>
    </w:p>
    <w:p w:rsidR="00303AFE" w:rsidRPr="00C732FA" w:rsidRDefault="00303AFE">
      <w:pPr>
        <w:pStyle w:val="Innehll3"/>
        <w:rPr>
          <w:sz w:val="24"/>
          <w:szCs w:val="24"/>
        </w:rPr>
      </w:pPr>
      <w:r w:rsidRPr="00C732FA">
        <w:t>Bankgarantin</w:t>
      </w:r>
      <w:r w:rsidRPr="00C732FA">
        <w:tab/>
        <w:t>5</w:t>
      </w:r>
    </w:p>
    <w:p w:rsidR="00303AFE" w:rsidRPr="00C732FA" w:rsidRDefault="00303AFE">
      <w:pPr>
        <w:pStyle w:val="Innehll3"/>
        <w:rPr>
          <w:sz w:val="24"/>
          <w:szCs w:val="24"/>
        </w:rPr>
      </w:pPr>
      <w:r w:rsidRPr="00C732FA">
        <w:t>Insättningsgarantin</w:t>
      </w:r>
      <w:r w:rsidRPr="00C732FA">
        <w:tab/>
        <w:t>5</w:t>
      </w:r>
    </w:p>
    <w:p w:rsidR="00303AFE" w:rsidRPr="00C732FA" w:rsidRDefault="00303AFE">
      <w:pPr>
        <w:pStyle w:val="Innehll3"/>
        <w:rPr>
          <w:sz w:val="24"/>
          <w:szCs w:val="24"/>
        </w:rPr>
      </w:pPr>
      <w:r w:rsidRPr="00C732FA">
        <w:t>Exportkreditgarantier</w:t>
      </w:r>
      <w:r w:rsidRPr="00C732FA">
        <w:tab/>
        <w:t>5</w:t>
      </w:r>
    </w:p>
    <w:p w:rsidR="00303AFE" w:rsidRPr="00C732FA" w:rsidRDefault="00303AFE">
      <w:pPr>
        <w:pStyle w:val="Innehll3"/>
        <w:rPr>
          <w:sz w:val="24"/>
          <w:szCs w:val="24"/>
        </w:rPr>
      </w:pPr>
      <w:r w:rsidRPr="00C732FA">
        <w:t>Exportkrediter</w:t>
      </w:r>
      <w:r w:rsidRPr="00C732FA">
        <w:tab/>
        <w:t>6</w:t>
      </w:r>
    </w:p>
    <w:p w:rsidR="00303AFE" w:rsidRPr="00C732FA" w:rsidRDefault="00303AFE">
      <w:pPr>
        <w:pStyle w:val="Innehll3"/>
        <w:rPr>
          <w:sz w:val="24"/>
          <w:szCs w:val="24"/>
        </w:rPr>
      </w:pPr>
      <w:r w:rsidRPr="00C732FA">
        <w:t>Garantier och garantirisker</w:t>
      </w:r>
      <w:r w:rsidRPr="00C732FA">
        <w:tab/>
        <w:t>6</w:t>
      </w:r>
    </w:p>
    <w:p w:rsidR="00303AFE" w:rsidRPr="00C732FA" w:rsidRDefault="00303AFE">
      <w:pPr>
        <w:pStyle w:val="Innehll2"/>
        <w:rPr>
          <w:sz w:val="24"/>
          <w:szCs w:val="24"/>
        </w:rPr>
      </w:pPr>
      <w:r w:rsidRPr="00C732FA">
        <w:t>Riksrevisionens iakttagelser och slutsatser</w:t>
      </w:r>
      <w:r w:rsidRPr="00C732FA">
        <w:tab/>
        <w:t>7</w:t>
      </w:r>
    </w:p>
    <w:p w:rsidR="00303AFE" w:rsidRPr="00C732FA" w:rsidRDefault="00303AFE">
      <w:pPr>
        <w:pStyle w:val="Innehll3"/>
        <w:rPr>
          <w:sz w:val="24"/>
          <w:szCs w:val="24"/>
        </w:rPr>
      </w:pPr>
      <w:r w:rsidRPr="00C732FA">
        <w:t>Garantivillkoren</w:t>
      </w:r>
      <w:r w:rsidRPr="00C732FA">
        <w:tab/>
        <w:t>7</w:t>
      </w:r>
    </w:p>
    <w:p w:rsidR="00303AFE" w:rsidRPr="00C732FA" w:rsidRDefault="00303AFE">
      <w:pPr>
        <w:pStyle w:val="Innehll3"/>
        <w:rPr>
          <w:sz w:val="24"/>
          <w:szCs w:val="24"/>
        </w:rPr>
      </w:pPr>
      <w:r w:rsidRPr="00C732FA">
        <w:t>Underlag för bedömning av statens risk för framtida kostnader</w:t>
      </w:r>
      <w:r w:rsidRPr="00C732FA">
        <w:tab/>
        <w:t>7</w:t>
      </w:r>
    </w:p>
    <w:p w:rsidR="00303AFE" w:rsidRPr="00C732FA" w:rsidRDefault="00303AFE">
      <w:pPr>
        <w:pStyle w:val="Innehll3"/>
        <w:rPr>
          <w:sz w:val="24"/>
          <w:szCs w:val="24"/>
        </w:rPr>
      </w:pPr>
      <w:r w:rsidRPr="00C732FA">
        <w:t>Statens långsiktiga kostnader för stödet ska hållas låga</w:t>
      </w:r>
      <w:r w:rsidRPr="00C732FA">
        <w:tab/>
        <w:t>8</w:t>
      </w:r>
    </w:p>
    <w:p w:rsidR="00303AFE" w:rsidRPr="00C732FA" w:rsidRDefault="00303AFE">
      <w:pPr>
        <w:pStyle w:val="Innehll3"/>
        <w:rPr>
          <w:sz w:val="24"/>
          <w:szCs w:val="24"/>
        </w:rPr>
      </w:pPr>
      <w:r w:rsidRPr="00C732FA">
        <w:t>Återrapportering till riksdagen</w:t>
      </w:r>
      <w:r w:rsidRPr="00C732FA">
        <w:tab/>
        <w:t>8</w:t>
      </w:r>
    </w:p>
    <w:p w:rsidR="00303AFE" w:rsidRPr="00C732FA" w:rsidRDefault="00303AFE">
      <w:pPr>
        <w:pStyle w:val="Innehll2"/>
        <w:rPr>
          <w:sz w:val="24"/>
          <w:szCs w:val="24"/>
        </w:rPr>
      </w:pPr>
      <w:r w:rsidRPr="00C732FA">
        <w:t>Riksrevisionens rekommendationer</w:t>
      </w:r>
      <w:r w:rsidRPr="00C732FA">
        <w:tab/>
        <w:t>9</w:t>
      </w:r>
    </w:p>
    <w:p w:rsidR="00303AFE" w:rsidRPr="00C732FA" w:rsidRDefault="00303AFE">
      <w:pPr>
        <w:pStyle w:val="Innehll1"/>
        <w:rPr>
          <w:sz w:val="24"/>
          <w:szCs w:val="24"/>
        </w:rPr>
      </w:pPr>
      <w:r w:rsidRPr="00C732FA">
        <w:t>Styrelsens överväganden</w:t>
      </w:r>
      <w:r w:rsidRPr="00C732FA">
        <w:tab/>
        <w:t>10</w:t>
      </w:r>
    </w:p>
    <w:p w:rsidR="00303AFE" w:rsidRPr="00C732FA" w:rsidRDefault="00303AFE">
      <w:pPr>
        <w:pStyle w:val="Innehll3"/>
        <w:rPr>
          <w:sz w:val="24"/>
          <w:szCs w:val="24"/>
        </w:rPr>
      </w:pPr>
      <w:r w:rsidRPr="00C732FA">
        <w:t>Regleringsbrev för budgetåret 2010 avseende Riksgäldskontoret</w:t>
      </w:r>
      <w:r w:rsidRPr="00C732FA">
        <w:tab/>
        <w:t>10</w:t>
      </w:r>
    </w:p>
    <w:p w:rsidR="00303AFE" w:rsidRPr="00C732FA" w:rsidRDefault="00303AFE">
      <w:pPr>
        <w:pStyle w:val="Innehll2"/>
        <w:rPr>
          <w:sz w:val="24"/>
          <w:szCs w:val="24"/>
        </w:rPr>
      </w:pPr>
      <w:r w:rsidRPr="00C732FA">
        <w:t>Samlad redovisning av de ekonomiska riskerna</w:t>
      </w:r>
      <w:r w:rsidRPr="00C732FA">
        <w:tab/>
        <w:t>10</w:t>
      </w:r>
    </w:p>
    <w:p w:rsidR="00303AFE" w:rsidRPr="00C732FA" w:rsidRDefault="00303AFE">
      <w:pPr>
        <w:pStyle w:val="Innehll2"/>
        <w:rPr>
          <w:sz w:val="24"/>
          <w:szCs w:val="24"/>
        </w:rPr>
      </w:pPr>
      <w:r w:rsidRPr="00C732FA">
        <w:t>Styrelsens förslag</w:t>
      </w:r>
      <w:r w:rsidRPr="00C732FA">
        <w:tab/>
        <w:t>11</w:t>
      </w:r>
    </w:p>
    <w:p w:rsidR="00167C05" w:rsidRPr="00C732FA" w:rsidRDefault="00167C05" w:rsidP="00167C05"/>
    <w:p w:rsidR="00167C05" w:rsidRPr="00C732FA" w:rsidRDefault="00167C05" w:rsidP="00167C05">
      <w:pPr>
        <w:pStyle w:val="Normaltindrag"/>
        <w:sectPr w:rsidR="00167C05" w:rsidRPr="00C732FA" w:rsidSect="00701C8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67C05" w:rsidRPr="00C732FA" w:rsidRDefault="00167C05" w:rsidP="00167C05">
      <w:pPr>
        <w:pStyle w:val="Rubrik1"/>
        <w:rPr>
          <w:noProof w:val="0"/>
        </w:rPr>
      </w:pPr>
      <w:bookmarkStart w:id="5" w:name="_Toc254266870"/>
      <w:r w:rsidRPr="00C732FA">
        <w:rPr>
          <w:noProof w:val="0"/>
        </w:rPr>
        <w:t>Styrelsens förslag</w:t>
      </w:r>
      <w:bookmarkEnd w:id="5"/>
    </w:p>
    <w:p w:rsidR="00167C05" w:rsidRPr="00C732FA" w:rsidRDefault="00167C05" w:rsidP="00167C05">
      <w:r w:rsidRPr="00C732FA">
        <w:t>Med hänvisning till de motiveringar som framförs under Riksrevisionens styrelses överväganden föreslår Riksrevisionens styrelse följande:</w:t>
      </w:r>
    </w:p>
    <w:p w:rsidR="00167C05" w:rsidRPr="00C732FA" w:rsidRDefault="00167C05" w:rsidP="00167C05">
      <w:pPr>
        <w:pStyle w:val="Normaltindrag"/>
      </w:pPr>
    </w:p>
    <w:p w:rsidR="00167C05" w:rsidRPr="00C732FA" w:rsidRDefault="00A80E09" w:rsidP="00A80E09">
      <w:pPr>
        <w:pStyle w:val="Frslagspunkt"/>
        <w:rPr>
          <w:noProof w:val="0"/>
        </w:rPr>
      </w:pPr>
      <w:bookmarkStart w:id="6" w:name="Nästa_Hpunkt"/>
      <w:bookmarkEnd w:id="6"/>
      <w:r w:rsidRPr="00C732FA">
        <w:rPr>
          <w:noProof w:val="0"/>
        </w:rPr>
        <w:tab/>
        <w:t>Samlad redovisning av de ekonomiska riskerna</w:t>
      </w:r>
    </w:p>
    <w:p w:rsidR="0056184B" w:rsidRPr="00C732FA" w:rsidRDefault="00F76C41" w:rsidP="0056184B">
      <w:pPr>
        <w:pStyle w:val="Frslagstext"/>
      </w:pPr>
      <w:r w:rsidRPr="00C732FA">
        <w:t>Riksdagen tillkännager för regeringen som sin mening vad styrelsen a</w:t>
      </w:r>
      <w:r w:rsidRPr="00C732FA">
        <w:t>n</w:t>
      </w:r>
      <w:r w:rsidRPr="00C732FA">
        <w:t xml:space="preserve">fört om att regeringen </w:t>
      </w:r>
      <w:r w:rsidR="003F2CE9" w:rsidRPr="00C732FA">
        <w:t xml:space="preserve">snarast </w:t>
      </w:r>
      <w:r w:rsidRPr="00C732FA">
        <w:t xml:space="preserve">bör </w:t>
      </w:r>
      <w:r w:rsidR="00A80E09" w:rsidRPr="00C732FA">
        <w:t xml:space="preserve">återkomma till riksdagen med en </w:t>
      </w:r>
      <w:r w:rsidR="0056184B" w:rsidRPr="00C732FA">
        <w:t>sa</w:t>
      </w:r>
      <w:r w:rsidR="0056184B" w:rsidRPr="00C732FA">
        <w:t>m</w:t>
      </w:r>
      <w:r w:rsidR="0056184B" w:rsidRPr="00C732FA">
        <w:t xml:space="preserve">lad redovisning av de ekonomiska risker för staten som besluten om bank- och exportkreditgarantier har medfört. </w:t>
      </w:r>
    </w:p>
    <w:p w:rsidR="00A80E09" w:rsidRPr="00C732FA" w:rsidRDefault="00A80E09" w:rsidP="00A80E09">
      <w:pPr>
        <w:pStyle w:val="Frslagspunkt"/>
        <w:rPr>
          <w:noProof w:val="0"/>
        </w:rPr>
      </w:pPr>
    </w:p>
    <w:p w:rsidR="00167C05" w:rsidRPr="00C732FA" w:rsidRDefault="00167C05" w:rsidP="00167C05">
      <w:pPr>
        <w:pStyle w:val="Normaltindrag"/>
      </w:pPr>
    </w:p>
    <w:p w:rsidR="00167C05" w:rsidRPr="00C732FA" w:rsidRDefault="001A2830" w:rsidP="00167C05">
      <w:pPr>
        <w:pStyle w:val="Utskriftsdatum"/>
      </w:pPr>
      <w:r w:rsidRPr="00C732FA">
        <w:t>Stockholm den 17 februari 2010</w:t>
      </w:r>
    </w:p>
    <w:p w:rsidR="00167C05" w:rsidRPr="00C732FA" w:rsidRDefault="00167C05" w:rsidP="00167C05">
      <w:r w:rsidRPr="00C732FA">
        <w:t>På Riksrevisionens styrelses vägnar</w:t>
      </w:r>
    </w:p>
    <w:p w:rsidR="00167C05" w:rsidRPr="00C732FA" w:rsidRDefault="00167C05" w:rsidP="00167C05">
      <w:pPr>
        <w:pStyle w:val="Normaltindrag"/>
      </w:pPr>
      <w:bookmarkStart w:id="7" w:name="Ordförande"/>
      <w:bookmarkEnd w:id="7"/>
    </w:p>
    <w:p w:rsidR="00167C05" w:rsidRPr="00C732FA" w:rsidRDefault="00167C05" w:rsidP="001A2830">
      <w:pPr>
        <w:pStyle w:val="Normaltindrag"/>
      </w:pPr>
      <w:bookmarkStart w:id="8" w:name="Deltagare"/>
      <w:bookmarkEnd w:id="8"/>
    </w:p>
    <w:p w:rsidR="00167C05" w:rsidRPr="00C732FA" w:rsidRDefault="00167C05" w:rsidP="00167C05">
      <w:pPr>
        <w:pStyle w:val="Normaltindrag"/>
      </w:pPr>
    </w:p>
    <w:p w:rsidR="00167C05" w:rsidRPr="00C732FA" w:rsidRDefault="001A2830" w:rsidP="001A2830">
      <w:pPr>
        <w:rPr>
          <w:i/>
        </w:rPr>
      </w:pPr>
      <w:r w:rsidRPr="00C732FA">
        <w:rPr>
          <w:i/>
        </w:rPr>
        <w:t>Tommy Waidelich</w:t>
      </w:r>
    </w:p>
    <w:p w:rsidR="001A2830" w:rsidRPr="00C732FA" w:rsidRDefault="001A2830" w:rsidP="001A2830">
      <w:pPr>
        <w:pStyle w:val="Normaltindrag"/>
      </w:pPr>
    </w:p>
    <w:p w:rsidR="001A2830" w:rsidRPr="00C732FA" w:rsidRDefault="001A2830" w:rsidP="001A2830">
      <w:pPr>
        <w:pStyle w:val="Normaltindrag"/>
      </w:pPr>
    </w:p>
    <w:p w:rsidR="001A2830" w:rsidRPr="00C732FA" w:rsidRDefault="001A2830" w:rsidP="001A2830">
      <w:pPr>
        <w:pStyle w:val="Normaltindrag"/>
        <w:rPr>
          <w:i/>
        </w:rPr>
      </w:pPr>
      <w:r w:rsidRPr="00C732FA">
        <w:tab/>
      </w:r>
      <w:r w:rsidRPr="00C732FA">
        <w:tab/>
      </w:r>
      <w:r w:rsidRPr="00C732FA">
        <w:tab/>
      </w:r>
      <w:r w:rsidRPr="00C732FA">
        <w:rPr>
          <w:i/>
        </w:rPr>
        <w:t>Anna Aspegren</w:t>
      </w:r>
    </w:p>
    <w:p w:rsidR="001A2830" w:rsidRPr="00C732FA" w:rsidRDefault="001A2830" w:rsidP="001A2830">
      <w:pPr>
        <w:pStyle w:val="Normaltindrag"/>
        <w:rPr>
          <w:i/>
        </w:rPr>
      </w:pPr>
    </w:p>
    <w:p w:rsidR="001A2830" w:rsidRPr="00C732FA" w:rsidRDefault="001A2830" w:rsidP="001A2830">
      <w:pPr>
        <w:pStyle w:val="Normaltindrag"/>
        <w:rPr>
          <w:i/>
        </w:rPr>
      </w:pPr>
    </w:p>
    <w:p w:rsidR="003F2CE9" w:rsidRPr="00C732FA" w:rsidRDefault="003F2CE9" w:rsidP="0033062D">
      <w:pPr>
        <w:pStyle w:val="Deltagare"/>
        <w:rPr>
          <w:noProof w:val="0"/>
        </w:rPr>
      </w:pPr>
      <w:r w:rsidRPr="00C732FA">
        <w:rPr>
          <w:noProof w:val="0"/>
        </w:rPr>
        <w:t>Följande ledamöter deltog i beslutet: Tommy Waidelich (s), Carina Adolfsson Elgestam (s), Ewa Thalén Finné (m), Alf Eriksson (s), Per Rose</w:t>
      </w:r>
      <w:r w:rsidRPr="00C732FA">
        <w:rPr>
          <w:noProof w:val="0"/>
        </w:rPr>
        <w:t>n</w:t>
      </w:r>
      <w:r w:rsidRPr="00C732FA">
        <w:rPr>
          <w:noProof w:val="0"/>
        </w:rPr>
        <w:t>gren (v), Elisabeth Svantesson (m), Margareta Andersson (c), Helena Hillar Rosenqvist (mp), Torsten Lindström (kd), Lennart Hedquist (m) och Tina Acketoft (fp).</w:t>
      </w:r>
    </w:p>
    <w:p w:rsidR="001A2830" w:rsidRPr="00C732FA" w:rsidRDefault="001A2830" w:rsidP="00167C05">
      <w:pPr>
        <w:pStyle w:val="Normaltindrag"/>
      </w:pPr>
    </w:p>
    <w:p w:rsidR="001A2830" w:rsidRPr="00C732FA" w:rsidRDefault="001A2830" w:rsidP="00167C05">
      <w:pPr>
        <w:pStyle w:val="Normaltindrag"/>
        <w:sectPr w:rsidR="001A2830" w:rsidRPr="00C732FA" w:rsidSect="00701C8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C5DE9" w:rsidRPr="00C732FA" w:rsidRDefault="00167C05" w:rsidP="002C5DE9">
      <w:pPr>
        <w:pStyle w:val="Rubrik1"/>
        <w:rPr>
          <w:noProof w:val="0"/>
        </w:rPr>
      </w:pPr>
      <w:bookmarkStart w:id="9" w:name="_Toc254266871"/>
      <w:r w:rsidRPr="00C732FA">
        <w:rPr>
          <w:noProof w:val="0"/>
        </w:rPr>
        <w:t>Riksrevisionens granskning</w:t>
      </w:r>
      <w:bookmarkEnd w:id="9"/>
    </w:p>
    <w:p w:rsidR="002C5DE9" w:rsidRPr="00C732FA" w:rsidRDefault="002C5DE9" w:rsidP="002C5DE9"/>
    <w:p w:rsidR="002C5DE9" w:rsidRPr="00C732FA" w:rsidRDefault="002C5DE9" w:rsidP="003E4344">
      <w:pPr>
        <w:rPr>
          <w:i/>
        </w:rPr>
      </w:pPr>
      <w:r w:rsidRPr="00C732FA">
        <w:t>Riksrevisionen har granskat regeringens beslut, uppföljning och rapportering till riksdagen om de statliga garantiåtgärderna till följd av finanskrisen. Resu</w:t>
      </w:r>
      <w:r w:rsidRPr="00C732FA">
        <w:t>l</w:t>
      </w:r>
      <w:r w:rsidRPr="00C732FA">
        <w:t xml:space="preserve">tatet av granskningen har redovisats i granskningsrapporten </w:t>
      </w:r>
      <w:r w:rsidRPr="00C732FA">
        <w:rPr>
          <w:i/>
        </w:rPr>
        <w:t xml:space="preserve">Statens garantier i finanskrisen </w:t>
      </w:r>
      <w:r w:rsidRPr="00C732FA">
        <w:t xml:space="preserve">(RiR 2009:26). Rapporten publicerades </w:t>
      </w:r>
      <w:r w:rsidR="00D130E4" w:rsidRPr="00C732FA">
        <w:t xml:space="preserve">i </w:t>
      </w:r>
      <w:r w:rsidRPr="00C732FA">
        <w:t>december 2009.</w:t>
      </w:r>
    </w:p>
    <w:p w:rsidR="002C5DE9" w:rsidRPr="00C732FA" w:rsidRDefault="002C5DE9" w:rsidP="003E4344">
      <w:pPr>
        <w:pStyle w:val="Rubrik2"/>
      </w:pPr>
      <w:bookmarkStart w:id="10" w:name="_Toc254266872"/>
      <w:r w:rsidRPr="00C732FA">
        <w:t>Bakgrund</w:t>
      </w:r>
      <w:bookmarkEnd w:id="10"/>
      <w:r w:rsidRPr="00C732FA">
        <w:t xml:space="preserve"> </w:t>
      </w:r>
    </w:p>
    <w:p w:rsidR="002C5DE9" w:rsidRPr="00C732FA" w:rsidRDefault="002C5DE9" w:rsidP="003E4344">
      <w:r w:rsidRPr="00C732FA">
        <w:t>I samband med Lehman Brothers konkurs i USA i september 2008 drog sig de internationella bankerna ur svensk exportfinansiering. Även svenska ba</w:t>
      </w:r>
      <w:r w:rsidRPr="00C732FA">
        <w:t>n</w:t>
      </w:r>
      <w:r w:rsidRPr="00C732FA">
        <w:t>ker påverkades, något som minskade möjligheterna för företagen att få kred</w:t>
      </w:r>
      <w:r w:rsidRPr="00C732FA">
        <w:t>i</w:t>
      </w:r>
      <w:r w:rsidRPr="00C732FA">
        <w:t xml:space="preserve">ter på rimliga villkor. </w:t>
      </w:r>
    </w:p>
    <w:p w:rsidR="002C5DE9" w:rsidRPr="00C732FA" w:rsidRDefault="002C5DE9" w:rsidP="002C5DE9">
      <w:pPr>
        <w:pStyle w:val="Normaltindrag"/>
      </w:pPr>
      <w:r w:rsidRPr="00C732FA">
        <w:t>I slutet av oktober 2008 beslutade riksdagen att godkänna regeringens fö</w:t>
      </w:r>
      <w:r w:rsidRPr="00C732FA">
        <w:t>r</w:t>
      </w:r>
      <w:r w:rsidRPr="00C732FA">
        <w:t>slag till en stabilitetsplan och en ny lag om statligt stöd till kreditinstitut (SFS 2008:814) innehållande bestämmelser om en stabilitetsfond. Med stöd av lagen beslutade regeringen om ett garantiprogram för bankernas upplåning med en total ram om 1 500 miljarder kronor och att höja insättningsgarantin för bankernas inlåning från 250 000 till 500 000 kr.</w:t>
      </w:r>
      <w:r w:rsidRPr="00C732FA">
        <w:rPr>
          <w:vertAlign w:val="superscript"/>
        </w:rPr>
        <w:footnoteReference w:id="1"/>
      </w:r>
      <w:r w:rsidRPr="00C732FA">
        <w:t xml:space="preserve"> </w:t>
      </w:r>
    </w:p>
    <w:p w:rsidR="002C5DE9" w:rsidRPr="00C732FA" w:rsidRDefault="002C5DE9" w:rsidP="002C5DE9">
      <w:pPr>
        <w:pStyle w:val="Normaltindrag"/>
      </w:pPr>
      <w:r w:rsidRPr="00C732FA">
        <w:t>Garantin beräknades av regeringen motsvar</w:t>
      </w:r>
      <w:r w:rsidR="00836722" w:rsidRPr="00C732FA">
        <w:t>a behållningar på konton om c</w:t>
      </w:r>
      <w:r w:rsidRPr="00C732FA">
        <w:t>a 740 miljarder kronor. I december 2008 höjde regeringen Exportkreditnäm</w:t>
      </w:r>
      <w:r w:rsidRPr="00C732FA">
        <w:t>n</w:t>
      </w:r>
      <w:r w:rsidRPr="00C732FA">
        <w:t xml:space="preserve">dens </w:t>
      </w:r>
      <w:r w:rsidR="00836722" w:rsidRPr="00C732FA">
        <w:t xml:space="preserve">(EKN) </w:t>
      </w:r>
      <w:r w:rsidRPr="00C732FA">
        <w:t>garantiram från disponibla 175 till 350 miljarder kronor. Samt</w:t>
      </w:r>
      <w:r w:rsidRPr="00C732FA">
        <w:t>i</w:t>
      </w:r>
      <w:r w:rsidRPr="00C732FA">
        <w:t xml:space="preserve">digt beviljades AB Svensk Exportkredit </w:t>
      </w:r>
      <w:r w:rsidR="00836722" w:rsidRPr="00C732FA">
        <w:t xml:space="preserve">(SEK) </w:t>
      </w:r>
      <w:r w:rsidRPr="00C732FA">
        <w:t>en låneram i Riksgäldskont</w:t>
      </w:r>
      <w:r w:rsidRPr="00C732FA">
        <w:t>o</w:t>
      </w:r>
      <w:r w:rsidRPr="00C732FA">
        <w:t>ret om 100 miljarder kronor. Regeringen fick också bemyndigande att ge Svensk Exportkredit en garanti för bolagets upplåning om högst 450 miljarder kr</w:t>
      </w:r>
      <w:r w:rsidRPr="00C732FA">
        <w:t>o</w:t>
      </w:r>
      <w:r w:rsidRPr="00C732FA">
        <w:t>nor.</w:t>
      </w:r>
      <w:r w:rsidRPr="00C732FA">
        <w:rPr>
          <w:vertAlign w:val="superscript"/>
        </w:rPr>
        <w:footnoteReference w:id="2"/>
      </w:r>
      <w:r w:rsidRPr="00C732FA">
        <w:t xml:space="preserve"> </w:t>
      </w:r>
    </w:p>
    <w:p w:rsidR="002C5DE9" w:rsidRPr="00C732FA" w:rsidRDefault="002C5DE9" w:rsidP="002C5DE9">
      <w:pPr>
        <w:pStyle w:val="Normaltindrag"/>
      </w:pPr>
      <w:r w:rsidRPr="00C732FA">
        <w:t>Sammantaget beslutade riksdagen på kort tid och med en extraordinär b</w:t>
      </w:r>
      <w:r w:rsidRPr="00C732FA">
        <w:t>e</w:t>
      </w:r>
      <w:r w:rsidRPr="00C732FA">
        <w:t xml:space="preserve">rednings- och beslutsprocess i regering och riksdag om garantiramar för de största garantisystemen som ökade från 800 miljarder kronor sommaren 2008 till omkring drygt 3 000 miljarder kronor våren 2009. </w:t>
      </w:r>
    </w:p>
    <w:p w:rsidR="002C5DE9" w:rsidRPr="00C732FA" w:rsidRDefault="002C5DE9" w:rsidP="003E4344">
      <w:pPr>
        <w:pStyle w:val="Rubrik2"/>
      </w:pPr>
      <w:bookmarkStart w:id="11" w:name="_Toc254266873"/>
      <w:r w:rsidRPr="00C732FA">
        <w:t>Revisionsfrågor och avgränsningar</w:t>
      </w:r>
      <w:bookmarkEnd w:id="11"/>
    </w:p>
    <w:p w:rsidR="002C5DE9" w:rsidRPr="00C732FA" w:rsidRDefault="002C5DE9" w:rsidP="00836722">
      <w:r w:rsidRPr="00C732FA">
        <w:t>De garantiramar som riksdagen bemyndigat regeringen att utnyttja och de garantier som regeringen ställt ut under hösten 2008 och våren 2009 innebär mycket stora åtaganden genom att staten går i borgen för betalningsförplikte</w:t>
      </w:r>
      <w:r w:rsidRPr="00C732FA">
        <w:t>l</w:t>
      </w:r>
      <w:r w:rsidRPr="00C732FA">
        <w:t xml:space="preserve">ser hos banker och företag. </w:t>
      </w:r>
    </w:p>
    <w:p w:rsidR="002C5DE9" w:rsidRPr="00C732FA" w:rsidRDefault="002C5DE9" w:rsidP="002C5DE9">
      <w:pPr>
        <w:pStyle w:val="Normaltindrag"/>
      </w:pPr>
      <w:r w:rsidRPr="00C732FA">
        <w:t>Granskningen behandlar om regeringen har säkerställt</w:t>
      </w:r>
    </w:p>
    <w:p w:rsidR="002C5DE9" w:rsidRPr="00C732FA" w:rsidRDefault="002C5DE9" w:rsidP="003E4344">
      <w:pPr>
        <w:pStyle w:val="Liststycke"/>
        <w:numPr>
          <w:ilvl w:val="0"/>
          <w:numId w:val="7"/>
        </w:numPr>
        <w:spacing w:before="0"/>
      </w:pPr>
      <w:r w:rsidRPr="00C732FA">
        <w:t>garantivillkor som är rimliga med hänsyn till statens kostnader</w:t>
      </w:r>
    </w:p>
    <w:p w:rsidR="002C5DE9" w:rsidRPr="00C732FA" w:rsidRDefault="002C5DE9" w:rsidP="003E4344">
      <w:pPr>
        <w:pStyle w:val="Liststycke"/>
        <w:numPr>
          <w:ilvl w:val="0"/>
          <w:numId w:val="7"/>
        </w:numPr>
      </w:pPr>
      <w:r w:rsidRPr="00C732FA">
        <w:t>underlag som möjliggör bedömningar av statens risker för framtida kostn</w:t>
      </w:r>
      <w:r w:rsidRPr="00C732FA">
        <w:t>a</w:t>
      </w:r>
      <w:r w:rsidRPr="00C732FA">
        <w:t xml:space="preserve">der </w:t>
      </w:r>
    </w:p>
    <w:p w:rsidR="002C5DE9" w:rsidRPr="00C732FA" w:rsidRDefault="002C5DE9" w:rsidP="003E4344">
      <w:pPr>
        <w:pStyle w:val="Liststycke"/>
        <w:numPr>
          <w:ilvl w:val="0"/>
          <w:numId w:val="7"/>
        </w:numPr>
      </w:pPr>
      <w:r w:rsidRPr="00C732FA">
        <w:t>en öppen och tydlig återrapportering till riksdagen</w:t>
      </w:r>
      <w:r w:rsidR="00836722" w:rsidRPr="00C732FA">
        <w:t>.</w:t>
      </w:r>
    </w:p>
    <w:p w:rsidR="002C5DE9" w:rsidRPr="00C732FA" w:rsidRDefault="002C5DE9" w:rsidP="002C5DE9">
      <w:pPr>
        <w:pStyle w:val="Normaltindrag"/>
      </w:pPr>
    </w:p>
    <w:p w:rsidR="002C5DE9" w:rsidRPr="00C732FA" w:rsidRDefault="002C5DE9" w:rsidP="003E4344">
      <w:r w:rsidRPr="00C732FA">
        <w:t xml:space="preserve">Granskningen avgränsas till de fyra största garantiprogrammen: bankgarantin, insättningsgarantin, exportkreditgarantin och upplåningsgarantin för AB Svensk Exportkredit. Granskningen avser regeringens underlag för åtgärder i dessa program sedan oktober 2008. Granskningen avser </w:t>
      </w:r>
      <w:r w:rsidRPr="00C732FA">
        <w:rPr>
          <w:i/>
        </w:rPr>
        <w:t xml:space="preserve">inte </w:t>
      </w:r>
      <w:r w:rsidRPr="00C732FA">
        <w:t>syftet med eller effekterna av de statliga garantierna på den finansiella sektorn eller samhäll</w:t>
      </w:r>
      <w:r w:rsidRPr="00C732FA">
        <w:t>s</w:t>
      </w:r>
      <w:r w:rsidRPr="00C732FA">
        <w:t xml:space="preserve">ekonomin i stort. </w:t>
      </w:r>
    </w:p>
    <w:p w:rsidR="002C5DE9" w:rsidRPr="00C732FA" w:rsidRDefault="002C5DE9" w:rsidP="003E4344">
      <w:pPr>
        <w:pStyle w:val="Rubrik3"/>
        <w:rPr>
          <w:noProof w:val="0"/>
        </w:rPr>
      </w:pPr>
      <w:bookmarkStart w:id="12" w:name="_Toc254266874"/>
      <w:r w:rsidRPr="00C732FA">
        <w:rPr>
          <w:noProof w:val="0"/>
        </w:rPr>
        <w:t>Bankgarantin</w:t>
      </w:r>
      <w:bookmarkEnd w:id="12"/>
      <w:r w:rsidRPr="00C732FA">
        <w:rPr>
          <w:noProof w:val="0"/>
        </w:rPr>
        <w:t xml:space="preserve"> </w:t>
      </w:r>
    </w:p>
    <w:p w:rsidR="002C5DE9" w:rsidRPr="00C732FA" w:rsidRDefault="002C5DE9" w:rsidP="003E4344">
      <w:r w:rsidRPr="00C732FA">
        <w:t>Bankgarantin infördes i oktober 2008 och omfattar den värdepappersuppl</w:t>
      </w:r>
      <w:r w:rsidRPr="00C732FA">
        <w:t>å</w:t>
      </w:r>
      <w:r w:rsidRPr="00C732FA">
        <w:t>ning som banker och bostadsinstitut använder för att finansiera sin verksa</w:t>
      </w:r>
      <w:r w:rsidRPr="00C732FA">
        <w:t>m</w:t>
      </w:r>
      <w:r w:rsidRPr="00C732FA">
        <w:t xml:space="preserve">het. Garantin regleras genom en överenskommelse inom EU för att värna den finansiella stabiliteten och genom lagen om statligt stöd till kreditinstitut. Efter beslut om förlängning löper programmet fram till den 30 april 2010. </w:t>
      </w:r>
    </w:p>
    <w:p w:rsidR="002C5DE9" w:rsidRPr="00C732FA" w:rsidRDefault="002C5DE9" w:rsidP="002C5DE9">
      <w:pPr>
        <w:pStyle w:val="Normaltindrag"/>
      </w:pPr>
      <w:r w:rsidRPr="00C732FA">
        <w:t>Bankgarantin syftar till att upprätthålla utlåning till investeringar och i</w:t>
      </w:r>
      <w:r w:rsidRPr="00C732FA">
        <w:t>n</w:t>
      </w:r>
      <w:r w:rsidRPr="00C732FA">
        <w:t>dustriell verksamhet som hotades av brist på långsiktiga krediter. Garantin innebär att staten träder in om ett institut inte kan betala de garanterade lånen. Riksgäldskontoret är garantimyndighet för bankgarantin. Garantin finansieras i princip genom avgifter från de banker och kreditinstitut som tecknar avtal med Riksgäldskontoret.</w:t>
      </w:r>
    </w:p>
    <w:p w:rsidR="002C5DE9" w:rsidRPr="00C732FA" w:rsidRDefault="002C5DE9" w:rsidP="003E4344">
      <w:pPr>
        <w:pStyle w:val="Rubrik3"/>
        <w:rPr>
          <w:noProof w:val="0"/>
        </w:rPr>
      </w:pPr>
      <w:bookmarkStart w:id="13" w:name="_Toc254266875"/>
      <w:r w:rsidRPr="00C732FA">
        <w:rPr>
          <w:noProof w:val="0"/>
        </w:rPr>
        <w:t>Insättningsgarantin</w:t>
      </w:r>
      <w:bookmarkEnd w:id="13"/>
    </w:p>
    <w:p w:rsidR="002C5DE9" w:rsidRPr="00C732FA" w:rsidRDefault="002C5DE9" w:rsidP="003E4344">
      <w:r w:rsidRPr="00C732FA">
        <w:t>Insättningsgarantin infördes genom ett EU-direktiv 1995 och regleras genom lagen om insättningsgaranti. Täckningsnivån uppgår sedan mars 2009 till 50 000 euro. Insättningsgarantin syftar till att stärka skyddet för allmänhetens insättningar hos banker och vissa företag med inlåning enligt Finansinspe</w:t>
      </w:r>
      <w:r w:rsidRPr="00C732FA">
        <w:t>k</w:t>
      </w:r>
      <w:r w:rsidRPr="00C732FA">
        <w:t xml:space="preserve">tionens tillstånd. Garantin innebär att staten ersätter kontohavaren med ett belopp intill täckningsnivån om en bank med inlåningskonto inte kan täcka kontobehållningen efter en konkurs. Garantin finansieras genom avgifter från samtliga banker och kreditinstitut med inlåningskonto. Riksgäldskontoret är garantimyndighet för insättningsgarantin.  </w:t>
      </w:r>
    </w:p>
    <w:p w:rsidR="002C5DE9" w:rsidRPr="00C732FA" w:rsidRDefault="002C5DE9" w:rsidP="003E4344">
      <w:pPr>
        <w:pStyle w:val="Rubrik3"/>
        <w:rPr>
          <w:noProof w:val="0"/>
        </w:rPr>
      </w:pPr>
      <w:bookmarkStart w:id="14" w:name="_Toc254266876"/>
      <w:r w:rsidRPr="00C732FA">
        <w:rPr>
          <w:noProof w:val="0"/>
        </w:rPr>
        <w:t>Exportkreditgarantier</w:t>
      </w:r>
      <w:bookmarkEnd w:id="14"/>
      <w:r w:rsidRPr="00C732FA">
        <w:rPr>
          <w:noProof w:val="0"/>
        </w:rPr>
        <w:t xml:space="preserve"> </w:t>
      </w:r>
    </w:p>
    <w:p w:rsidR="002C5DE9" w:rsidRPr="00C732FA" w:rsidRDefault="002C5DE9" w:rsidP="003E4344">
      <w:r w:rsidRPr="00C732FA">
        <w:t xml:space="preserve">Exportkreditgarantier lämnas i syfte att underlätta exportföretagens upplåning för sin verksamhet genom bankkrediter. Garantin innebär att garantitagaren delvis får en ersättning för förlust till följd av att en köpare inte har betalt en avtalsenlig fordran. </w:t>
      </w:r>
      <w:r w:rsidR="00836722" w:rsidRPr="00C732FA">
        <w:t>I det sammanhanget</w:t>
      </w:r>
      <w:r w:rsidRPr="00C732FA">
        <w:t xml:space="preserve"> ska konkurrensneutralitet råda me</w:t>
      </w:r>
      <w:r w:rsidRPr="00C732FA">
        <w:t>l</w:t>
      </w:r>
      <w:r w:rsidRPr="00C732FA">
        <w:t>lan olika stat</w:t>
      </w:r>
      <w:r w:rsidRPr="00C732FA">
        <w:t>s</w:t>
      </w:r>
      <w:r w:rsidRPr="00C732FA">
        <w:t>stödda exportkredit- och investeringsgarantisystem inom OECD och EU. Exportkreditnämnden är garantimyndighet för exportkreditgarantie</w:t>
      </w:r>
      <w:r w:rsidRPr="00C732FA">
        <w:t>r</w:t>
      </w:r>
      <w:r w:rsidRPr="00C732FA">
        <w:t xml:space="preserve">na. </w:t>
      </w:r>
    </w:p>
    <w:p w:rsidR="002C5DE9" w:rsidRPr="00C732FA" w:rsidRDefault="002C5DE9" w:rsidP="002C5DE9">
      <w:pPr>
        <w:pStyle w:val="Normaltindrag"/>
      </w:pPr>
      <w:r w:rsidRPr="00C732FA">
        <w:t>Exportkreditnämnden ska begränsa riskerna i de garantier som ställs ut g</w:t>
      </w:r>
      <w:r w:rsidRPr="00C732FA">
        <w:t>e</w:t>
      </w:r>
      <w:r w:rsidRPr="00C732FA">
        <w:t>nom bland annat riskdelning. Myndigheten gör avsättningar för att täcka den beräknade garantirisken och vidtar riskreducerande åtgärder i form av återfö</w:t>
      </w:r>
      <w:r w:rsidRPr="00C732FA">
        <w:t>r</w:t>
      </w:r>
      <w:r w:rsidRPr="00C732FA">
        <w:t xml:space="preserve">säkringsavtal på den privata marknaden och hos andra exportkreditinstitut. </w:t>
      </w:r>
    </w:p>
    <w:p w:rsidR="002C5DE9" w:rsidRPr="00C732FA" w:rsidRDefault="002C5DE9" w:rsidP="003E4344">
      <w:pPr>
        <w:pStyle w:val="Rubrik3"/>
        <w:rPr>
          <w:noProof w:val="0"/>
        </w:rPr>
      </w:pPr>
      <w:bookmarkStart w:id="15" w:name="_Toc254266877"/>
      <w:r w:rsidRPr="00C732FA">
        <w:rPr>
          <w:noProof w:val="0"/>
        </w:rPr>
        <w:t>Exportkrediter</w:t>
      </w:r>
      <w:bookmarkEnd w:id="15"/>
    </w:p>
    <w:p w:rsidR="002C5DE9" w:rsidRPr="00C732FA" w:rsidRDefault="002C5DE9" w:rsidP="003E4344">
      <w:r w:rsidRPr="00C732FA">
        <w:t>Staten tillhandahåller medel- och långfristiga krediter för exportaffärer och infrastruktur genom AB Svensk Exportkredit som sedan 2003 är ett helägt statligt bolag. Bolaget bildades gemensamt av staten och de svenska affär</w:t>
      </w:r>
      <w:r w:rsidRPr="00C732FA">
        <w:t>s</w:t>
      </w:r>
      <w:r w:rsidRPr="00C732FA">
        <w:t>bankerna 1962 i syfte att ge den svenska industrin bättre tillgång till långfri</w:t>
      </w:r>
      <w:r w:rsidRPr="00C732FA">
        <w:t>s</w:t>
      </w:r>
      <w:r w:rsidRPr="00C732FA">
        <w:t xml:space="preserve">tig finansiering och därigenom öka dess konkurrenskraft. Bolagets uppdrag är att säkerställa tillgång till finansiella lösningar för export och infrastruktur. AB Svensk Exportkredit erbjuder främst långsiktiga finansieringslösningar och använder riskreducerande åtgärder för att kontrollera olika risker. </w:t>
      </w:r>
    </w:p>
    <w:p w:rsidR="002C5DE9" w:rsidRPr="00C732FA" w:rsidRDefault="002C5DE9" w:rsidP="002C5DE9">
      <w:pPr>
        <w:pStyle w:val="Normaltindrag"/>
      </w:pPr>
      <w:r w:rsidRPr="00C732FA">
        <w:t>För att säkerställa bolagets långfristiga upplåning fick regeringen våren 2009 riksdagens bemyndigande att lämna bolaget en statsgaranti på komme</w:t>
      </w:r>
      <w:r w:rsidRPr="00C732FA">
        <w:t>r</w:t>
      </w:r>
      <w:r w:rsidRPr="00C732FA">
        <w:t xml:space="preserve">siella villkor för sin upplåning. Regeringen hade inte fram till december 2009 utnyttjat möjligheten att låta AB Svensk Exportkredit köpa en statsgaranti för </w:t>
      </w:r>
      <w:r w:rsidR="00836722" w:rsidRPr="00C732FA">
        <w:t>s</w:t>
      </w:r>
      <w:r w:rsidRPr="00C732FA">
        <w:t>in upplåning.</w:t>
      </w:r>
    </w:p>
    <w:p w:rsidR="002C5DE9" w:rsidRPr="00C732FA" w:rsidRDefault="002C5DE9" w:rsidP="003E4344">
      <w:pPr>
        <w:pStyle w:val="Rubrik3"/>
        <w:rPr>
          <w:noProof w:val="0"/>
        </w:rPr>
      </w:pPr>
      <w:bookmarkStart w:id="16" w:name="_Toc254266878"/>
      <w:r w:rsidRPr="00C732FA">
        <w:rPr>
          <w:noProof w:val="0"/>
        </w:rPr>
        <w:t>Garantier och garantirisker</w:t>
      </w:r>
      <w:bookmarkEnd w:id="16"/>
    </w:p>
    <w:p w:rsidR="003E4344" w:rsidRPr="00C732FA" w:rsidRDefault="002C5DE9" w:rsidP="003E4344">
      <w:r w:rsidRPr="00C732FA">
        <w:t xml:space="preserve">Med riksdagens beslut under oktober till december 2008 utökades statens borgensåtaganden kraftigt. Den utökade betalningsförpliktelsen för de fyra garantier som omfattas av granskningen framgår av tabellen nedan, liksom vilka belopp som har utnyttjats efter beslut av regeringen eller </w:t>
      </w:r>
      <w:r w:rsidR="00836722" w:rsidRPr="00C732FA">
        <w:t xml:space="preserve">en </w:t>
      </w:r>
      <w:r w:rsidRPr="00C732FA">
        <w:t xml:space="preserve">myndighet. </w:t>
      </w:r>
    </w:p>
    <w:p w:rsidR="00836722" w:rsidRPr="00C732FA" w:rsidRDefault="00836722" w:rsidP="002C5DE9">
      <w:pPr>
        <w:pStyle w:val="Normaltindrag"/>
      </w:pPr>
    </w:p>
    <w:p w:rsidR="002C5DE9" w:rsidRPr="00C732FA" w:rsidRDefault="002C5DE9" w:rsidP="00836722">
      <w:pPr>
        <w:rPr>
          <w:i/>
        </w:rPr>
      </w:pPr>
      <w:r w:rsidRPr="00C732FA">
        <w:rPr>
          <w:i/>
        </w:rPr>
        <w:t xml:space="preserve">Beviljade och utnyttjade garantiramar, miljarder kronor </w:t>
      </w:r>
    </w:p>
    <w:tbl>
      <w:tblP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103"/>
        <w:gridCol w:w="1270"/>
        <w:gridCol w:w="1126"/>
        <w:gridCol w:w="1142"/>
      </w:tblGrid>
      <w:tr w:rsidR="002C5DE9" w:rsidRPr="00C732FA" w:rsidTr="000A0F34">
        <w:tc>
          <w:tcPr>
            <w:tcW w:w="1704" w:type="dxa"/>
          </w:tcPr>
          <w:p w:rsidR="002C5DE9" w:rsidRPr="00C732FA" w:rsidRDefault="002C5DE9" w:rsidP="000D2165">
            <w:pPr>
              <w:pStyle w:val="Normaltindrag"/>
              <w:ind w:firstLine="0"/>
              <w:rPr>
                <w:b/>
                <w:lang w:eastAsia="en-US"/>
              </w:rPr>
            </w:pPr>
            <w:r w:rsidRPr="00C732FA">
              <w:rPr>
                <w:b/>
                <w:lang w:eastAsia="en-US"/>
              </w:rPr>
              <w:t>Av riksdagen bevi</w:t>
            </w:r>
            <w:r w:rsidRPr="00C732FA">
              <w:rPr>
                <w:b/>
                <w:lang w:eastAsia="en-US"/>
              </w:rPr>
              <w:t>l</w:t>
            </w:r>
            <w:r w:rsidRPr="00C732FA">
              <w:rPr>
                <w:b/>
                <w:lang w:eastAsia="en-US"/>
              </w:rPr>
              <w:t>jade ramar</w:t>
            </w:r>
          </w:p>
        </w:tc>
        <w:tc>
          <w:tcPr>
            <w:tcW w:w="1103" w:type="dxa"/>
          </w:tcPr>
          <w:p w:rsidR="002C5DE9" w:rsidRPr="00C732FA" w:rsidRDefault="002C5DE9" w:rsidP="000D2165">
            <w:pPr>
              <w:pStyle w:val="Normaltindrag"/>
              <w:ind w:firstLine="0"/>
              <w:rPr>
                <w:b/>
                <w:lang w:eastAsia="en-US"/>
              </w:rPr>
            </w:pPr>
            <w:r w:rsidRPr="00C732FA">
              <w:rPr>
                <w:b/>
                <w:lang w:eastAsia="en-US"/>
              </w:rPr>
              <w:t xml:space="preserve">Före </w:t>
            </w:r>
            <w:r w:rsidR="000A0F34" w:rsidRPr="00C732FA">
              <w:rPr>
                <w:b/>
                <w:lang w:eastAsia="en-US"/>
              </w:rPr>
              <w:t xml:space="preserve">den </w:t>
            </w:r>
            <w:r w:rsidRPr="00C732FA">
              <w:rPr>
                <w:b/>
                <w:lang w:eastAsia="en-US"/>
              </w:rPr>
              <w:t>1 juli 2008</w:t>
            </w:r>
          </w:p>
        </w:tc>
        <w:tc>
          <w:tcPr>
            <w:tcW w:w="1270" w:type="dxa"/>
          </w:tcPr>
          <w:p w:rsidR="002C5DE9" w:rsidRPr="00C732FA" w:rsidRDefault="002C5DE9" w:rsidP="000D2165">
            <w:pPr>
              <w:pStyle w:val="Normaltindrag"/>
              <w:ind w:firstLine="28"/>
              <w:rPr>
                <w:b/>
                <w:lang w:eastAsia="en-US"/>
              </w:rPr>
            </w:pPr>
            <w:r w:rsidRPr="00C732FA">
              <w:rPr>
                <w:b/>
                <w:lang w:eastAsia="en-US"/>
              </w:rPr>
              <w:t xml:space="preserve">Efter </w:t>
            </w:r>
            <w:r w:rsidR="000A0F34" w:rsidRPr="00C732FA">
              <w:rPr>
                <w:b/>
                <w:lang w:eastAsia="en-US"/>
              </w:rPr>
              <w:t xml:space="preserve">den </w:t>
            </w:r>
            <w:r w:rsidRPr="00C732FA">
              <w:rPr>
                <w:b/>
                <w:lang w:eastAsia="en-US"/>
              </w:rPr>
              <w:t>31 dec. 2008</w:t>
            </w:r>
          </w:p>
        </w:tc>
        <w:tc>
          <w:tcPr>
            <w:tcW w:w="1126" w:type="dxa"/>
          </w:tcPr>
          <w:p w:rsidR="002C5DE9" w:rsidRPr="00C732FA" w:rsidRDefault="002C5DE9" w:rsidP="000D2165">
            <w:pPr>
              <w:pStyle w:val="Normaltindrag"/>
              <w:ind w:firstLine="0"/>
              <w:rPr>
                <w:b/>
                <w:lang w:eastAsia="en-US"/>
              </w:rPr>
            </w:pPr>
            <w:r w:rsidRPr="00C732FA">
              <w:rPr>
                <w:b/>
                <w:lang w:eastAsia="en-US"/>
              </w:rPr>
              <w:t>Enl. prop. sept. 2009</w:t>
            </w:r>
          </w:p>
        </w:tc>
        <w:tc>
          <w:tcPr>
            <w:tcW w:w="1142" w:type="dxa"/>
          </w:tcPr>
          <w:p w:rsidR="002C5DE9" w:rsidRPr="00C732FA" w:rsidRDefault="002C5DE9" w:rsidP="000D2165">
            <w:pPr>
              <w:pStyle w:val="Normaltindrag"/>
              <w:ind w:firstLine="0"/>
              <w:rPr>
                <w:b/>
                <w:lang w:eastAsia="en-US"/>
              </w:rPr>
            </w:pPr>
            <w:r w:rsidRPr="00C732FA">
              <w:rPr>
                <w:b/>
                <w:lang w:eastAsia="en-US"/>
              </w:rPr>
              <w:t>Utnyttjat sept. 2009</w:t>
            </w:r>
          </w:p>
        </w:tc>
      </w:tr>
      <w:tr w:rsidR="002C5DE9" w:rsidRPr="00C732FA" w:rsidTr="000A0F34">
        <w:tc>
          <w:tcPr>
            <w:tcW w:w="1704" w:type="dxa"/>
          </w:tcPr>
          <w:p w:rsidR="002C5DE9" w:rsidRPr="00C732FA" w:rsidRDefault="002C5DE9" w:rsidP="000D2165">
            <w:pPr>
              <w:pStyle w:val="Normaltindrag"/>
              <w:ind w:firstLine="0"/>
              <w:rPr>
                <w:sz w:val="18"/>
                <w:szCs w:val="18"/>
                <w:lang w:eastAsia="en-US"/>
              </w:rPr>
            </w:pPr>
            <w:r w:rsidRPr="00C732FA">
              <w:rPr>
                <w:sz w:val="18"/>
                <w:szCs w:val="18"/>
                <w:lang w:eastAsia="en-US"/>
              </w:rPr>
              <w:t>Insättningsgaranti</w:t>
            </w:r>
          </w:p>
        </w:tc>
        <w:tc>
          <w:tcPr>
            <w:tcW w:w="1103" w:type="dxa"/>
          </w:tcPr>
          <w:p w:rsidR="002C5DE9" w:rsidRPr="00C732FA" w:rsidRDefault="002C5DE9" w:rsidP="000D2165">
            <w:pPr>
              <w:pStyle w:val="Normaltindrag"/>
              <w:jc w:val="right"/>
              <w:rPr>
                <w:sz w:val="18"/>
                <w:szCs w:val="18"/>
                <w:lang w:eastAsia="en-US"/>
              </w:rPr>
            </w:pPr>
            <w:r w:rsidRPr="00C732FA">
              <w:rPr>
                <w:sz w:val="18"/>
                <w:szCs w:val="18"/>
                <w:lang w:eastAsia="en-US"/>
              </w:rPr>
              <w:t>639</w:t>
            </w:r>
          </w:p>
        </w:tc>
        <w:tc>
          <w:tcPr>
            <w:tcW w:w="1270" w:type="dxa"/>
          </w:tcPr>
          <w:p w:rsidR="002C5DE9" w:rsidRPr="00C732FA" w:rsidRDefault="000A0F34" w:rsidP="000D2165">
            <w:pPr>
              <w:pStyle w:val="Normaltindrag"/>
              <w:ind w:firstLine="28"/>
              <w:jc w:val="right"/>
              <w:rPr>
                <w:sz w:val="18"/>
                <w:szCs w:val="18"/>
                <w:lang w:eastAsia="en-US"/>
              </w:rPr>
            </w:pPr>
            <w:r w:rsidRPr="00C732FA">
              <w:rPr>
                <w:sz w:val="18"/>
                <w:szCs w:val="18"/>
                <w:lang w:eastAsia="en-US"/>
              </w:rPr>
              <w:t>740–</w:t>
            </w:r>
            <w:r w:rsidR="002C5DE9" w:rsidRPr="00C732FA">
              <w:rPr>
                <w:sz w:val="18"/>
                <w:szCs w:val="18"/>
                <w:lang w:eastAsia="en-US"/>
              </w:rPr>
              <w:t>1 000</w:t>
            </w:r>
          </w:p>
        </w:tc>
        <w:tc>
          <w:tcPr>
            <w:tcW w:w="1126" w:type="dxa"/>
          </w:tcPr>
          <w:p w:rsidR="002C5DE9" w:rsidRPr="00C732FA" w:rsidRDefault="000A0F34" w:rsidP="000D2165">
            <w:pPr>
              <w:pStyle w:val="Normaltindrag"/>
              <w:ind w:firstLine="0"/>
              <w:jc w:val="right"/>
              <w:rPr>
                <w:sz w:val="18"/>
                <w:szCs w:val="18"/>
                <w:lang w:eastAsia="en-US"/>
              </w:rPr>
            </w:pPr>
            <w:r w:rsidRPr="00C732FA">
              <w:rPr>
                <w:sz w:val="18"/>
                <w:szCs w:val="18"/>
                <w:lang w:eastAsia="en-US"/>
              </w:rPr>
              <w:t>74–</w:t>
            </w:r>
            <w:r w:rsidR="002C5DE9" w:rsidRPr="00C732FA">
              <w:rPr>
                <w:sz w:val="18"/>
                <w:szCs w:val="18"/>
                <w:lang w:eastAsia="en-US"/>
              </w:rPr>
              <w:t>1</w:t>
            </w:r>
            <w:r w:rsidRPr="00C732FA">
              <w:rPr>
                <w:sz w:val="18"/>
                <w:szCs w:val="18"/>
                <w:lang w:eastAsia="en-US"/>
              </w:rPr>
              <w:t xml:space="preserve"> </w:t>
            </w:r>
            <w:r w:rsidR="002C5DE9" w:rsidRPr="00C732FA">
              <w:rPr>
                <w:sz w:val="18"/>
                <w:szCs w:val="18"/>
                <w:lang w:eastAsia="en-US"/>
              </w:rPr>
              <w:t>000</w:t>
            </w:r>
            <w:r w:rsidR="002C5DE9" w:rsidRPr="00C732FA">
              <w:rPr>
                <w:sz w:val="18"/>
                <w:szCs w:val="18"/>
                <w:vertAlign w:val="superscript"/>
                <w:lang w:eastAsia="en-US"/>
              </w:rPr>
              <w:footnoteReference w:id="3"/>
            </w:r>
          </w:p>
        </w:tc>
        <w:tc>
          <w:tcPr>
            <w:tcW w:w="1142" w:type="dxa"/>
          </w:tcPr>
          <w:p w:rsidR="002C5DE9" w:rsidRPr="00C732FA" w:rsidRDefault="002C5DE9" w:rsidP="000D2165">
            <w:pPr>
              <w:pStyle w:val="Normaltindrag"/>
              <w:jc w:val="right"/>
              <w:rPr>
                <w:sz w:val="18"/>
                <w:szCs w:val="18"/>
                <w:lang w:eastAsia="en-US"/>
              </w:rPr>
            </w:pPr>
            <w:r w:rsidRPr="00C732FA">
              <w:rPr>
                <w:sz w:val="18"/>
                <w:szCs w:val="18"/>
                <w:lang w:eastAsia="en-US"/>
              </w:rPr>
              <w:t>886</w:t>
            </w:r>
          </w:p>
        </w:tc>
      </w:tr>
      <w:tr w:rsidR="002C5DE9" w:rsidRPr="00C732FA" w:rsidTr="000A0F34">
        <w:tc>
          <w:tcPr>
            <w:tcW w:w="1704" w:type="dxa"/>
          </w:tcPr>
          <w:p w:rsidR="002C5DE9" w:rsidRPr="00C732FA" w:rsidRDefault="002C5DE9" w:rsidP="000D2165">
            <w:pPr>
              <w:pStyle w:val="Normaltindrag"/>
              <w:ind w:firstLine="0"/>
              <w:rPr>
                <w:sz w:val="18"/>
                <w:szCs w:val="18"/>
                <w:lang w:eastAsia="en-US"/>
              </w:rPr>
            </w:pPr>
            <w:r w:rsidRPr="00C732FA">
              <w:rPr>
                <w:sz w:val="18"/>
                <w:szCs w:val="18"/>
                <w:lang w:eastAsia="en-US"/>
              </w:rPr>
              <w:t>Bankgaranti</w:t>
            </w:r>
          </w:p>
        </w:tc>
        <w:tc>
          <w:tcPr>
            <w:tcW w:w="1103" w:type="dxa"/>
          </w:tcPr>
          <w:p w:rsidR="002C5DE9" w:rsidRPr="00C732FA" w:rsidRDefault="002C5DE9" w:rsidP="000D2165">
            <w:pPr>
              <w:pStyle w:val="Normaltindrag"/>
              <w:jc w:val="right"/>
              <w:rPr>
                <w:sz w:val="18"/>
                <w:szCs w:val="18"/>
                <w:lang w:eastAsia="en-US"/>
              </w:rPr>
            </w:pPr>
            <w:r w:rsidRPr="00C732FA">
              <w:rPr>
                <w:sz w:val="18"/>
                <w:szCs w:val="18"/>
                <w:lang w:eastAsia="en-US"/>
              </w:rPr>
              <w:t>0</w:t>
            </w:r>
          </w:p>
        </w:tc>
        <w:tc>
          <w:tcPr>
            <w:tcW w:w="1270" w:type="dxa"/>
          </w:tcPr>
          <w:p w:rsidR="002C5DE9" w:rsidRPr="00C732FA" w:rsidRDefault="002C5DE9" w:rsidP="000D2165">
            <w:pPr>
              <w:pStyle w:val="Normaltindrag"/>
              <w:jc w:val="right"/>
              <w:rPr>
                <w:sz w:val="18"/>
                <w:szCs w:val="18"/>
                <w:lang w:eastAsia="en-US"/>
              </w:rPr>
            </w:pPr>
            <w:r w:rsidRPr="00C732FA">
              <w:rPr>
                <w:sz w:val="18"/>
                <w:szCs w:val="18"/>
                <w:lang w:eastAsia="en-US"/>
              </w:rPr>
              <w:t>1 500</w:t>
            </w:r>
          </w:p>
        </w:tc>
        <w:tc>
          <w:tcPr>
            <w:tcW w:w="1126" w:type="dxa"/>
          </w:tcPr>
          <w:p w:rsidR="002C5DE9" w:rsidRPr="00C732FA" w:rsidRDefault="002C5DE9" w:rsidP="000D2165">
            <w:pPr>
              <w:pStyle w:val="Normaltindrag"/>
              <w:jc w:val="right"/>
              <w:rPr>
                <w:sz w:val="18"/>
                <w:szCs w:val="18"/>
                <w:lang w:eastAsia="en-US"/>
              </w:rPr>
            </w:pPr>
            <w:r w:rsidRPr="00C732FA">
              <w:rPr>
                <w:sz w:val="18"/>
                <w:szCs w:val="18"/>
                <w:lang w:eastAsia="en-US"/>
              </w:rPr>
              <w:t>1 500</w:t>
            </w:r>
            <w:r w:rsidRPr="00C732FA">
              <w:rPr>
                <w:sz w:val="18"/>
                <w:szCs w:val="18"/>
                <w:vertAlign w:val="superscript"/>
                <w:lang w:eastAsia="en-US"/>
              </w:rPr>
              <w:footnoteReference w:id="4"/>
            </w:r>
          </w:p>
        </w:tc>
        <w:tc>
          <w:tcPr>
            <w:tcW w:w="1142" w:type="dxa"/>
          </w:tcPr>
          <w:p w:rsidR="002C5DE9" w:rsidRPr="00C732FA" w:rsidRDefault="002C5DE9" w:rsidP="000D2165">
            <w:pPr>
              <w:pStyle w:val="Normaltindrag"/>
              <w:jc w:val="right"/>
              <w:rPr>
                <w:sz w:val="18"/>
                <w:szCs w:val="18"/>
                <w:lang w:eastAsia="en-US"/>
              </w:rPr>
            </w:pPr>
            <w:r w:rsidRPr="00C732FA">
              <w:rPr>
                <w:sz w:val="18"/>
                <w:szCs w:val="18"/>
                <w:lang w:eastAsia="en-US"/>
              </w:rPr>
              <w:t>308</w:t>
            </w:r>
            <w:r w:rsidRPr="00C732FA">
              <w:rPr>
                <w:sz w:val="18"/>
                <w:szCs w:val="18"/>
                <w:vertAlign w:val="superscript"/>
                <w:lang w:eastAsia="en-US"/>
              </w:rPr>
              <w:footnoteReference w:id="5"/>
            </w:r>
          </w:p>
        </w:tc>
      </w:tr>
      <w:tr w:rsidR="002C5DE9" w:rsidRPr="00C732FA" w:rsidTr="000A0F34">
        <w:tc>
          <w:tcPr>
            <w:tcW w:w="1704" w:type="dxa"/>
          </w:tcPr>
          <w:p w:rsidR="002C5DE9" w:rsidRPr="00C732FA" w:rsidRDefault="002C5DE9" w:rsidP="000D2165">
            <w:pPr>
              <w:pStyle w:val="Normaltindrag"/>
              <w:ind w:firstLine="0"/>
              <w:rPr>
                <w:sz w:val="18"/>
                <w:szCs w:val="18"/>
                <w:lang w:eastAsia="en-US"/>
              </w:rPr>
            </w:pPr>
            <w:r w:rsidRPr="00C732FA">
              <w:rPr>
                <w:sz w:val="18"/>
                <w:szCs w:val="18"/>
                <w:lang w:eastAsia="en-US"/>
              </w:rPr>
              <w:t>Exportkreditgaranti</w:t>
            </w:r>
          </w:p>
        </w:tc>
        <w:tc>
          <w:tcPr>
            <w:tcW w:w="1103" w:type="dxa"/>
          </w:tcPr>
          <w:p w:rsidR="002C5DE9" w:rsidRPr="00C732FA" w:rsidRDefault="002C5DE9" w:rsidP="000D2165">
            <w:pPr>
              <w:pStyle w:val="Normaltindrag"/>
              <w:jc w:val="right"/>
              <w:rPr>
                <w:sz w:val="18"/>
                <w:szCs w:val="18"/>
                <w:lang w:eastAsia="en-US"/>
              </w:rPr>
            </w:pPr>
            <w:r w:rsidRPr="00C732FA">
              <w:rPr>
                <w:sz w:val="18"/>
                <w:szCs w:val="18"/>
                <w:lang w:eastAsia="en-US"/>
              </w:rPr>
              <w:t>200</w:t>
            </w:r>
          </w:p>
        </w:tc>
        <w:tc>
          <w:tcPr>
            <w:tcW w:w="1270" w:type="dxa"/>
          </w:tcPr>
          <w:p w:rsidR="002C5DE9" w:rsidRPr="00C732FA" w:rsidRDefault="002C5DE9" w:rsidP="000D2165">
            <w:pPr>
              <w:pStyle w:val="Normaltindrag"/>
              <w:jc w:val="right"/>
              <w:rPr>
                <w:sz w:val="18"/>
                <w:szCs w:val="18"/>
                <w:lang w:eastAsia="en-US"/>
              </w:rPr>
            </w:pPr>
            <w:r w:rsidRPr="00C732FA">
              <w:rPr>
                <w:sz w:val="18"/>
                <w:szCs w:val="18"/>
                <w:lang w:eastAsia="en-US"/>
              </w:rPr>
              <w:t>350</w:t>
            </w:r>
          </w:p>
        </w:tc>
        <w:tc>
          <w:tcPr>
            <w:tcW w:w="1126" w:type="dxa"/>
          </w:tcPr>
          <w:p w:rsidR="002C5DE9" w:rsidRPr="00C732FA" w:rsidRDefault="002C5DE9" w:rsidP="000D2165">
            <w:pPr>
              <w:pStyle w:val="Normaltindrag"/>
              <w:jc w:val="right"/>
              <w:rPr>
                <w:sz w:val="18"/>
                <w:szCs w:val="18"/>
                <w:lang w:eastAsia="en-US"/>
              </w:rPr>
            </w:pPr>
            <w:r w:rsidRPr="00C732FA">
              <w:rPr>
                <w:sz w:val="18"/>
                <w:szCs w:val="18"/>
                <w:lang w:eastAsia="en-US"/>
              </w:rPr>
              <w:t>500</w:t>
            </w:r>
          </w:p>
        </w:tc>
        <w:tc>
          <w:tcPr>
            <w:tcW w:w="1142" w:type="dxa"/>
          </w:tcPr>
          <w:p w:rsidR="002C5DE9" w:rsidRPr="00C732FA" w:rsidRDefault="002C5DE9" w:rsidP="000D2165">
            <w:pPr>
              <w:pStyle w:val="Normaltindrag"/>
              <w:jc w:val="right"/>
              <w:rPr>
                <w:sz w:val="18"/>
                <w:szCs w:val="18"/>
                <w:lang w:eastAsia="en-US"/>
              </w:rPr>
            </w:pPr>
            <w:r w:rsidRPr="00C732FA">
              <w:rPr>
                <w:sz w:val="18"/>
                <w:szCs w:val="18"/>
                <w:lang w:eastAsia="en-US"/>
              </w:rPr>
              <w:t>248</w:t>
            </w:r>
            <w:r w:rsidRPr="00C732FA">
              <w:rPr>
                <w:sz w:val="18"/>
                <w:szCs w:val="18"/>
                <w:vertAlign w:val="superscript"/>
                <w:lang w:eastAsia="en-US"/>
              </w:rPr>
              <w:footnoteReference w:id="6"/>
            </w:r>
          </w:p>
        </w:tc>
      </w:tr>
      <w:tr w:rsidR="002C5DE9" w:rsidRPr="00C732FA" w:rsidTr="000A0F34">
        <w:tc>
          <w:tcPr>
            <w:tcW w:w="1704" w:type="dxa"/>
          </w:tcPr>
          <w:p w:rsidR="002C5DE9" w:rsidRPr="00C732FA" w:rsidRDefault="002C5DE9" w:rsidP="000D2165">
            <w:pPr>
              <w:pStyle w:val="Normaltindrag"/>
              <w:ind w:firstLine="0"/>
              <w:rPr>
                <w:sz w:val="18"/>
                <w:szCs w:val="18"/>
                <w:lang w:eastAsia="en-US"/>
              </w:rPr>
            </w:pPr>
            <w:r w:rsidRPr="00C732FA">
              <w:rPr>
                <w:sz w:val="18"/>
                <w:szCs w:val="18"/>
                <w:lang w:eastAsia="en-US"/>
              </w:rPr>
              <w:t>Upplåningsgaranti</w:t>
            </w:r>
          </w:p>
        </w:tc>
        <w:tc>
          <w:tcPr>
            <w:tcW w:w="1103" w:type="dxa"/>
          </w:tcPr>
          <w:p w:rsidR="002C5DE9" w:rsidRPr="00C732FA" w:rsidRDefault="000A0F34" w:rsidP="000D2165">
            <w:pPr>
              <w:pStyle w:val="Normaltindrag"/>
              <w:jc w:val="right"/>
              <w:rPr>
                <w:sz w:val="18"/>
                <w:szCs w:val="18"/>
                <w:lang w:eastAsia="en-US"/>
              </w:rPr>
            </w:pPr>
            <w:r w:rsidRPr="00C732FA">
              <w:rPr>
                <w:sz w:val="18"/>
                <w:szCs w:val="18"/>
                <w:lang w:eastAsia="en-US"/>
              </w:rPr>
              <w:t>–</w:t>
            </w:r>
          </w:p>
        </w:tc>
        <w:tc>
          <w:tcPr>
            <w:tcW w:w="1270" w:type="dxa"/>
          </w:tcPr>
          <w:p w:rsidR="002C5DE9" w:rsidRPr="00C732FA" w:rsidRDefault="002C5DE9" w:rsidP="000D2165">
            <w:pPr>
              <w:pStyle w:val="Normaltindrag"/>
              <w:jc w:val="right"/>
              <w:rPr>
                <w:sz w:val="18"/>
                <w:szCs w:val="18"/>
                <w:lang w:eastAsia="en-US"/>
              </w:rPr>
            </w:pPr>
            <w:r w:rsidRPr="00C732FA">
              <w:rPr>
                <w:sz w:val="18"/>
                <w:szCs w:val="18"/>
                <w:lang w:eastAsia="en-US"/>
              </w:rPr>
              <w:t>450</w:t>
            </w:r>
          </w:p>
        </w:tc>
        <w:tc>
          <w:tcPr>
            <w:tcW w:w="1126" w:type="dxa"/>
          </w:tcPr>
          <w:p w:rsidR="002C5DE9" w:rsidRPr="00C732FA" w:rsidRDefault="002C5DE9" w:rsidP="000D2165">
            <w:pPr>
              <w:pStyle w:val="Normaltindrag"/>
              <w:jc w:val="right"/>
              <w:rPr>
                <w:sz w:val="18"/>
                <w:szCs w:val="18"/>
                <w:lang w:eastAsia="en-US"/>
              </w:rPr>
            </w:pPr>
            <w:r w:rsidRPr="00C732FA">
              <w:rPr>
                <w:sz w:val="18"/>
                <w:szCs w:val="18"/>
                <w:lang w:eastAsia="en-US"/>
              </w:rPr>
              <w:t>250</w:t>
            </w:r>
          </w:p>
        </w:tc>
        <w:tc>
          <w:tcPr>
            <w:tcW w:w="1142" w:type="dxa"/>
          </w:tcPr>
          <w:p w:rsidR="002C5DE9" w:rsidRPr="00C732FA" w:rsidRDefault="002C5DE9" w:rsidP="000D2165">
            <w:pPr>
              <w:pStyle w:val="Normaltindrag"/>
              <w:jc w:val="right"/>
              <w:rPr>
                <w:sz w:val="18"/>
                <w:szCs w:val="18"/>
                <w:lang w:eastAsia="en-US"/>
              </w:rPr>
            </w:pPr>
            <w:r w:rsidRPr="00C732FA">
              <w:rPr>
                <w:sz w:val="18"/>
                <w:szCs w:val="18"/>
                <w:lang w:eastAsia="en-US"/>
              </w:rPr>
              <w:t>0</w:t>
            </w:r>
          </w:p>
        </w:tc>
      </w:tr>
      <w:tr w:rsidR="002C5DE9" w:rsidRPr="00C732FA" w:rsidTr="000A0F34">
        <w:tc>
          <w:tcPr>
            <w:tcW w:w="1704" w:type="dxa"/>
          </w:tcPr>
          <w:p w:rsidR="002C5DE9" w:rsidRPr="00C732FA" w:rsidRDefault="002C5DE9" w:rsidP="000D2165">
            <w:pPr>
              <w:pStyle w:val="Normaltindrag"/>
              <w:ind w:firstLine="0"/>
              <w:rPr>
                <w:sz w:val="18"/>
                <w:szCs w:val="18"/>
                <w:lang w:eastAsia="en-US"/>
              </w:rPr>
            </w:pPr>
            <w:r w:rsidRPr="00C732FA">
              <w:rPr>
                <w:sz w:val="18"/>
                <w:szCs w:val="18"/>
                <w:lang w:eastAsia="en-US"/>
              </w:rPr>
              <w:t>SUMMA avrundat</w:t>
            </w:r>
          </w:p>
        </w:tc>
        <w:tc>
          <w:tcPr>
            <w:tcW w:w="1103" w:type="dxa"/>
          </w:tcPr>
          <w:p w:rsidR="002C5DE9" w:rsidRPr="00C732FA" w:rsidRDefault="002C5DE9" w:rsidP="000D2165">
            <w:pPr>
              <w:pStyle w:val="Normaltindrag"/>
              <w:jc w:val="right"/>
              <w:rPr>
                <w:sz w:val="18"/>
                <w:szCs w:val="18"/>
                <w:lang w:eastAsia="en-US"/>
              </w:rPr>
            </w:pPr>
            <w:r w:rsidRPr="00C732FA">
              <w:rPr>
                <w:sz w:val="18"/>
                <w:szCs w:val="18"/>
                <w:lang w:eastAsia="en-US"/>
              </w:rPr>
              <w:t>815</w:t>
            </w:r>
          </w:p>
        </w:tc>
        <w:tc>
          <w:tcPr>
            <w:tcW w:w="1270" w:type="dxa"/>
          </w:tcPr>
          <w:p w:rsidR="002C5DE9" w:rsidRPr="00C732FA" w:rsidRDefault="002C5DE9" w:rsidP="000D2165">
            <w:pPr>
              <w:pStyle w:val="Normaltindrag"/>
              <w:ind w:firstLine="28"/>
              <w:jc w:val="right"/>
              <w:rPr>
                <w:sz w:val="18"/>
                <w:szCs w:val="18"/>
                <w:lang w:eastAsia="en-US"/>
              </w:rPr>
            </w:pPr>
            <w:r w:rsidRPr="00C732FA">
              <w:rPr>
                <w:sz w:val="18"/>
                <w:szCs w:val="18"/>
                <w:lang w:eastAsia="en-US"/>
              </w:rPr>
              <w:t>3</w:t>
            </w:r>
            <w:r w:rsidR="000A0F34" w:rsidRPr="00C732FA">
              <w:rPr>
                <w:sz w:val="18"/>
                <w:szCs w:val="18"/>
                <w:lang w:eastAsia="en-US"/>
              </w:rPr>
              <w:t> 040–</w:t>
            </w:r>
            <w:r w:rsidRPr="00C732FA">
              <w:rPr>
                <w:sz w:val="18"/>
                <w:szCs w:val="18"/>
                <w:lang w:eastAsia="en-US"/>
              </w:rPr>
              <w:t>3</w:t>
            </w:r>
            <w:r w:rsidR="00874F89" w:rsidRPr="00C732FA">
              <w:rPr>
                <w:sz w:val="18"/>
                <w:szCs w:val="18"/>
                <w:lang w:eastAsia="en-US"/>
              </w:rPr>
              <w:t xml:space="preserve"> </w:t>
            </w:r>
            <w:r w:rsidRPr="00C732FA">
              <w:rPr>
                <w:sz w:val="18"/>
                <w:szCs w:val="18"/>
                <w:lang w:eastAsia="en-US"/>
              </w:rPr>
              <w:t>300</w:t>
            </w:r>
          </w:p>
        </w:tc>
        <w:tc>
          <w:tcPr>
            <w:tcW w:w="1126" w:type="dxa"/>
          </w:tcPr>
          <w:p w:rsidR="002C5DE9" w:rsidRPr="00C732FA" w:rsidRDefault="000A0F34" w:rsidP="000D2165">
            <w:pPr>
              <w:pStyle w:val="Normaltindrag"/>
              <w:ind w:firstLine="0"/>
              <w:jc w:val="right"/>
              <w:rPr>
                <w:sz w:val="18"/>
                <w:szCs w:val="18"/>
                <w:lang w:eastAsia="en-US"/>
              </w:rPr>
            </w:pPr>
            <w:r w:rsidRPr="00C732FA">
              <w:rPr>
                <w:sz w:val="18"/>
                <w:szCs w:val="18"/>
                <w:lang w:eastAsia="en-US"/>
              </w:rPr>
              <w:t>2 990–</w:t>
            </w:r>
            <w:r w:rsidR="002C5DE9" w:rsidRPr="00C732FA">
              <w:rPr>
                <w:sz w:val="18"/>
                <w:szCs w:val="18"/>
                <w:lang w:eastAsia="en-US"/>
              </w:rPr>
              <w:t>3</w:t>
            </w:r>
            <w:r w:rsidRPr="00C732FA">
              <w:rPr>
                <w:sz w:val="18"/>
                <w:szCs w:val="18"/>
                <w:lang w:eastAsia="en-US"/>
              </w:rPr>
              <w:t xml:space="preserve"> </w:t>
            </w:r>
            <w:r w:rsidR="002C5DE9" w:rsidRPr="00C732FA">
              <w:rPr>
                <w:sz w:val="18"/>
                <w:szCs w:val="18"/>
                <w:lang w:eastAsia="en-US"/>
              </w:rPr>
              <w:t>250</w:t>
            </w:r>
          </w:p>
        </w:tc>
        <w:tc>
          <w:tcPr>
            <w:tcW w:w="1142" w:type="dxa"/>
          </w:tcPr>
          <w:p w:rsidR="002C5DE9" w:rsidRPr="00C732FA" w:rsidRDefault="002C5DE9" w:rsidP="000D2165">
            <w:pPr>
              <w:pStyle w:val="Normaltindrag"/>
              <w:jc w:val="right"/>
              <w:rPr>
                <w:sz w:val="18"/>
                <w:szCs w:val="18"/>
                <w:lang w:eastAsia="en-US"/>
              </w:rPr>
            </w:pPr>
            <w:r w:rsidRPr="00C732FA">
              <w:rPr>
                <w:sz w:val="18"/>
                <w:szCs w:val="18"/>
                <w:lang w:eastAsia="en-US"/>
              </w:rPr>
              <w:t>1 442</w:t>
            </w:r>
          </w:p>
        </w:tc>
      </w:tr>
    </w:tbl>
    <w:p w:rsidR="002C5DE9" w:rsidRPr="00C732FA" w:rsidRDefault="00874F89" w:rsidP="00874F89">
      <w:pPr>
        <w:pStyle w:val="Rubrik2"/>
      </w:pPr>
      <w:bookmarkStart w:id="17" w:name="_Toc254266879"/>
      <w:r w:rsidRPr="00C732FA">
        <w:t>R</w:t>
      </w:r>
      <w:r w:rsidR="002C5DE9" w:rsidRPr="00C732FA">
        <w:t>iksrevisionens iakttagelser och slutsatser</w:t>
      </w:r>
      <w:bookmarkEnd w:id="17"/>
    </w:p>
    <w:p w:rsidR="002C5DE9" w:rsidRPr="00C732FA" w:rsidRDefault="002C5DE9" w:rsidP="00874F89">
      <w:r w:rsidRPr="00C732FA">
        <w:t>De garantiåtaganden som riksdagen bemyndigat regeringen är större än Sv</w:t>
      </w:r>
      <w:r w:rsidRPr="00C732FA">
        <w:t>e</w:t>
      </w:r>
      <w:r w:rsidRPr="00C732FA">
        <w:t xml:space="preserve">riges bruttonationalprodukt och mer än fyra gånger så stora som de statliga utgifterna. Garantierna innebär att staten och skattebetalarna i stor omfattning övertagit ekonomiska risker från banker och exportföretag. Ett infriande av garantiåtagandena kan medföra betydande effekter på de statliga finanserna. Det statliga garantiåtagandet kvarstår flera år framåt i tiden. </w:t>
      </w:r>
    </w:p>
    <w:p w:rsidR="002C5DE9" w:rsidRPr="00C732FA" w:rsidRDefault="002C5DE9" w:rsidP="00874F89">
      <w:pPr>
        <w:pStyle w:val="Rubrik3"/>
        <w:rPr>
          <w:noProof w:val="0"/>
        </w:rPr>
      </w:pPr>
      <w:bookmarkStart w:id="18" w:name="_Toc254266880"/>
      <w:r w:rsidRPr="00C732FA">
        <w:rPr>
          <w:noProof w:val="0"/>
        </w:rPr>
        <w:t>Garantivillkoren</w:t>
      </w:r>
      <w:bookmarkEnd w:id="18"/>
    </w:p>
    <w:p w:rsidR="002C5DE9" w:rsidRPr="00C732FA" w:rsidRDefault="002C5DE9" w:rsidP="00874F89">
      <w:r w:rsidRPr="00C732FA">
        <w:t>Granskningen visar att avgifterna för bank- och insättningsgarantin sannolikt täcker de förväntade kostnaderna för staten. De villkor och begränsningar som regeringen infört bidrar till att kunna hålla nere utgifterna och öka mö</w:t>
      </w:r>
      <w:r w:rsidRPr="00C732FA">
        <w:t>j</w:t>
      </w:r>
      <w:r w:rsidRPr="00C732FA">
        <w:t xml:space="preserve">ligheten till återvinning vid eventuella förluster. </w:t>
      </w:r>
    </w:p>
    <w:p w:rsidR="002C5DE9" w:rsidRPr="00C732FA" w:rsidRDefault="002C5DE9" w:rsidP="002C5DE9">
      <w:pPr>
        <w:pStyle w:val="Normaltindrag"/>
      </w:pPr>
      <w:r w:rsidRPr="00C732FA">
        <w:t>Vad gäller garantierna för exportkrediter och upplåning för exportkrediter motsvarar de garantivillkor och den prissättning som tillämpas av Exportkr</w:t>
      </w:r>
      <w:r w:rsidRPr="00C732FA">
        <w:t>e</w:t>
      </w:r>
      <w:r w:rsidRPr="00C732FA">
        <w:t>ditnämnden och AB Svensk Exportkredit den risk som staten påtar sig genom garantierna. Granskningen visar vidare att de processer som finns vid my</w:t>
      </w:r>
      <w:r w:rsidRPr="00C732FA">
        <w:t>n</w:t>
      </w:r>
      <w:r w:rsidRPr="00C732FA">
        <w:t>digheten och bolaget för att bedöma risker och säkerställa tillräcklig fond</w:t>
      </w:r>
      <w:r w:rsidRPr="00C732FA">
        <w:t>e</w:t>
      </w:r>
      <w:r w:rsidRPr="00C732FA">
        <w:t>ring för att täcka eventuella förluster fungerar väl. En mer utdragen lågko</w:t>
      </w:r>
      <w:r w:rsidRPr="00C732FA">
        <w:t>n</w:t>
      </w:r>
      <w:r w:rsidRPr="00C732FA">
        <w:t xml:space="preserve">junktur kan emellertid allvarligt försämra såväl Exportkreditnämndens som AB Svensk Exportkredits resultat. </w:t>
      </w:r>
    </w:p>
    <w:p w:rsidR="002C5DE9" w:rsidRPr="00C732FA" w:rsidRDefault="002C5DE9" w:rsidP="002C5DE9">
      <w:pPr>
        <w:pStyle w:val="Normaltindrag"/>
      </w:pPr>
      <w:r w:rsidRPr="00C732FA">
        <w:t>Riksrevisionens bedömning är sammantaget att villkoren för garantierna bidrar till att hålla ne</w:t>
      </w:r>
      <w:r w:rsidR="00925687" w:rsidRPr="00C732FA">
        <w:t>d</w:t>
      </w:r>
      <w:r w:rsidRPr="00C732FA">
        <w:t xml:space="preserve"> statens kostnader för garantierna och ökar möjligheten till återvinning.</w:t>
      </w:r>
    </w:p>
    <w:p w:rsidR="002C5DE9" w:rsidRPr="00C732FA" w:rsidRDefault="002C5DE9" w:rsidP="003473DC">
      <w:pPr>
        <w:pStyle w:val="Rubrik3"/>
        <w:rPr>
          <w:noProof w:val="0"/>
        </w:rPr>
      </w:pPr>
      <w:bookmarkStart w:id="19" w:name="_Toc254266881"/>
      <w:r w:rsidRPr="00C732FA">
        <w:rPr>
          <w:noProof w:val="0"/>
        </w:rPr>
        <w:t>Underlag för bedömning av statens risk för framtida kostnader</w:t>
      </w:r>
      <w:bookmarkEnd w:id="19"/>
    </w:p>
    <w:p w:rsidR="002C5DE9" w:rsidRPr="00C732FA" w:rsidRDefault="002C5DE9" w:rsidP="003473DC">
      <w:r w:rsidRPr="00C732FA">
        <w:t xml:space="preserve">Riksrevisionen kan konstatera att det saknades en samlad bedömning av statens ekonomiska risk när regeringen begärde riksdagens bemyndiganden för de mycket omfattande garantiåtagandena. I det kritiska läge som rådde mellan oktober 2008 och januari 2009 är det förståeligt att beslut om åtgärder måste fattas snabbt och delvis grundas på bristfälliga underlag. </w:t>
      </w:r>
    </w:p>
    <w:p w:rsidR="002C5DE9" w:rsidRPr="00C732FA" w:rsidRDefault="002C5DE9" w:rsidP="002C5DE9">
      <w:pPr>
        <w:pStyle w:val="Normaltindrag"/>
      </w:pPr>
      <w:r w:rsidRPr="00C732FA">
        <w:t>Under det år som gått sedan krisåtgärderna infördes har emellertid rege</w:t>
      </w:r>
      <w:r w:rsidRPr="00C732FA">
        <w:t>r</w:t>
      </w:r>
      <w:r w:rsidRPr="00C732FA">
        <w:t>ingen enligt Riksrevisionen inte vidtagit tillräckliga åtgärder för att skapa en samlad bild av de risker som staten genom garantierna övertagit från banker och andra företag för flera år framåt. Riksrevisionen noterar att Riksgäldsko</w:t>
      </w:r>
      <w:r w:rsidRPr="00C732FA">
        <w:t>n</w:t>
      </w:r>
      <w:r w:rsidRPr="00C732FA">
        <w:t>toret i en skrivelse till regeringen har påpekat att ett sådant utvecklingsarbete var planerat att ske i samråd med övriga garantimyndigheter men att arbetet nedprioriterades på grund av den finansiella turbulensen. Först i slutet av oktober 2009 gav regeringen Riksgäldskontoret i uppdrag att utvärdera rege</w:t>
      </w:r>
      <w:r w:rsidRPr="00C732FA">
        <w:t>r</w:t>
      </w:r>
      <w:r w:rsidRPr="00C732FA">
        <w:t xml:space="preserve">ingens stödåtgärder med avseende på kreditförsörjningen. I uppdraget ingår emellertid inte att redovisa en samlad bedömning av statens risk för förluster. </w:t>
      </w:r>
    </w:p>
    <w:p w:rsidR="002C5DE9" w:rsidRPr="00C732FA" w:rsidRDefault="002C5DE9" w:rsidP="002C5DE9">
      <w:pPr>
        <w:pStyle w:val="Normaltindrag"/>
      </w:pPr>
      <w:r w:rsidRPr="00C732FA">
        <w:t>Då bankgarantin beslutades avstod regeringen från att försöka bedöma de framtida kostnaderna, med hänvisning till att alternativkostnaden för en eve</w:t>
      </w:r>
      <w:r w:rsidRPr="00C732FA">
        <w:t>n</w:t>
      </w:r>
      <w:r w:rsidRPr="00C732FA">
        <w:t>tuellt följande kris i den reala ekonomin bedömdes vara mycket stor. Rik</w:t>
      </w:r>
      <w:r w:rsidRPr="00C732FA">
        <w:t>s</w:t>
      </w:r>
      <w:r w:rsidRPr="00C732FA">
        <w:t xml:space="preserve">gäldskontoret framhåller att statens reella exponering gentemot det svenska banksystemet vare sig är begränsad till de faktiskt utställda garantierna eller till det maximala garantibeloppet 1 500 miljarder kronor. </w:t>
      </w:r>
    </w:p>
    <w:p w:rsidR="002C5DE9" w:rsidRPr="00C732FA" w:rsidRDefault="002C5DE9" w:rsidP="002C5DE9">
      <w:pPr>
        <w:pStyle w:val="Normaltindrag"/>
      </w:pPr>
      <w:r w:rsidRPr="00C732FA">
        <w:t xml:space="preserve">Riksrevisionen anser sammanfattningsvis att regeringen inte har säkerställt ett tillfredsställande underlag för bedömning av statens risker för framtida kostnader. </w:t>
      </w:r>
    </w:p>
    <w:p w:rsidR="002C5DE9" w:rsidRPr="00C732FA" w:rsidRDefault="002C5DE9" w:rsidP="003473DC">
      <w:pPr>
        <w:pStyle w:val="Rubrik3"/>
        <w:rPr>
          <w:noProof w:val="0"/>
        </w:rPr>
      </w:pPr>
      <w:bookmarkStart w:id="20" w:name="_Toc254266882"/>
      <w:r w:rsidRPr="00C732FA">
        <w:rPr>
          <w:noProof w:val="0"/>
        </w:rPr>
        <w:t>Statens långsiktiga kostnader för stödet ska hållas låga</w:t>
      </w:r>
      <w:bookmarkEnd w:id="20"/>
      <w:r w:rsidRPr="00C732FA">
        <w:rPr>
          <w:noProof w:val="0"/>
        </w:rPr>
        <w:t xml:space="preserve"> </w:t>
      </w:r>
    </w:p>
    <w:p w:rsidR="002C5DE9" w:rsidRPr="00C732FA" w:rsidRDefault="002C5DE9" w:rsidP="003473DC">
      <w:r w:rsidRPr="00C732FA">
        <w:t>Lagen om statligt stöd till kreditinstitut innehåller krav</w:t>
      </w:r>
      <w:r w:rsidRPr="00C732FA">
        <w:rPr>
          <w:vertAlign w:val="superscript"/>
        </w:rPr>
        <w:footnoteReference w:id="7"/>
      </w:r>
      <w:r w:rsidRPr="00C732FA">
        <w:t xml:space="preserve"> på att statens långsi</w:t>
      </w:r>
      <w:r w:rsidRPr="00C732FA">
        <w:t>k</w:t>
      </w:r>
      <w:r w:rsidRPr="00C732FA">
        <w:t>tiga kostnader för stödet ska hållas så låga som möjligt. Finansdepartementet anser</w:t>
      </w:r>
      <w:r w:rsidRPr="00C732FA">
        <w:rPr>
          <w:vertAlign w:val="superscript"/>
        </w:rPr>
        <w:footnoteReference w:id="8"/>
      </w:r>
      <w:r w:rsidRPr="00C732FA">
        <w:t xml:space="preserve"> att kravet är att se som en riktningsangivelse att beakta vid politiska överväganden och beslut om stöd. Detta krav säkerställs enligt departementet ”framför allt genom utformningen av de statliga stödåtgärder som vidtas där stödet och dess ändamål måste ses som en helhet. Framför allt måste stödet utformas så att de samhällsekonomiska kostnaderna av den finansiella krisen begränsas. Stödet bör samtidigt vara så statsfinansiellt kostnadseffektivt som möjligt.” </w:t>
      </w:r>
    </w:p>
    <w:p w:rsidR="002C5DE9" w:rsidRPr="00C732FA" w:rsidRDefault="002C5DE9" w:rsidP="002C5DE9">
      <w:pPr>
        <w:pStyle w:val="Normaltindrag"/>
        <w:rPr>
          <w:b/>
        </w:rPr>
      </w:pPr>
      <w:r w:rsidRPr="00C732FA">
        <w:t>Enligt Riksrevisionens bedömning torde lagens formulering ”statens lån</w:t>
      </w:r>
      <w:r w:rsidRPr="00C732FA">
        <w:t>g</w:t>
      </w:r>
      <w:r w:rsidRPr="00C732FA">
        <w:t>siktiga kostnader för stödet ska hållas så låga som möjligt” syfta på de kos</w:t>
      </w:r>
      <w:r w:rsidRPr="00C732FA">
        <w:t>t</w:t>
      </w:r>
      <w:r w:rsidRPr="00C732FA">
        <w:t>nader staten haft eller kan få för stödet och inte på något slags netto av sa</w:t>
      </w:r>
      <w:r w:rsidRPr="00C732FA">
        <w:t>m</w:t>
      </w:r>
      <w:r w:rsidRPr="00C732FA">
        <w:t>hällsekonomiska förluster. Riksrevisionens tolkning av formuleringen i lagen är att kostnaden för det statliga stödet, på lång sikt, ska vara så låg som mö</w:t>
      </w:r>
      <w:r w:rsidRPr="00C732FA">
        <w:t>j</w:t>
      </w:r>
      <w:r w:rsidRPr="00C732FA">
        <w:t xml:space="preserve">ligt, förutsatt att negativa samhällsekonomiska konsekvenser undviks genom stödet. </w:t>
      </w:r>
    </w:p>
    <w:p w:rsidR="002C5DE9" w:rsidRPr="00C732FA" w:rsidRDefault="002C5DE9" w:rsidP="002C5DE9">
      <w:pPr>
        <w:pStyle w:val="Normaltindrag"/>
        <w:rPr>
          <w:u w:val="single"/>
        </w:rPr>
      </w:pPr>
      <w:r w:rsidRPr="00C732FA">
        <w:t>För att uppfylla stödlagens krav på kostnadsminimering är det enligt Rik</w:t>
      </w:r>
      <w:r w:rsidRPr="00C732FA">
        <w:t>s</w:t>
      </w:r>
      <w:r w:rsidRPr="00C732FA">
        <w:t>revisionens mening nödvändigt att beräkna och redovisa risker och förväntade kostnader för garantierna samt att utforma processer för att löpande hantera, följa upp och avveckla dem.</w:t>
      </w:r>
      <w:r w:rsidRPr="00C732FA">
        <w:rPr>
          <w:u w:val="single"/>
        </w:rPr>
        <w:t xml:space="preserve"> </w:t>
      </w:r>
    </w:p>
    <w:p w:rsidR="002C5DE9" w:rsidRPr="00C732FA" w:rsidRDefault="002C5DE9" w:rsidP="002C5DE9">
      <w:pPr>
        <w:pStyle w:val="Normaltindrag"/>
      </w:pPr>
      <w:r w:rsidRPr="00C732FA">
        <w:t>Regeringen har inte heller vidtagit några åtgärder för att beräkna risken för framtida kostnader avseende statens åtaganden inom exportområdet.</w:t>
      </w:r>
    </w:p>
    <w:p w:rsidR="002C5DE9" w:rsidRPr="00C732FA" w:rsidRDefault="002C5DE9" w:rsidP="002C5DE9">
      <w:pPr>
        <w:pStyle w:val="Normaltindrag"/>
      </w:pPr>
      <w:r w:rsidRPr="00C732FA">
        <w:t xml:space="preserve">Riksrevisionen anser sammanfattningsvis att regeringen inte har säkerställt ett tillfredsställande underlag för bedömning av statens risker för framtida kostnader. </w:t>
      </w:r>
    </w:p>
    <w:p w:rsidR="002C5DE9" w:rsidRPr="00C732FA" w:rsidRDefault="002C5DE9" w:rsidP="003473DC">
      <w:pPr>
        <w:pStyle w:val="Rubrik3"/>
        <w:rPr>
          <w:noProof w:val="0"/>
        </w:rPr>
      </w:pPr>
      <w:bookmarkStart w:id="21" w:name="_Toc254266883"/>
      <w:r w:rsidRPr="00C732FA">
        <w:rPr>
          <w:noProof w:val="0"/>
        </w:rPr>
        <w:t>Återrapportering till riksdagen</w:t>
      </w:r>
      <w:bookmarkEnd w:id="21"/>
    </w:p>
    <w:p w:rsidR="002C5DE9" w:rsidRPr="00C732FA" w:rsidRDefault="002C5DE9" w:rsidP="003473DC">
      <w:r w:rsidRPr="00C732FA">
        <w:t>Riksrevisionen redovisar i granskningen att regeringen har redovisat utfä</w:t>
      </w:r>
      <w:r w:rsidRPr="00C732FA">
        <w:t>r</w:t>
      </w:r>
      <w:r w:rsidRPr="00C732FA">
        <w:t xml:space="preserve">dande av bankgarantier, medan man </w:t>
      </w:r>
      <w:r w:rsidRPr="00C732FA">
        <w:rPr>
          <w:i/>
        </w:rPr>
        <w:t>inte</w:t>
      </w:r>
      <w:r w:rsidRPr="00C732FA">
        <w:t xml:space="preserve"> har redovisat oförväntade förluster. Vidare har risken för förluster beräknats av </w:t>
      </w:r>
      <w:r w:rsidR="00925687" w:rsidRPr="00C732FA">
        <w:t>I</w:t>
      </w:r>
      <w:r w:rsidRPr="00C732FA">
        <w:t>nternationella valutafonden och av Riksgäldskontoret, något som gett väsenligt olika resultat. Enligt Riksrev</w:t>
      </w:r>
      <w:r w:rsidRPr="00C732FA">
        <w:t>i</w:t>
      </w:r>
      <w:r w:rsidRPr="00C732FA">
        <w:t xml:space="preserve">sionen har regeringen till riksdagen redovisat </w:t>
      </w:r>
      <w:r w:rsidR="00925687" w:rsidRPr="00C732FA">
        <w:t xml:space="preserve">den </w:t>
      </w:r>
      <w:r w:rsidRPr="00C732FA">
        <w:t>utnyttjad</w:t>
      </w:r>
      <w:r w:rsidR="00925687" w:rsidRPr="00C732FA">
        <w:t>e</w:t>
      </w:r>
      <w:r w:rsidRPr="00C732FA">
        <w:t xml:space="preserve"> garantiram</w:t>
      </w:r>
      <w:r w:rsidR="00925687" w:rsidRPr="00C732FA">
        <w:t>en</w:t>
      </w:r>
      <w:r w:rsidRPr="00C732FA">
        <w:t xml:space="preserve"> för e</w:t>
      </w:r>
      <w:r w:rsidRPr="00C732FA">
        <w:t>x</w:t>
      </w:r>
      <w:r w:rsidRPr="00C732FA">
        <w:t xml:space="preserve">portgarantier, liksom en budget för garantiansvariga myndigheter 2010. </w:t>
      </w:r>
    </w:p>
    <w:p w:rsidR="002C5DE9" w:rsidRPr="00C732FA" w:rsidRDefault="002C5DE9" w:rsidP="002C5DE9">
      <w:pPr>
        <w:pStyle w:val="Normaltindrag"/>
      </w:pPr>
      <w:r w:rsidRPr="00C732FA">
        <w:t>Regeringen beslutade i oktober 2009 att ge Riksgäldskontoret i uppdrag att utvärdera regeringens stödåtgärder med avseende på kreditförsörjningen. Uppdraget innefattar samtliga stödåtgärder, såsom garantier, kapitaltillskott, låneramar och verksamhetsändringar i bolagsordning. Uppdraget omfa</w:t>
      </w:r>
      <w:r w:rsidRPr="00C732FA">
        <w:t>t</w:t>
      </w:r>
      <w:r w:rsidRPr="00C732FA">
        <w:t>tar en analys av effekterna av stöd</w:t>
      </w:r>
      <w:r w:rsidR="00925687" w:rsidRPr="00C732FA">
        <w:t>-</w:t>
      </w:r>
      <w:r w:rsidRPr="00C732FA">
        <w:t xml:space="preserve"> och garantiprogram samt en översiktlig plan för hur en avveckling av de olika stödåtgärderna ska gå till. Riksgäldskont</w:t>
      </w:r>
      <w:r w:rsidRPr="00C732FA">
        <w:t>o</w:t>
      </w:r>
      <w:r w:rsidRPr="00C732FA">
        <w:t>rets utvärdering sk</w:t>
      </w:r>
      <w:r w:rsidR="00925687" w:rsidRPr="00C732FA">
        <w:t>ulle</w:t>
      </w:r>
      <w:r w:rsidRPr="00C732FA">
        <w:t xml:space="preserve"> lämnas senast den 31 januari 2010. I uppdraget ingår eme</w:t>
      </w:r>
      <w:r w:rsidRPr="00C732FA">
        <w:t>l</w:t>
      </w:r>
      <w:r w:rsidRPr="00C732FA">
        <w:t>lertid inte att redovisa en bedömning av statens risk för förluster.</w:t>
      </w:r>
      <w:r w:rsidRPr="00C732FA">
        <w:rPr>
          <w:vertAlign w:val="superscript"/>
        </w:rPr>
        <w:footnoteReference w:id="9"/>
      </w:r>
    </w:p>
    <w:p w:rsidR="002C5DE9" w:rsidRPr="00C732FA" w:rsidRDefault="002C5DE9" w:rsidP="002C5DE9">
      <w:pPr>
        <w:pStyle w:val="Normaltindrag"/>
      </w:pPr>
      <w:r w:rsidRPr="00C732FA">
        <w:t xml:space="preserve">Av granskningen framgår att riksdagen vid några tillfällen under 2009 </w:t>
      </w:r>
      <w:r w:rsidR="00925687" w:rsidRPr="00C732FA">
        <w:t xml:space="preserve">har </w:t>
      </w:r>
      <w:r w:rsidRPr="00C732FA">
        <w:t>efterfrågat en redovisning av konsekvenserna av de vidtagna åtgärderna. Regeringen har påpekat svårigheterna att beräkna riskerna med statens åt</w:t>
      </w:r>
      <w:r w:rsidRPr="00C732FA">
        <w:t>a</w:t>
      </w:r>
      <w:r w:rsidRPr="00C732FA">
        <w:t>gande</w:t>
      </w:r>
      <w:r w:rsidR="00925687" w:rsidRPr="00C732FA">
        <w:t>n</w:t>
      </w:r>
      <w:r w:rsidRPr="00C732FA">
        <w:t>. Regeringen har emellertid inte genom exempelvis uppdrag till berö</w:t>
      </w:r>
      <w:r w:rsidRPr="00C732FA">
        <w:t>r</w:t>
      </w:r>
      <w:r w:rsidRPr="00C732FA">
        <w:t>da myndigheter och bolag säkerställt ett underlag för en samordnad och sa</w:t>
      </w:r>
      <w:r w:rsidRPr="00C732FA">
        <w:t>m</w:t>
      </w:r>
      <w:r w:rsidRPr="00C732FA">
        <w:t xml:space="preserve">lad bedömning och uppföljning av statens ekonomiska risker. Avsaknaden av sådana uppdrag är sannolikt en orsak till bristen på information om statens ekonomiska risk i budgetpropositioner och i annan rapportering till riksdagen. </w:t>
      </w:r>
    </w:p>
    <w:p w:rsidR="002C5DE9" w:rsidRPr="00C732FA" w:rsidRDefault="002C5DE9" w:rsidP="002C5DE9">
      <w:pPr>
        <w:pStyle w:val="Normaltindrag"/>
      </w:pPr>
      <w:r w:rsidRPr="00C732FA">
        <w:t>Riksrevisionen anser att en fördjupad analys av de risker som statens ök</w:t>
      </w:r>
      <w:r w:rsidRPr="00C732FA">
        <w:t>a</w:t>
      </w:r>
      <w:r w:rsidRPr="00C732FA">
        <w:t xml:space="preserve">de utlåning och olika garantiåtaganden medför för skattebetalarna är i högsta grad relevant i den situation som uppstått. Någon sådan fördjupning har inte redovisats av regeringen. Även Finanspolitiska rådet har pekat på denna brist. Riksrevisionens slutsats från granskningen är att regeringen inte har lämnat en samlad och tydlig återrapportering till riksdagen. </w:t>
      </w:r>
    </w:p>
    <w:p w:rsidR="002C5DE9" w:rsidRPr="00C732FA" w:rsidRDefault="002C5DE9" w:rsidP="003473DC">
      <w:pPr>
        <w:pStyle w:val="Rubrik2"/>
      </w:pPr>
      <w:bookmarkStart w:id="22" w:name="_Toc254266884"/>
      <w:r w:rsidRPr="00C732FA">
        <w:t>Riksrevisionens rekommendationer</w:t>
      </w:r>
      <w:bookmarkEnd w:id="22"/>
    </w:p>
    <w:p w:rsidR="002C5DE9" w:rsidRPr="00C732FA" w:rsidRDefault="002C5DE9" w:rsidP="003473DC">
      <w:r w:rsidRPr="00C732FA">
        <w:t>Mot bakgrund av de iakttagelser och slutsatser som redovisats vill Riksrev</w:t>
      </w:r>
      <w:r w:rsidRPr="00C732FA">
        <w:t>i</w:t>
      </w:r>
      <w:r w:rsidRPr="00C732FA">
        <w:t>sionen lämna följande rekommendationer.</w:t>
      </w:r>
    </w:p>
    <w:p w:rsidR="002C5DE9" w:rsidRPr="00C732FA" w:rsidRDefault="002C5DE9" w:rsidP="0033062D">
      <w:pPr>
        <w:pStyle w:val="Liststycke"/>
        <w:numPr>
          <w:ilvl w:val="0"/>
          <w:numId w:val="8"/>
        </w:numPr>
        <w:spacing w:before="125"/>
      </w:pPr>
      <w:r w:rsidRPr="00C732FA">
        <w:t xml:space="preserve">Regeringen bör initiera utredningar och analyser om de ekonomiska risker för staten och skattebetalarna som är förknippade med garantier av den typ som införts under det senaste året. Analyserna bör göras samordnat för samtliga statliga garantier. </w:t>
      </w:r>
    </w:p>
    <w:p w:rsidR="002C5DE9" w:rsidRPr="00C732FA" w:rsidRDefault="002C5DE9" w:rsidP="003473DC">
      <w:pPr>
        <w:pStyle w:val="Liststycke"/>
        <w:numPr>
          <w:ilvl w:val="0"/>
          <w:numId w:val="8"/>
        </w:numPr>
      </w:pPr>
      <w:r w:rsidRPr="00C732FA">
        <w:t>Regeringen bör redovisa en samlad bild som både inkluderar bank- och exportkreditgarantier av de ekonomiska riskerna för staten och skattebet</w:t>
      </w:r>
      <w:r w:rsidRPr="00C732FA">
        <w:t>a</w:t>
      </w:r>
      <w:r w:rsidRPr="00C732FA">
        <w:t>larna. Årsredovisningen för staten skulle med lämpliga tilläggsupplysningar om förväntad kostnad och risk för garantierna ge en mer rättvisande bild av statens ekonomiska ställning och riskexponering.</w:t>
      </w:r>
    </w:p>
    <w:p w:rsidR="002C5DE9" w:rsidRPr="00C732FA" w:rsidRDefault="002C5DE9" w:rsidP="003473DC">
      <w:pPr>
        <w:pStyle w:val="Liststycke"/>
        <w:numPr>
          <w:ilvl w:val="0"/>
          <w:numId w:val="8"/>
        </w:numPr>
      </w:pPr>
      <w:r w:rsidRPr="00C732FA">
        <w:t>Riksrevisionen anser att behovet av en samlad redovisning till riksdagen av risker och kostnader i anslutning till statens garantier bör beaktas i den nu pågående översynen av budgetlagen.</w:t>
      </w:r>
    </w:p>
    <w:p w:rsidR="002C5DE9" w:rsidRPr="00C732FA" w:rsidRDefault="002C5DE9" w:rsidP="002C5DE9">
      <w:pPr>
        <w:pStyle w:val="Normaltindrag"/>
        <w:sectPr w:rsidR="002C5DE9" w:rsidRPr="00C732FA" w:rsidSect="00701C8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67C05" w:rsidRPr="00C732FA" w:rsidRDefault="00167C05" w:rsidP="00167C05">
      <w:pPr>
        <w:pStyle w:val="Rubrik1"/>
        <w:rPr>
          <w:noProof w:val="0"/>
        </w:rPr>
      </w:pPr>
      <w:bookmarkStart w:id="23" w:name="_Toc254266885"/>
      <w:r w:rsidRPr="00C732FA">
        <w:rPr>
          <w:noProof w:val="0"/>
        </w:rPr>
        <w:t>Styrelsens överväganden</w:t>
      </w:r>
      <w:bookmarkEnd w:id="23"/>
    </w:p>
    <w:p w:rsidR="00C402EA" w:rsidRPr="00C732FA" w:rsidRDefault="00C402EA" w:rsidP="00C402EA">
      <w:r w:rsidRPr="00C732FA">
        <w:t xml:space="preserve">Riksrevisionens styrelse har funnit att slutsatserna av den granskning som Riksrevisionen har redovisat i rapporten </w:t>
      </w:r>
      <w:r w:rsidRPr="00C732FA">
        <w:rPr>
          <w:i/>
        </w:rPr>
        <w:t xml:space="preserve">Statens garantier i finanskrisen </w:t>
      </w:r>
      <w:r w:rsidRPr="00C732FA">
        <w:t>(RiR 2009:26) ska överlämnas till riksdagen i form av en framställning. I anslu</w:t>
      </w:r>
      <w:r w:rsidRPr="00C732FA">
        <w:t>t</w:t>
      </w:r>
      <w:r w:rsidRPr="00C732FA">
        <w:t>ning härtill vill styrelsen anföra följande.</w:t>
      </w:r>
    </w:p>
    <w:p w:rsidR="00C402EA" w:rsidRPr="00C732FA" w:rsidRDefault="00764C3D" w:rsidP="00764C3D">
      <w:pPr>
        <w:pStyle w:val="Rubrik3"/>
        <w:rPr>
          <w:noProof w:val="0"/>
        </w:rPr>
      </w:pPr>
      <w:bookmarkStart w:id="24" w:name="_Toc254266886"/>
      <w:r w:rsidRPr="00C732FA">
        <w:rPr>
          <w:noProof w:val="0"/>
        </w:rPr>
        <w:t>Regleringsbrev för</w:t>
      </w:r>
      <w:r w:rsidR="00A73A57" w:rsidRPr="00C732FA">
        <w:rPr>
          <w:noProof w:val="0"/>
        </w:rPr>
        <w:t xml:space="preserve"> </w:t>
      </w:r>
      <w:r w:rsidRPr="00C732FA">
        <w:rPr>
          <w:noProof w:val="0"/>
        </w:rPr>
        <w:t>budgetåret 2010 avseende Riksgäldskontoret</w:t>
      </w:r>
      <w:bookmarkEnd w:id="24"/>
    </w:p>
    <w:p w:rsidR="00011E78" w:rsidRPr="00C732FA" w:rsidRDefault="00764C3D" w:rsidP="00011E78">
      <w:r w:rsidRPr="00C732FA">
        <w:t>Efter att Riks</w:t>
      </w:r>
      <w:r w:rsidR="00807E98" w:rsidRPr="00C732FA">
        <w:t xml:space="preserve">revisionens rapport om statens garantier </w:t>
      </w:r>
      <w:r w:rsidR="00F1223B" w:rsidRPr="00C732FA">
        <w:t xml:space="preserve">under finanskrisen </w:t>
      </w:r>
      <w:r w:rsidR="00807E98" w:rsidRPr="00C732FA">
        <w:t xml:space="preserve">publicerats </w:t>
      </w:r>
      <w:r w:rsidR="00C27098" w:rsidRPr="00C732FA">
        <w:t xml:space="preserve">har </w:t>
      </w:r>
      <w:r w:rsidR="00807E98" w:rsidRPr="00C732FA">
        <w:t>regeringen beslut</w:t>
      </w:r>
      <w:r w:rsidR="00C27098" w:rsidRPr="00C732FA">
        <w:t>at</w:t>
      </w:r>
      <w:r w:rsidR="00807E98" w:rsidRPr="00C732FA">
        <w:t xml:space="preserve"> om </w:t>
      </w:r>
      <w:r w:rsidR="0054091B" w:rsidRPr="00C732FA">
        <w:t xml:space="preserve">regleringsbrev för Riksgäldskontoret för 2010. En rad uppdrag har lämnats till Riksgäldskontoret som tydligt anknyter till iakttagelserna och rekommendationerna i Riksrevisionens granskning. </w:t>
      </w:r>
      <w:r w:rsidR="000B264A" w:rsidRPr="00C732FA">
        <w:t xml:space="preserve">Riksgäldskontoret ska exempelvis senast </w:t>
      </w:r>
      <w:r w:rsidR="00731201" w:rsidRPr="00C732FA">
        <w:t>i</w:t>
      </w:r>
      <w:r w:rsidR="000B264A" w:rsidRPr="00C732FA">
        <w:t xml:space="preserve"> mars 2010 lämna underlag till Finansdepartementet till årsredovisningen för staten avseende samtliga garantier och krediter. Ett annat exempel är att </w:t>
      </w:r>
      <w:r w:rsidR="00F1223B" w:rsidRPr="00C732FA">
        <w:t xml:space="preserve">regeringen ger </w:t>
      </w:r>
      <w:r w:rsidR="000B264A" w:rsidRPr="00C732FA">
        <w:t>Rik</w:t>
      </w:r>
      <w:r w:rsidR="000B264A" w:rsidRPr="00C732FA">
        <w:t>s</w:t>
      </w:r>
      <w:r w:rsidR="000B264A" w:rsidRPr="00C732FA">
        <w:t xml:space="preserve">gäldskontoret </w:t>
      </w:r>
      <w:r w:rsidR="00F1223B" w:rsidRPr="00C732FA">
        <w:t xml:space="preserve">i </w:t>
      </w:r>
      <w:r w:rsidR="00731201" w:rsidRPr="00C732FA">
        <w:t>uppdrag att senast i</w:t>
      </w:r>
      <w:r w:rsidR="000B264A" w:rsidRPr="00C732FA">
        <w:t xml:space="preserve"> november 2010 lämna förslag till hur en årlig bedömning av riskerna i de samlade statliga garantierna kan göras. </w:t>
      </w:r>
      <w:r w:rsidR="006B643F" w:rsidRPr="00C732FA">
        <w:t>Vid</w:t>
      </w:r>
      <w:r w:rsidR="006B643F" w:rsidRPr="00C732FA">
        <w:t>a</w:t>
      </w:r>
      <w:r w:rsidR="006B643F" w:rsidRPr="00C732FA">
        <w:t xml:space="preserve">re ska Riksgäldskontoret – med anledning av den pågående översynen av budgetlagen – senast </w:t>
      </w:r>
      <w:r w:rsidR="00731201" w:rsidRPr="00C732FA">
        <w:t xml:space="preserve">i </w:t>
      </w:r>
      <w:r w:rsidR="006B643F" w:rsidRPr="00C732FA">
        <w:t>juni 2010 lämna förslag till anpassningar av garant</w:t>
      </w:r>
      <w:r w:rsidR="006B643F" w:rsidRPr="00C732FA">
        <w:t>i</w:t>
      </w:r>
      <w:r w:rsidR="006B643F" w:rsidRPr="00C732FA">
        <w:t>förordningen (1997:55) och en ny förordning för krediter och utlåning, alte</w:t>
      </w:r>
      <w:r w:rsidR="006B643F" w:rsidRPr="00C732FA">
        <w:t>r</w:t>
      </w:r>
      <w:r w:rsidR="006B643F" w:rsidRPr="00C732FA">
        <w:t xml:space="preserve">nativt lämna förslag om en samlad garanti- och kreditförordning. </w:t>
      </w:r>
      <w:r w:rsidR="00F1223B" w:rsidRPr="00C732FA">
        <w:t>Riksgäld</w:t>
      </w:r>
      <w:r w:rsidR="00F1223B" w:rsidRPr="00C732FA">
        <w:t>s</w:t>
      </w:r>
      <w:r w:rsidR="00F1223B" w:rsidRPr="00C732FA">
        <w:t xml:space="preserve">kontoret ges också i uppdrag att </w:t>
      </w:r>
      <w:r w:rsidR="00011E78" w:rsidRPr="00C732FA">
        <w:t xml:space="preserve">återkommande </w:t>
      </w:r>
      <w:r w:rsidR="00F1223B" w:rsidRPr="00C732FA">
        <w:t>lämna en redovisning av hur AB Svensk Exportkredits (SEK) krediter har utnyttjats, hur SEK:s exportf</w:t>
      </w:r>
      <w:r w:rsidR="00F1223B" w:rsidRPr="00C732FA">
        <w:t>i</w:t>
      </w:r>
      <w:r w:rsidR="00F1223B" w:rsidRPr="00C732FA">
        <w:t>nansiering har utvecklats och hur regeringens åtgärder har påverkat SEK:s möjligheter på kreditmarknaden.</w:t>
      </w:r>
      <w:r w:rsidR="00731201" w:rsidRPr="00C732FA">
        <w:t xml:space="preserve"> </w:t>
      </w:r>
    </w:p>
    <w:p w:rsidR="006B643F" w:rsidRPr="00C732FA" w:rsidRDefault="000B264A" w:rsidP="00011E78">
      <w:pPr>
        <w:pStyle w:val="Normaltindrag"/>
      </w:pPr>
      <w:r w:rsidRPr="00C732FA">
        <w:t xml:space="preserve">Styrelsen välkomnar regeringens </w:t>
      </w:r>
      <w:r w:rsidR="00CE5148" w:rsidRPr="00C732FA">
        <w:t xml:space="preserve">åtgärder </w:t>
      </w:r>
      <w:r w:rsidRPr="00C732FA">
        <w:t>inom området, men anser samt</w:t>
      </w:r>
      <w:r w:rsidRPr="00C732FA">
        <w:t>i</w:t>
      </w:r>
      <w:r w:rsidRPr="00C732FA">
        <w:t>digt att det är anmärkningsvärt att regeringen inte förrän efter drygt ett år efter att bemyndigandena beslutats av riksdagen, har tagit initiativ till u</w:t>
      </w:r>
      <w:r w:rsidRPr="00C732FA">
        <w:t>t</w:t>
      </w:r>
      <w:r w:rsidRPr="00C732FA">
        <w:t>redningar för att klarlägga de ekonomiska risker för skattebetalarna som finns med garantierna.</w:t>
      </w:r>
      <w:r w:rsidR="00335CE1" w:rsidRPr="00C732FA">
        <w:t xml:space="preserve"> </w:t>
      </w:r>
    </w:p>
    <w:p w:rsidR="00D53231" w:rsidRPr="00C732FA" w:rsidRDefault="0054091B" w:rsidP="00D53231">
      <w:pPr>
        <w:pStyle w:val="Normaltindrag"/>
      </w:pPr>
      <w:r w:rsidRPr="00C732FA">
        <w:t xml:space="preserve">Styrelsen konstaterar att </w:t>
      </w:r>
      <w:r w:rsidR="00335CE1" w:rsidRPr="00C732FA">
        <w:t>de uppdrag som lämnats</w:t>
      </w:r>
      <w:r w:rsidR="00720DCD" w:rsidRPr="00C732FA">
        <w:t xml:space="preserve"> till Riksgäldskontoret</w:t>
      </w:r>
      <w:r w:rsidR="00731201" w:rsidRPr="00C732FA">
        <w:t xml:space="preserve"> kan</w:t>
      </w:r>
      <w:r w:rsidR="006B643F" w:rsidRPr="00C732FA">
        <w:t xml:space="preserve"> </w:t>
      </w:r>
      <w:r w:rsidR="00335CE1" w:rsidRPr="00C732FA">
        <w:t xml:space="preserve">leda till att </w:t>
      </w:r>
      <w:r w:rsidR="006B643F" w:rsidRPr="00C732FA">
        <w:t xml:space="preserve">de </w:t>
      </w:r>
      <w:r w:rsidR="00335CE1" w:rsidRPr="00C732FA">
        <w:t xml:space="preserve">rekommendationer som lämnats i granskningen tillgodoses. </w:t>
      </w:r>
      <w:r w:rsidR="00720DCD" w:rsidRPr="00C732FA">
        <w:t>Trots de nyligen givna uppdragen</w:t>
      </w:r>
      <w:r w:rsidR="00F1223B" w:rsidRPr="00C732FA">
        <w:t xml:space="preserve"> anser styrelsen</w:t>
      </w:r>
      <w:r w:rsidR="00A73A57" w:rsidRPr="00C732FA">
        <w:t xml:space="preserve"> </w:t>
      </w:r>
      <w:r w:rsidR="00F1223B" w:rsidRPr="00C732FA">
        <w:t>– m</w:t>
      </w:r>
      <w:r w:rsidR="00D53231" w:rsidRPr="00C732FA">
        <w:t>ed hänsyn tage</w:t>
      </w:r>
      <w:r w:rsidR="00F1223B" w:rsidRPr="00C732FA">
        <w:t>n</w:t>
      </w:r>
      <w:r w:rsidR="00D53231" w:rsidRPr="00C732FA">
        <w:t xml:space="preserve"> till de </w:t>
      </w:r>
      <w:r w:rsidR="00720DCD" w:rsidRPr="00C732FA">
        <w:t>betydande</w:t>
      </w:r>
      <w:r w:rsidR="00D53231" w:rsidRPr="00C732FA">
        <w:t xml:space="preserve"> belopp som genom ri</w:t>
      </w:r>
      <w:r w:rsidR="00731201" w:rsidRPr="00C732FA">
        <w:t>k</w:t>
      </w:r>
      <w:r w:rsidR="00720DCD" w:rsidRPr="00C732FA">
        <w:t>s</w:t>
      </w:r>
      <w:r w:rsidR="00D53231" w:rsidRPr="00C732FA">
        <w:t>dagens bemyndiganden ställts till regerin</w:t>
      </w:r>
      <w:r w:rsidR="00D53231" w:rsidRPr="00C732FA">
        <w:t>g</w:t>
      </w:r>
      <w:r w:rsidR="00D53231" w:rsidRPr="00C732FA">
        <w:t>ens förfogande</w:t>
      </w:r>
      <w:r w:rsidR="00720DCD" w:rsidRPr="00C732FA">
        <w:t xml:space="preserve"> </w:t>
      </w:r>
      <w:r w:rsidR="00F1223B" w:rsidRPr="00C732FA">
        <w:t>–</w:t>
      </w:r>
      <w:r w:rsidR="00731201" w:rsidRPr="00C732FA">
        <w:t xml:space="preserve"> </w:t>
      </w:r>
      <w:r w:rsidR="00A73A57" w:rsidRPr="00C732FA">
        <w:t xml:space="preserve">att </w:t>
      </w:r>
      <w:r w:rsidR="00D53231" w:rsidRPr="00C732FA">
        <w:t>krav på redovisning av de ekonomiska ri</w:t>
      </w:r>
      <w:r w:rsidR="00720DCD" w:rsidRPr="00C732FA">
        <w:t>s</w:t>
      </w:r>
      <w:r w:rsidR="00D53231" w:rsidRPr="00C732FA">
        <w:t>kerna bör stä</w:t>
      </w:r>
      <w:r w:rsidR="00D53231" w:rsidRPr="00C732FA">
        <w:t>l</w:t>
      </w:r>
      <w:r w:rsidR="00D53231" w:rsidRPr="00C732FA">
        <w:t>las omgående. Mot denna bakgrund lämnar styrelsen följande förslag.</w:t>
      </w:r>
    </w:p>
    <w:p w:rsidR="0054091B" w:rsidRPr="00C732FA" w:rsidRDefault="00302880" w:rsidP="00302880">
      <w:pPr>
        <w:pStyle w:val="Rubrik2"/>
      </w:pPr>
      <w:bookmarkStart w:id="25" w:name="_Toc254266887"/>
      <w:r w:rsidRPr="00C732FA">
        <w:t>Samlad redovisning av de ekonomiska riskerna</w:t>
      </w:r>
      <w:bookmarkEnd w:id="25"/>
    </w:p>
    <w:p w:rsidR="006603E1" w:rsidRPr="00C732FA" w:rsidRDefault="00A53A17" w:rsidP="00D04C86">
      <w:r w:rsidRPr="00C732FA">
        <w:t xml:space="preserve">Riksdagens </w:t>
      </w:r>
      <w:r w:rsidR="00C27098" w:rsidRPr="00C732FA">
        <w:t xml:space="preserve">beslut om </w:t>
      </w:r>
      <w:r w:rsidR="00F1223B" w:rsidRPr="00C732FA">
        <w:t xml:space="preserve">de </w:t>
      </w:r>
      <w:r w:rsidR="00C27098" w:rsidRPr="00C732FA">
        <w:t xml:space="preserve">statliga garantierna </w:t>
      </w:r>
      <w:r w:rsidR="00F1223B" w:rsidRPr="00C732FA">
        <w:t>(bet. 2008/</w:t>
      </w:r>
      <w:r w:rsidR="00A73A57" w:rsidRPr="00C732FA">
        <w:t>0</w:t>
      </w:r>
      <w:r w:rsidR="00F1223B" w:rsidRPr="00C732FA">
        <w:t xml:space="preserve">9:FiU16) </w:t>
      </w:r>
      <w:r w:rsidRPr="00C732FA">
        <w:t xml:space="preserve">innehöll också </w:t>
      </w:r>
      <w:r w:rsidR="00F1223B" w:rsidRPr="00C732FA">
        <w:t>ett tillkännagivande till regeringen som avsåg information från rege</w:t>
      </w:r>
      <w:r w:rsidR="00F1223B" w:rsidRPr="00C732FA">
        <w:t>r</w:t>
      </w:r>
      <w:r w:rsidR="00F1223B" w:rsidRPr="00C732FA">
        <w:t>ingen till riksdagen.</w:t>
      </w:r>
      <w:r w:rsidR="00C27098" w:rsidRPr="00C732FA">
        <w:t xml:space="preserve"> </w:t>
      </w:r>
      <w:r w:rsidR="00127E0D" w:rsidRPr="00C732FA">
        <w:t xml:space="preserve">Enligt tillkännagivandet bör </w:t>
      </w:r>
      <w:r w:rsidR="00C27098" w:rsidRPr="00C732FA">
        <w:t>information</w:t>
      </w:r>
      <w:r w:rsidR="00F1223B" w:rsidRPr="00C732FA">
        <w:t xml:space="preserve"> lämnas</w:t>
      </w:r>
      <w:r w:rsidR="00C27098" w:rsidRPr="00C732FA">
        <w:t xml:space="preserve"> till utskottet eller till riksdagen när det är befogat</w:t>
      </w:r>
      <w:r w:rsidR="00A73A57" w:rsidRPr="00C732FA">
        <w:t>,</w:t>
      </w:r>
      <w:r w:rsidR="00C27098" w:rsidRPr="00C732FA">
        <w:t xml:space="preserve"> och de former för lämnande av information som räknades upp i proposition </w:t>
      </w:r>
      <w:r w:rsidR="00A73A57" w:rsidRPr="00C732FA">
        <w:t xml:space="preserve">2008/09:61 </w:t>
      </w:r>
      <w:r w:rsidR="00C27098" w:rsidRPr="00C732FA">
        <w:rPr>
          <w:i/>
        </w:rPr>
        <w:t>Stabilitetsstärkande åtgärder för det svenska finansiella systemet</w:t>
      </w:r>
      <w:r w:rsidR="00C27098" w:rsidRPr="00C732FA">
        <w:t xml:space="preserve"> skulle </w:t>
      </w:r>
      <w:r w:rsidR="00A73A57" w:rsidRPr="00C732FA">
        <w:t xml:space="preserve">inte </w:t>
      </w:r>
      <w:r w:rsidR="00C27098" w:rsidRPr="00C732FA">
        <w:t>ses som en uttö</w:t>
      </w:r>
      <w:r w:rsidR="00C27098" w:rsidRPr="00C732FA">
        <w:t>m</w:t>
      </w:r>
      <w:r w:rsidR="00C27098" w:rsidRPr="00C732FA">
        <w:t xml:space="preserve">mande uppräkning. I propositionen </w:t>
      </w:r>
      <w:r w:rsidR="00127E0D" w:rsidRPr="00C732FA">
        <w:t xml:space="preserve">angav regeringen bl.a. att </w:t>
      </w:r>
      <w:r w:rsidR="00C27098" w:rsidRPr="00C732FA">
        <w:t>riksd</w:t>
      </w:r>
      <w:r w:rsidR="00C27098" w:rsidRPr="00C732FA">
        <w:t>a</w:t>
      </w:r>
      <w:r w:rsidR="00C27098" w:rsidRPr="00C732FA">
        <w:t xml:space="preserve">gen </w:t>
      </w:r>
      <w:r w:rsidR="00127E0D" w:rsidRPr="00C732FA">
        <w:t xml:space="preserve">bör </w:t>
      </w:r>
      <w:r w:rsidR="00C27098" w:rsidRPr="00C732FA">
        <w:t>ges en utförlig beskrivning av vidtagna stödåtgärder och dessas eko</w:t>
      </w:r>
      <w:r w:rsidR="00127E0D" w:rsidRPr="00C732FA">
        <w:t>n</w:t>
      </w:r>
      <w:r w:rsidR="00127E0D" w:rsidRPr="00C732FA">
        <w:t>o</w:t>
      </w:r>
      <w:r w:rsidR="00127E0D" w:rsidRPr="00C732FA">
        <w:t>miska konsekvenser.</w:t>
      </w:r>
      <w:r w:rsidR="008D0D0D" w:rsidRPr="00C732FA">
        <w:t xml:space="preserve"> I betänkande </w:t>
      </w:r>
      <w:r w:rsidR="00A73A57" w:rsidRPr="00C732FA">
        <w:t xml:space="preserve">2008/09:NU12 </w:t>
      </w:r>
      <w:r w:rsidR="008D0D0D" w:rsidRPr="00C732FA">
        <w:rPr>
          <w:i/>
        </w:rPr>
        <w:t>Åtgärder för förstärkt exportf</w:t>
      </w:r>
      <w:r w:rsidR="008D0D0D" w:rsidRPr="00C732FA">
        <w:rPr>
          <w:i/>
        </w:rPr>
        <w:t>i</w:t>
      </w:r>
      <w:r w:rsidR="008D0D0D" w:rsidRPr="00C732FA">
        <w:rPr>
          <w:i/>
        </w:rPr>
        <w:t>nansiering</w:t>
      </w:r>
      <w:r w:rsidR="008D0D0D" w:rsidRPr="00C732FA">
        <w:t xml:space="preserve"> (bet.) angav näringsutskottet att regeringen borde återkomma under våren 2009 till rik</w:t>
      </w:r>
      <w:r w:rsidR="00731201" w:rsidRPr="00C732FA">
        <w:t>s</w:t>
      </w:r>
      <w:r w:rsidR="008D0D0D" w:rsidRPr="00C732FA">
        <w:t>dagen med en redovisning av hur exportfinansi</w:t>
      </w:r>
      <w:r w:rsidR="008D0D0D" w:rsidRPr="00C732FA">
        <w:t>e</w:t>
      </w:r>
      <w:r w:rsidR="008D0D0D" w:rsidRPr="00C732FA">
        <w:t>ringen utvecklas, hur låneramen respektive kredi</w:t>
      </w:r>
      <w:r w:rsidR="008D0D0D" w:rsidRPr="00C732FA">
        <w:t>t</w:t>
      </w:r>
      <w:r w:rsidR="008D0D0D" w:rsidRPr="00C732FA">
        <w:t>ramarna utnyttjats och hur detta påverkat marknaden.</w:t>
      </w:r>
      <w:r w:rsidRPr="00C732FA">
        <w:t xml:space="preserve"> </w:t>
      </w:r>
    </w:p>
    <w:p w:rsidR="00D04C86" w:rsidRPr="00C732FA" w:rsidRDefault="00A53A17" w:rsidP="006603E1">
      <w:pPr>
        <w:pStyle w:val="Normaltindrag"/>
      </w:pPr>
      <w:r w:rsidRPr="00C732FA">
        <w:t>Av granskningen framkommer att regeringen</w:t>
      </w:r>
      <w:r w:rsidR="006603E1" w:rsidRPr="00C732FA">
        <w:t>, mer än ett år efter beslute</w:t>
      </w:r>
      <w:r w:rsidR="00215556" w:rsidRPr="00C732FA">
        <w:t>t</w:t>
      </w:r>
      <w:r w:rsidR="00917511" w:rsidRPr="00C732FA">
        <w:t xml:space="preserve">, ännu inte </w:t>
      </w:r>
      <w:r w:rsidRPr="00C732FA">
        <w:t>har lämnat en samlad och tydlig återrapport</w:t>
      </w:r>
      <w:r w:rsidRPr="00C732FA">
        <w:t>e</w:t>
      </w:r>
      <w:r w:rsidRPr="00C732FA">
        <w:t xml:space="preserve">ring till riksdagen om vilka förluster som </w:t>
      </w:r>
      <w:r w:rsidR="00731201" w:rsidRPr="00C732FA">
        <w:t>bankgarantierna kan medför</w:t>
      </w:r>
      <w:r w:rsidR="0056184B" w:rsidRPr="00C732FA">
        <w:t>a</w:t>
      </w:r>
      <w:r w:rsidRPr="00C732FA">
        <w:t>. E</w:t>
      </w:r>
      <w:r w:rsidRPr="00C732FA">
        <w:t>n</w:t>
      </w:r>
      <w:r w:rsidRPr="00C732FA">
        <w:t xml:space="preserve">ligt styrelsens mening har </w:t>
      </w:r>
      <w:r w:rsidR="00127E0D" w:rsidRPr="00C732FA">
        <w:t>tillkännagivande</w:t>
      </w:r>
      <w:r w:rsidRPr="00C732FA">
        <w:t>t</w:t>
      </w:r>
      <w:r w:rsidR="00127E0D" w:rsidRPr="00C732FA">
        <w:t xml:space="preserve"> </w:t>
      </w:r>
      <w:r w:rsidR="008D0D0D" w:rsidRPr="00C732FA">
        <w:t>om regeringens information till riksdagen om</w:t>
      </w:r>
      <w:r w:rsidRPr="00C732FA">
        <w:t xml:space="preserve"> </w:t>
      </w:r>
      <w:r w:rsidR="008D0D0D" w:rsidRPr="00C732FA">
        <w:t>de</w:t>
      </w:r>
      <w:r w:rsidRPr="00C732FA">
        <w:t xml:space="preserve"> stabil</w:t>
      </w:r>
      <w:r w:rsidRPr="00C732FA">
        <w:t>i</w:t>
      </w:r>
      <w:r w:rsidRPr="00C732FA">
        <w:t xml:space="preserve">tetssäkrande åtgärderna </w:t>
      </w:r>
      <w:r w:rsidR="005A7192" w:rsidRPr="00C732FA">
        <w:t xml:space="preserve">och </w:t>
      </w:r>
      <w:r w:rsidR="00917511" w:rsidRPr="00C732FA">
        <w:t>näringsutskottets önskemål om redovisning ang</w:t>
      </w:r>
      <w:r w:rsidR="00917511" w:rsidRPr="00C732FA">
        <w:t>å</w:t>
      </w:r>
      <w:r w:rsidR="00917511" w:rsidRPr="00C732FA">
        <w:t xml:space="preserve">ende exportfinansieringen </w:t>
      </w:r>
      <w:r w:rsidR="005A7192" w:rsidRPr="00C732FA">
        <w:t>inte fullt ut tillgodosetts</w:t>
      </w:r>
      <w:r w:rsidR="00917511" w:rsidRPr="00C732FA">
        <w:t xml:space="preserve">. </w:t>
      </w:r>
      <w:r w:rsidR="008D0D0D" w:rsidRPr="00C732FA">
        <w:t xml:space="preserve">Styrelsen konstaterar dock att regeringen, genom </w:t>
      </w:r>
      <w:r w:rsidR="00917511" w:rsidRPr="00C732FA">
        <w:t xml:space="preserve">de </w:t>
      </w:r>
      <w:r w:rsidR="00B66263" w:rsidRPr="00C732FA">
        <w:t xml:space="preserve">nyligen beslutade uppdragen </w:t>
      </w:r>
      <w:r w:rsidR="00917511" w:rsidRPr="00C732FA">
        <w:t xml:space="preserve">till </w:t>
      </w:r>
      <w:r w:rsidR="00B66263" w:rsidRPr="00C732FA">
        <w:t>Riksgäldsko</w:t>
      </w:r>
      <w:r w:rsidR="00B66263" w:rsidRPr="00C732FA">
        <w:t>n</w:t>
      </w:r>
      <w:r w:rsidR="00B66263" w:rsidRPr="00C732FA">
        <w:t xml:space="preserve">toret, kan </w:t>
      </w:r>
      <w:r w:rsidR="0056184B" w:rsidRPr="00C732FA">
        <w:t xml:space="preserve">anses </w:t>
      </w:r>
      <w:r w:rsidR="00B66263" w:rsidRPr="00C732FA">
        <w:t xml:space="preserve">komma att uppfylla de krav som finns på </w:t>
      </w:r>
      <w:r w:rsidR="0056184B" w:rsidRPr="00C732FA">
        <w:t xml:space="preserve">en sådan </w:t>
      </w:r>
      <w:r w:rsidR="00B66263" w:rsidRPr="00C732FA">
        <w:t>redovi</w:t>
      </w:r>
      <w:r w:rsidR="00B66263" w:rsidRPr="00C732FA">
        <w:t>s</w:t>
      </w:r>
      <w:r w:rsidR="00B66263" w:rsidRPr="00C732FA">
        <w:t>ning.</w:t>
      </w:r>
      <w:r w:rsidR="004A04BD" w:rsidRPr="00C732FA">
        <w:t xml:space="preserve"> </w:t>
      </w:r>
    </w:p>
    <w:p w:rsidR="00D04C86" w:rsidRPr="00C732FA" w:rsidRDefault="00B66263" w:rsidP="00D04C86">
      <w:pPr>
        <w:pStyle w:val="Normaltindrag"/>
      </w:pPr>
      <w:r w:rsidRPr="00C732FA">
        <w:t xml:space="preserve">Styrelsen vill </w:t>
      </w:r>
      <w:r w:rsidR="004A04BD" w:rsidRPr="00C732FA">
        <w:t>underst</w:t>
      </w:r>
      <w:r w:rsidR="00A73A57" w:rsidRPr="00C732FA">
        <w:t>r</w:t>
      </w:r>
      <w:r w:rsidR="004A04BD" w:rsidRPr="00C732FA">
        <w:t xml:space="preserve">yka betydelsen av </w:t>
      </w:r>
      <w:r w:rsidRPr="00C732FA">
        <w:t xml:space="preserve">att </w:t>
      </w:r>
      <w:r w:rsidR="00A73A57" w:rsidRPr="00C732FA">
        <w:t>f</w:t>
      </w:r>
      <w:r w:rsidRPr="00C732FA">
        <w:t xml:space="preserve">ullödig </w:t>
      </w:r>
      <w:r w:rsidR="004A04BD" w:rsidRPr="00C732FA">
        <w:t xml:space="preserve">information </w:t>
      </w:r>
      <w:r w:rsidRPr="00C732FA">
        <w:t>lä</w:t>
      </w:r>
      <w:r w:rsidRPr="00C732FA">
        <w:t>m</w:t>
      </w:r>
      <w:r w:rsidRPr="00C732FA">
        <w:t xml:space="preserve">nas </w:t>
      </w:r>
      <w:r w:rsidR="004A04BD" w:rsidRPr="00C732FA">
        <w:t xml:space="preserve">till riksdagen i en viktig fråga som omfattar </w:t>
      </w:r>
      <w:r w:rsidR="0056184B" w:rsidRPr="00C732FA">
        <w:t>betydande</w:t>
      </w:r>
      <w:r w:rsidR="004A04BD" w:rsidRPr="00C732FA">
        <w:t xml:space="preserve"> belopp</w:t>
      </w:r>
      <w:r w:rsidRPr="00C732FA">
        <w:t xml:space="preserve">. </w:t>
      </w:r>
      <w:r w:rsidR="005A7192" w:rsidRPr="00C732FA">
        <w:t xml:space="preserve">Trots </w:t>
      </w:r>
      <w:r w:rsidR="00686849" w:rsidRPr="00C732FA">
        <w:t xml:space="preserve">att ett antal </w:t>
      </w:r>
      <w:r w:rsidR="005A7192" w:rsidRPr="00C732FA">
        <w:t xml:space="preserve">uppdrag </w:t>
      </w:r>
      <w:r w:rsidR="00686849" w:rsidRPr="00C732FA">
        <w:t xml:space="preserve">nu har lämnats </w:t>
      </w:r>
      <w:r w:rsidR="00A73A57" w:rsidRPr="00C732FA">
        <w:t xml:space="preserve">till Riksgäldskontoret </w:t>
      </w:r>
      <w:r w:rsidR="00D04C86" w:rsidRPr="00C732FA">
        <w:t>anser styrelsen</w:t>
      </w:r>
      <w:r w:rsidR="00315A4F" w:rsidRPr="00C732FA">
        <w:t>, i likhet med vad riksdagen tidigare begärt,</w:t>
      </w:r>
      <w:r w:rsidR="00D04C86" w:rsidRPr="00C732FA">
        <w:t xml:space="preserve"> </w:t>
      </w:r>
      <w:r w:rsidR="00A73A57" w:rsidRPr="00C732FA">
        <w:t xml:space="preserve">att </w:t>
      </w:r>
      <w:r w:rsidR="00D04C86" w:rsidRPr="00C732FA">
        <w:t>regeringen bör uppmanas att snarast för riksdagen pr</w:t>
      </w:r>
      <w:r w:rsidR="00D04C86" w:rsidRPr="00C732FA">
        <w:t>e</w:t>
      </w:r>
      <w:r w:rsidR="00D04C86" w:rsidRPr="00C732FA">
        <w:t>sentera en samlad redovisning av de ekonomiska riskerna för staten och skattebetalarna som inkluderar både bank- och exportkreditgarant</w:t>
      </w:r>
      <w:r w:rsidR="00D04C86" w:rsidRPr="00C732FA">
        <w:t>i</w:t>
      </w:r>
      <w:r w:rsidR="00D04C86" w:rsidRPr="00C732FA">
        <w:t xml:space="preserve">er. </w:t>
      </w:r>
    </w:p>
    <w:p w:rsidR="00F76C41" w:rsidRPr="00C732FA" w:rsidRDefault="00F76C41" w:rsidP="00F76C41">
      <w:pPr>
        <w:pStyle w:val="Rubrik2"/>
      </w:pPr>
      <w:bookmarkStart w:id="26" w:name="_Toc254266888"/>
      <w:r w:rsidRPr="00C732FA">
        <w:t>Styrelsens förslag</w:t>
      </w:r>
      <w:bookmarkEnd w:id="26"/>
    </w:p>
    <w:p w:rsidR="00303AFE" w:rsidRPr="00C732FA" w:rsidRDefault="00F76C41" w:rsidP="007B7E6B">
      <w:r w:rsidRPr="00C732FA">
        <w:t xml:space="preserve">Mot bakgrund av ovanstående överväganden föreslår styrelsen att riksdagen begär att regeringen </w:t>
      </w:r>
      <w:r w:rsidR="00E370DB" w:rsidRPr="00C732FA">
        <w:t xml:space="preserve">snarast </w:t>
      </w:r>
      <w:r w:rsidR="00A73A57" w:rsidRPr="00C732FA">
        <w:t>återkommer</w:t>
      </w:r>
      <w:r w:rsidRPr="00C732FA">
        <w:t xml:space="preserve"> till riksdagen med en samlad red</w:t>
      </w:r>
      <w:r w:rsidRPr="00C732FA">
        <w:t>o</w:t>
      </w:r>
      <w:r w:rsidRPr="00C732FA">
        <w:t xml:space="preserve">visning av </w:t>
      </w:r>
      <w:r w:rsidR="00731201" w:rsidRPr="00C732FA">
        <w:t xml:space="preserve">de ekonomiska risker för staten som </w:t>
      </w:r>
      <w:r w:rsidR="0056184B" w:rsidRPr="00C732FA">
        <w:t xml:space="preserve">besluten om </w:t>
      </w:r>
      <w:r w:rsidR="00731201" w:rsidRPr="00C732FA">
        <w:t>bank- och e</w:t>
      </w:r>
      <w:r w:rsidR="00731201" w:rsidRPr="00C732FA">
        <w:t>x</w:t>
      </w:r>
      <w:r w:rsidR="00731201" w:rsidRPr="00C732FA">
        <w:t>portkredi</w:t>
      </w:r>
      <w:r w:rsidR="00731201" w:rsidRPr="00C732FA">
        <w:t>t</w:t>
      </w:r>
      <w:r w:rsidR="00731201" w:rsidRPr="00C732FA">
        <w:t xml:space="preserve">garantier </w:t>
      </w:r>
      <w:r w:rsidR="0056184B" w:rsidRPr="00C732FA">
        <w:t>har medfört</w:t>
      </w:r>
      <w:r w:rsidR="00731201" w:rsidRPr="00C732FA">
        <w:t xml:space="preserve">. </w:t>
      </w:r>
    </w:p>
    <w:p w:rsidR="00303AFE" w:rsidRPr="00C732FA" w:rsidRDefault="00303AFE" w:rsidP="00303AFE">
      <w:pPr>
        <w:pStyle w:val="Tryckort"/>
        <w:framePr w:wrap="around"/>
      </w:pPr>
      <w:r w:rsidRPr="00C732FA">
        <w:t>Elanders, Vällingby  2010</w:t>
      </w:r>
    </w:p>
    <w:p w:rsidR="000C6E9C" w:rsidRPr="00C732FA" w:rsidRDefault="000C6E9C" w:rsidP="00303AFE">
      <w:pPr>
        <w:pStyle w:val="Normaltindrag"/>
      </w:pPr>
    </w:p>
    <w:sectPr w:rsidR="000C6E9C" w:rsidRPr="00C732FA" w:rsidSect="00701C8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6C4" w:rsidRPr="00C732FA" w:rsidRDefault="00E456C4">
      <w:pPr>
        <w:spacing w:before="0" w:line="240" w:lineRule="auto"/>
      </w:pPr>
      <w:r w:rsidRPr="00C732FA">
        <w:separator/>
      </w:r>
    </w:p>
  </w:endnote>
  <w:endnote w:type="continuationSeparator" w:id="0">
    <w:p w:rsidR="00E456C4" w:rsidRPr="00C732FA" w:rsidRDefault="00E456C4">
      <w:pPr>
        <w:spacing w:before="0" w:line="240" w:lineRule="auto"/>
      </w:pPr>
      <w:r w:rsidRPr="00C73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Pr="00C732FA">
      <w:t>2</w:t>
    </w:r>
    <w:r w:rsidRPr="00C732FA">
      <w:fldChar w:fldCharType="end"/>
    </w:r>
  </w:p>
  <w:p w:rsidR="00E456C4" w:rsidRPr="00C732FA" w:rsidRDefault="00E456C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000F11B7" w:rsidRPr="00C732FA">
      <w:t>6</w:t>
    </w:r>
    <w:r w:rsidRPr="00C732FA">
      <w:fldChar w:fldCharType="end"/>
    </w:r>
  </w:p>
  <w:p w:rsidR="00E456C4" w:rsidRPr="00C732FA" w:rsidRDefault="00E456C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H"/>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000F11B7" w:rsidRPr="00C732FA">
      <w:t>9</w:t>
    </w:r>
    <w:r w:rsidRPr="00C732FA">
      <w:fldChar w:fldCharType="end"/>
    </w:r>
  </w:p>
  <w:p w:rsidR="00E456C4" w:rsidRPr="00C732FA" w:rsidRDefault="00E456C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if </w:instrText>
    </w:r>
    <w:r w:rsidRPr="00C732FA">
      <w:fldChar w:fldCharType="begin" w:fldLock="1"/>
    </w:r>
    <w:r w:rsidRPr="00C732FA">
      <w:instrText xml:space="preserve"> = </w:instrText>
    </w:r>
    <w:r w:rsidRPr="00C732FA">
      <w:fldChar w:fldCharType="begin" w:fldLock="1"/>
    </w:r>
    <w:r w:rsidRPr="00C732FA">
      <w:instrText xml:space="preserve"> = </w:instrText>
    </w:r>
    <w:r w:rsidRPr="00C732FA">
      <w:fldChar w:fldCharType="begin" w:fldLock="1"/>
    </w:r>
    <w:r w:rsidRPr="00C732FA">
      <w:instrText xml:space="preserve"> page</w:instrText>
    </w:r>
    <w:r w:rsidRPr="00C732FA">
      <w:fldChar w:fldCharType="separate"/>
    </w:r>
    <w:r w:rsidR="000F11B7" w:rsidRPr="00C732FA">
      <w:instrText>4</w:instrText>
    </w:r>
    <w:r w:rsidRPr="00C732FA">
      <w:fldChar w:fldCharType="end"/>
    </w:r>
    <w:r w:rsidRPr="00C732FA">
      <w:instrText xml:space="preserve">/2 </w:instrText>
    </w:r>
    <w:r w:rsidRPr="00C732FA">
      <w:fldChar w:fldCharType="separate"/>
    </w:r>
    <w:r w:rsidR="000F11B7" w:rsidRPr="00C732FA">
      <w:instrText>2</w:instrText>
    </w:r>
    <w:r w:rsidRPr="00C732FA">
      <w:fldChar w:fldCharType="end"/>
    </w:r>
    <w:r w:rsidRPr="00C732FA">
      <w:instrText xml:space="preserve"> - </w:instrText>
    </w:r>
    <w:r w:rsidRPr="00C732FA">
      <w:fldChar w:fldCharType="begin" w:fldLock="1"/>
    </w:r>
    <w:r w:rsidRPr="00C732FA">
      <w:instrText xml:space="preserve"> = int(</w:instrText>
    </w:r>
    <w:r w:rsidRPr="00C732FA">
      <w:fldChar w:fldCharType="begin" w:fldLock="1"/>
    </w:r>
    <w:r w:rsidRPr="00C732FA">
      <w:instrText xml:space="preserve"> page</w:instrText>
    </w:r>
    <w:r w:rsidRPr="00C732FA">
      <w:fldChar w:fldCharType="separate"/>
    </w:r>
    <w:r w:rsidR="000F11B7" w:rsidRPr="00C732FA">
      <w:instrText>4</w:instrText>
    </w:r>
    <w:r w:rsidRPr="00C732FA">
      <w:fldChar w:fldCharType="end"/>
    </w:r>
    <w:r w:rsidRPr="00C732FA">
      <w:instrText xml:space="preserve">/2) </w:instrText>
    </w:r>
    <w:r w:rsidRPr="00C732FA">
      <w:fldChar w:fldCharType="separate"/>
    </w:r>
    <w:r w:rsidR="000F11B7" w:rsidRPr="00C732FA">
      <w:instrText>2</w:instrText>
    </w:r>
    <w:r w:rsidRPr="00C732FA">
      <w:fldChar w:fldCharType="end"/>
    </w:r>
    <w:r w:rsidRPr="00C732FA">
      <w:fldChar w:fldCharType="separate"/>
    </w:r>
    <w:r w:rsidR="000F11B7" w:rsidRPr="00C732FA">
      <w:instrText>0</w:instrText>
    </w:r>
    <w:r w:rsidRPr="00C732FA">
      <w:fldChar w:fldCharType="end"/>
    </w:r>
    <w:r w:rsidRPr="00C732FA">
      <w:instrText xml:space="preserve"> = 0 "</w:instrText>
    </w:r>
    <w:r w:rsidRPr="00C732FA">
      <w:fldChar w:fldCharType="begin" w:fldLock="1"/>
    </w:r>
    <w:r w:rsidRPr="00C732FA">
      <w:instrText xml:space="preserve"> PAGE </w:instrText>
    </w:r>
    <w:r w:rsidRPr="00C732FA">
      <w:fldChar w:fldCharType="separate"/>
    </w:r>
    <w:r w:rsidR="000F11B7" w:rsidRPr="00C732FA">
      <w:instrText>4</w:instrText>
    </w:r>
    <w:r w:rsidRPr="00C732FA">
      <w:fldChar w:fldCharType="end"/>
    </w:r>
  </w:p>
  <w:p w:rsidR="000F11B7" w:rsidRPr="00C732FA" w:rsidRDefault="00E456C4">
    <w:pPr>
      <w:pStyle w:val="SidfotV"/>
      <w:framePr w:w="8732" w:h="284" w:hRule="exact" w:hSpace="0" w:vSpace="0" w:wrap="around" w:xAlign="inside" w:y="13042" w:anchorLock="0"/>
    </w:pPr>
    <w:r w:rsidRPr="00C732FA">
      <w:instrText>""</w:instrText>
    </w:r>
    <w:r w:rsidRPr="00C732FA">
      <w:fldChar w:fldCharType="begin" w:fldLock="1"/>
    </w:r>
    <w:r w:rsidRPr="00C732FA">
      <w:instrText xml:space="preserve"> PAGE </w:instrText>
    </w:r>
    <w:r w:rsidRPr="00C732FA">
      <w:fldChar w:fldCharType="separate"/>
    </w:r>
    <w:r w:rsidRPr="00C732FA">
      <w:instrText>3</w:instrText>
    </w:r>
    <w:r w:rsidRPr="00C732FA">
      <w:fldChar w:fldCharType="end"/>
    </w:r>
    <w:r w:rsidRPr="00C732FA">
      <w:instrText>"</w:instrText>
    </w:r>
    <w:r w:rsidRPr="00C732FA">
      <w:fldChar w:fldCharType="separate"/>
    </w:r>
    <w:r w:rsidR="000F11B7" w:rsidRPr="00C732FA">
      <w:t>4</w:t>
    </w:r>
  </w:p>
  <w:p w:rsidR="00E456C4" w:rsidRPr="00C732FA" w:rsidRDefault="00E456C4">
    <w:pPr>
      <w:pStyle w:val="SidfotH"/>
      <w:framePr w:w="8732" w:h="284" w:hRule="exact" w:hSpace="0" w:vSpace="0" w:wrap="around" w:xAlign="inside" w:y="13042" w:anchorLock="0"/>
    </w:pPr>
    <w:r w:rsidRPr="00C732FA">
      <w:fldChar w:fldCharType="end"/>
    </w:r>
  </w:p>
  <w:p w:rsidR="00E456C4" w:rsidRPr="00C732FA" w:rsidRDefault="00E456C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Pr="00C732FA">
      <w:t>12</w:t>
    </w:r>
    <w:r w:rsidRPr="00C732FA">
      <w:fldChar w:fldCharType="end"/>
    </w:r>
  </w:p>
  <w:p w:rsidR="00E456C4" w:rsidRPr="00C732FA" w:rsidRDefault="00E456C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H"/>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000F11B7" w:rsidRPr="00C732FA">
      <w:t>11</w:t>
    </w:r>
    <w:r w:rsidRPr="00C732FA">
      <w:fldChar w:fldCharType="end"/>
    </w:r>
  </w:p>
  <w:p w:rsidR="00E456C4" w:rsidRPr="00C732FA" w:rsidRDefault="00E456C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if </w:instrText>
    </w:r>
    <w:r w:rsidRPr="00C732FA">
      <w:fldChar w:fldCharType="begin" w:fldLock="1"/>
    </w:r>
    <w:r w:rsidRPr="00C732FA">
      <w:instrText xml:space="preserve"> = </w:instrText>
    </w:r>
    <w:r w:rsidRPr="00C732FA">
      <w:fldChar w:fldCharType="begin" w:fldLock="1"/>
    </w:r>
    <w:r w:rsidRPr="00C732FA">
      <w:instrText xml:space="preserve"> = </w:instrText>
    </w:r>
    <w:r w:rsidRPr="00C732FA">
      <w:fldChar w:fldCharType="begin" w:fldLock="1"/>
    </w:r>
    <w:r w:rsidRPr="00C732FA">
      <w:instrText xml:space="preserve"> page</w:instrText>
    </w:r>
    <w:r w:rsidRPr="00C732FA">
      <w:fldChar w:fldCharType="separate"/>
    </w:r>
    <w:r w:rsidR="000F11B7" w:rsidRPr="00C732FA">
      <w:instrText>10</w:instrText>
    </w:r>
    <w:r w:rsidRPr="00C732FA">
      <w:fldChar w:fldCharType="end"/>
    </w:r>
    <w:r w:rsidRPr="00C732FA">
      <w:instrText xml:space="preserve">/2 </w:instrText>
    </w:r>
    <w:r w:rsidRPr="00C732FA">
      <w:fldChar w:fldCharType="separate"/>
    </w:r>
    <w:r w:rsidR="000F11B7" w:rsidRPr="00C732FA">
      <w:instrText>5</w:instrText>
    </w:r>
    <w:r w:rsidRPr="00C732FA">
      <w:fldChar w:fldCharType="end"/>
    </w:r>
    <w:r w:rsidRPr="00C732FA">
      <w:instrText xml:space="preserve"> - </w:instrText>
    </w:r>
    <w:r w:rsidRPr="00C732FA">
      <w:fldChar w:fldCharType="begin" w:fldLock="1"/>
    </w:r>
    <w:r w:rsidRPr="00C732FA">
      <w:instrText xml:space="preserve"> = int(</w:instrText>
    </w:r>
    <w:r w:rsidRPr="00C732FA">
      <w:fldChar w:fldCharType="begin" w:fldLock="1"/>
    </w:r>
    <w:r w:rsidRPr="00C732FA">
      <w:instrText xml:space="preserve"> page</w:instrText>
    </w:r>
    <w:r w:rsidRPr="00C732FA">
      <w:fldChar w:fldCharType="separate"/>
    </w:r>
    <w:r w:rsidR="000F11B7" w:rsidRPr="00C732FA">
      <w:instrText>10</w:instrText>
    </w:r>
    <w:r w:rsidRPr="00C732FA">
      <w:fldChar w:fldCharType="end"/>
    </w:r>
    <w:r w:rsidRPr="00C732FA">
      <w:instrText xml:space="preserve">/2) </w:instrText>
    </w:r>
    <w:r w:rsidRPr="00C732FA">
      <w:fldChar w:fldCharType="separate"/>
    </w:r>
    <w:r w:rsidR="000F11B7" w:rsidRPr="00C732FA">
      <w:instrText>5</w:instrText>
    </w:r>
    <w:r w:rsidRPr="00C732FA">
      <w:fldChar w:fldCharType="end"/>
    </w:r>
    <w:r w:rsidRPr="00C732FA">
      <w:fldChar w:fldCharType="separate"/>
    </w:r>
    <w:r w:rsidR="000F11B7" w:rsidRPr="00C732FA">
      <w:instrText>0</w:instrText>
    </w:r>
    <w:r w:rsidRPr="00C732FA">
      <w:fldChar w:fldCharType="end"/>
    </w:r>
    <w:r w:rsidRPr="00C732FA">
      <w:instrText xml:space="preserve"> = 0 "</w:instrText>
    </w:r>
    <w:r w:rsidRPr="00C732FA">
      <w:fldChar w:fldCharType="begin" w:fldLock="1"/>
    </w:r>
    <w:r w:rsidRPr="00C732FA">
      <w:instrText xml:space="preserve"> PAGE </w:instrText>
    </w:r>
    <w:r w:rsidRPr="00C732FA">
      <w:fldChar w:fldCharType="separate"/>
    </w:r>
    <w:r w:rsidR="000F11B7" w:rsidRPr="00C732FA">
      <w:instrText>10</w:instrText>
    </w:r>
    <w:r w:rsidRPr="00C732FA">
      <w:fldChar w:fldCharType="end"/>
    </w:r>
  </w:p>
  <w:p w:rsidR="000F11B7" w:rsidRPr="00C732FA" w:rsidRDefault="00E456C4">
    <w:pPr>
      <w:pStyle w:val="SidfotV"/>
      <w:framePr w:w="8732" w:h="284" w:hRule="exact" w:hSpace="0" w:vSpace="0" w:wrap="around" w:xAlign="inside" w:y="13042" w:anchorLock="0"/>
    </w:pPr>
    <w:r w:rsidRPr="00C732FA">
      <w:instrText>""</w:instrText>
    </w:r>
    <w:r w:rsidRPr="00C732FA">
      <w:fldChar w:fldCharType="begin" w:fldLock="1"/>
    </w:r>
    <w:r w:rsidRPr="00C732FA">
      <w:instrText xml:space="preserve"> PAGE </w:instrText>
    </w:r>
    <w:r w:rsidRPr="00C732FA">
      <w:fldChar w:fldCharType="separate"/>
    </w:r>
    <w:r w:rsidRPr="00C732FA">
      <w:instrText>11</w:instrText>
    </w:r>
    <w:r w:rsidRPr="00C732FA">
      <w:fldChar w:fldCharType="end"/>
    </w:r>
    <w:r w:rsidRPr="00C732FA">
      <w:instrText>"</w:instrText>
    </w:r>
    <w:r w:rsidRPr="00C732FA">
      <w:fldChar w:fldCharType="separate"/>
    </w:r>
    <w:r w:rsidR="000F11B7" w:rsidRPr="00C732FA">
      <w:t>10</w:t>
    </w:r>
  </w:p>
  <w:p w:rsidR="00E456C4" w:rsidRPr="00C732FA" w:rsidRDefault="00E456C4">
    <w:pPr>
      <w:pStyle w:val="SidfotH"/>
      <w:framePr w:w="8732" w:h="284" w:hRule="exact" w:hSpace="0" w:vSpace="0" w:wrap="around" w:xAlign="inside" w:y="13042" w:anchorLock="0"/>
    </w:pPr>
    <w:r w:rsidRPr="00C732FA">
      <w:fldChar w:fldCharType="end"/>
    </w:r>
  </w:p>
  <w:p w:rsidR="00E456C4" w:rsidRPr="00C732FA" w:rsidRDefault="00E456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H"/>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Pr="00C732FA">
      <w:t>3</w:t>
    </w:r>
    <w:r w:rsidRPr="00C732FA">
      <w:fldChar w:fldCharType="end"/>
    </w:r>
  </w:p>
  <w:p w:rsidR="00E456C4" w:rsidRPr="00C732FA" w:rsidRDefault="00E456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if </w:instrText>
    </w:r>
    <w:r w:rsidRPr="00C732FA">
      <w:fldChar w:fldCharType="begin" w:fldLock="1"/>
    </w:r>
    <w:r w:rsidRPr="00C732FA">
      <w:instrText xml:space="preserve"> = </w:instrText>
    </w:r>
    <w:r w:rsidRPr="00C732FA">
      <w:fldChar w:fldCharType="begin" w:fldLock="1"/>
    </w:r>
    <w:r w:rsidRPr="00C732FA">
      <w:instrText xml:space="preserve"> = </w:instrText>
    </w:r>
    <w:r w:rsidRPr="00C732FA">
      <w:fldChar w:fldCharType="begin" w:fldLock="1"/>
    </w:r>
    <w:r w:rsidRPr="00C732FA">
      <w:instrText xml:space="preserve"> page</w:instrText>
    </w:r>
    <w:r w:rsidRPr="00C732FA">
      <w:fldChar w:fldCharType="separate"/>
    </w:r>
    <w:r w:rsidR="00C732FA">
      <w:rPr>
        <w:noProof/>
      </w:rPr>
      <w:instrText>1</w:instrText>
    </w:r>
    <w:r w:rsidRPr="00C732FA">
      <w:fldChar w:fldCharType="end"/>
    </w:r>
    <w:r w:rsidRPr="00C732FA">
      <w:instrText xml:space="preserve">/2 </w:instrText>
    </w:r>
    <w:r w:rsidRPr="00C732FA">
      <w:fldChar w:fldCharType="separate"/>
    </w:r>
    <w:r w:rsidR="00C732FA">
      <w:rPr>
        <w:noProof/>
      </w:rPr>
      <w:instrText>0,5</w:instrText>
    </w:r>
    <w:r w:rsidRPr="00C732FA">
      <w:fldChar w:fldCharType="end"/>
    </w:r>
    <w:r w:rsidRPr="00C732FA">
      <w:instrText xml:space="preserve"> - </w:instrText>
    </w:r>
    <w:r w:rsidRPr="00C732FA">
      <w:fldChar w:fldCharType="begin" w:fldLock="1"/>
    </w:r>
    <w:r w:rsidRPr="00C732FA">
      <w:instrText xml:space="preserve"> = int(</w:instrText>
    </w:r>
    <w:r w:rsidRPr="00C732FA">
      <w:fldChar w:fldCharType="begin" w:fldLock="1"/>
    </w:r>
    <w:r w:rsidRPr="00C732FA">
      <w:instrText xml:space="preserve"> page</w:instrText>
    </w:r>
    <w:r w:rsidRPr="00C732FA">
      <w:fldChar w:fldCharType="separate"/>
    </w:r>
    <w:r w:rsidR="00C732FA">
      <w:rPr>
        <w:noProof/>
      </w:rPr>
      <w:instrText>1</w:instrText>
    </w:r>
    <w:r w:rsidRPr="00C732FA">
      <w:fldChar w:fldCharType="end"/>
    </w:r>
    <w:r w:rsidRPr="00C732FA">
      <w:instrText xml:space="preserve">/2) </w:instrText>
    </w:r>
    <w:r w:rsidRPr="00C732FA">
      <w:fldChar w:fldCharType="separate"/>
    </w:r>
    <w:r w:rsidR="00C732FA">
      <w:rPr>
        <w:noProof/>
      </w:rPr>
      <w:instrText>0</w:instrText>
    </w:r>
    <w:r w:rsidRPr="00C732FA">
      <w:fldChar w:fldCharType="end"/>
    </w:r>
    <w:r w:rsidRPr="00C732FA">
      <w:fldChar w:fldCharType="separate"/>
    </w:r>
    <w:r w:rsidR="00C732FA">
      <w:rPr>
        <w:noProof/>
      </w:rPr>
      <w:instrText>0,5</w:instrText>
    </w:r>
    <w:r w:rsidRPr="00C732FA">
      <w:fldChar w:fldCharType="end"/>
    </w:r>
    <w:r w:rsidRPr="00C732FA">
      <w:instrText xml:space="preserve"> = 0 "</w:instrText>
    </w:r>
    <w:r w:rsidRPr="00C732FA">
      <w:fldChar w:fldCharType="begin" w:fldLock="1"/>
    </w:r>
    <w:r w:rsidRPr="00C732FA">
      <w:instrText xml:space="preserve"> PAGE </w:instrText>
    </w:r>
    <w:r w:rsidRPr="00C732FA">
      <w:fldChar w:fldCharType="separate"/>
    </w:r>
    <w:r w:rsidRPr="00C732FA">
      <w:instrText>2</w:instrText>
    </w:r>
    <w:r w:rsidRPr="00C732FA">
      <w:fldChar w:fldCharType="end"/>
    </w:r>
  </w:p>
  <w:p w:rsidR="00E456C4" w:rsidRPr="00C732FA" w:rsidRDefault="00E456C4">
    <w:pPr>
      <w:pStyle w:val="SidfotH"/>
      <w:framePr w:w="8732" w:h="284" w:hRule="exact" w:hSpace="0" w:vSpace="0" w:wrap="around" w:xAlign="inside" w:y="13042" w:anchorLock="0"/>
    </w:pPr>
    <w:r w:rsidRPr="00C732FA">
      <w:instrText>""</w:instrText>
    </w:r>
    <w:r w:rsidRPr="00C732FA">
      <w:fldChar w:fldCharType="begin" w:fldLock="1"/>
    </w:r>
    <w:r w:rsidRPr="00C732FA">
      <w:instrText xml:space="preserve"> PAGE </w:instrText>
    </w:r>
    <w:r w:rsidRPr="00C732FA">
      <w:fldChar w:fldCharType="separate"/>
    </w:r>
    <w:r w:rsidR="00C732FA">
      <w:rPr>
        <w:noProof/>
      </w:rPr>
      <w:instrText>1</w:instrText>
    </w:r>
    <w:r w:rsidRPr="00C732FA">
      <w:fldChar w:fldCharType="end"/>
    </w:r>
    <w:r w:rsidRPr="00C732FA">
      <w:instrText>"</w:instrText>
    </w:r>
    <w:r w:rsidRPr="00C732FA">
      <w:fldChar w:fldCharType="separate"/>
    </w:r>
    <w:r w:rsidR="00C732FA">
      <w:rPr>
        <w:noProof/>
      </w:rPr>
      <w:t>1</w:t>
    </w:r>
    <w:r w:rsidRPr="00C732FA">
      <w:fldChar w:fldCharType="end"/>
    </w:r>
  </w:p>
  <w:p w:rsidR="00E456C4" w:rsidRPr="00C732FA" w:rsidRDefault="00E456C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Pr="00C732FA">
      <w:t>2</w:t>
    </w:r>
    <w:r w:rsidRPr="00C732FA">
      <w:fldChar w:fldCharType="end"/>
    </w:r>
  </w:p>
  <w:p w:rsidR="00E456C4" w:rsidRPr="00C732FA" w:rsidRDefault="00E456C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H"/>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Pr="00C732FA">
      <w:t>3</w:t>
    </w:r>
    <w:r w:rsidRPr="00C732FA">
      <w:fldChar w:fldCharType="end"/>
    </w:r>
  </w:p>
  <w:p w:rsidR="00E456C4" w:rsidRPr="00C732FA" w:rsidRDefault="00E456C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if </w:instrText>
    </w:r>
    <w:r w:rsidRPr="00C732FA">
      <w:fldChar w:fldCharType="begin" w:fldLock="1"/>
    </w:r>
    <w:r w:rsidRPr="00C732FA">
      <w:instrText xml:space="preserve"> = </w:instrText>
    </w:r>
    <w:r w:rsidRPr="00C732FA">
      <w:fldChar w:fldCharType="begin" w:fldLock="1"/>
    </w:r>
    <w:r w:rsidRPr="00C732FA">
      <w:instrText xml:space="preserve"> = </w:instrText>
    </w:r>
    <w:r w:rsidRPr="00C732FA">
      <w:fldChar w:fldCharType="begin" w:fldLock="1"/>
    </w:r>
    <w:r w:rsidRPr="00C732FA">
      <w:instrText xml:space="preserve"> page</w:instrText>
    </w:r>
    <w:r w:rsidRPr="00C732FA">
      <w:fldChar w:fldCharType="separate"/>
    </w:r>
    <w:r w:rsidR="000F11B7" w:rsidRPr="00C732FA">
      <w:instrText>2</w:instrText>
    </w:r>
    <w:r w:rsidRPr="00C732FA">
      <w:fldChar w:fldCharType="end"/>
    </w:r>
    <w:r w:rsidRPr="00C732FA">
      <w:instrText xml:space="preserve">/2 </w:instrText>
    </w:r>
    <w:r w:rsidRPr="00C732FA">
      <w:fldChar w:fldCharType="separate"/>
    </w:r>
    <w:r w:rsidR="000F11B7" w:rsidRPr="00C732FA">
      <w:instrText>1</w:instrText>
    </w:r>
    <w:r w:rsidRPr="00C732FA">
      <w:fldChar w:fldCharType="end"/>
    </w:r>
    <w:r w:rsidRPr="00C732FA">
      <w:instrText xml:space="preserve"> - </w:instrText>
    </w:r>
    <w:r w:rsidRPr="00C732FA">
      <w:fldChar w:fldCharType="begin" w:fldLock="1"/>
    </w:r>
    <w:r w:rsidRPr="00C732FA">
      <w:instrText xml:space="preserve"> = int(</w:instrText>
    </w:r>
    <w:r w:rsidRPr="00C732FA">
      <w:fldChar w:fldCharType="begin" w:fldLock="1"/>
    </w:r>
    <w:r w:rsidRPr="00C732FA">
      <w:instrText xml:space="preserve"> page</w:instrText>
    </w:r>
    <w:r w:rsidRPr="00C732FA">
      <w:fldChar w:fldCharType="separate"/>
    </w:r>
    <w:r w:rsidR="000F11B7" w:rsidRPr="00C732FA">
      <w:instrText>2</w:instrText>
    </w:r>
    <w:r w:rsidRPr="00C732FA">
      <w:fldChar w:fldCharType="end"/>
    </w:r>
    <w:r w:rsidRPr="00C732FA">
      <w:instrText xml:space="preserve">/2) </w:instrText>
    </w:r>
    <w:r w:rsidRPr="00C732FA">
      <w:fldChar w:fldCharType="separate"/>
    </w:r>
    <w:r w:rsidR="000F11B7" w:rsidRPr="00C732FA">
      <w:instrText>1</w:instrText>
    </w:r>
    <w:r w:rsidRPr="00C732FA">
      <w:fldChar w:fldCharType="end"/>
    </w:r>
    <w:r w:rsidRPr="00C732FA">
      <w:fldChar w:fldCharType="separate"/>
    </w:r>
    <w:r w:rsidR="000F11B7" w:rsidRPr="00C732FA">
      <w:instrText>0</w:instrText>
    </w:r>
    <w:r w:rsidRPr="00C732FA">
      <w:fldChar w:fldCharType="end"/>
    </w:r>
    <w:r w:rsidRPr="00C732FA">
      <w:instrText xml:space="preserve"> = 0 "</w:instrText>
    </w:r>
    <w:r w:rsidRPr="00C732FA">
      <w:fldChar w:fldCharType="begin" w:fldLock="1"/>
    </w:r>
    <w:r w:rsidRPr="00C732FA">
      <w:instrText xml:space="preserve"> PAGE </w:instrText>
    </w:r>
    <w:r w:rsidRPr="00C732FA">
      <w:fldChar w:fldCharType="separate"/>
    </w:r>
    <w:r w:rsidR="000F11B7" w:rsidRPr="00C732FA">
      <w:instrText>2</w:instrText>
    </w:r>
    <w:r w:rsidRPr="00C732FA">
      <w:fldChar w:fldCharType="end"/>
    </w:r>
  </w:p>
  <w:p w:rsidR="000F11B7" w:rsidRPr="00C732FA" w:rsidRDefault="00E456C4">
    <w:pPr>
      <w:pStyle w:val="SidfotV"/>
      <w:framePr w:w="8732" w:h="284" w:hRule="exact" w:hSpace="0" w:vSpace="0" w:wrap="around" w:xAlign="inside" w:y="13042" w:anchorLock="0"/>
    </w:pPr>
    <w:r w:rsidRPr="00C732FA">
      <w:instrText>""</w:instrText>
    </w:r>
    <w:r w:rsidRPr="00C732FA">
      <w:fldChar w:fldCharType="begin" w:fldLock="1"/>
    </w:r>
    <w:r w:rsidRPr="00C732FA">
      <w:instrText xml:space="preserve"> PAGE </w:instrText>
    </w:r>
    <w:r w:rsidRPr="00C732FA">
      <w:fldChar w:fldCharType="separate"/>
    </w:r>
    <w:r w:rsidRPr="00C732FA">
      <w:instrText>3</w:instrText>
    </w:r>
    <w:r w:rsidRPr="00C732FA">
      <w:fldChar w:fldCharType="end"/>
    </w:r>
    <w:r w:rsidRPr="00C732FA">
      <w:instrText>"</w:instrText>
    </w:r>
    <w:r w:rsidRPr="00C732FA">
      <w:fldChar w:fldCharType="separate"/>
    </w:r>
    <w:r w:rsidR="000F11B7" w:rsidRPr="00C732FA">
      <w:t>2</w:t>
    </w:r>
  </w:p>
  <w:p w:rsidR="00E456C4" w:rsidRPr="00C732FA" w:rsidRDefault="00E456C4">
    <w:pPr>
      <w:pStyle w:val="SidfotH"/>
      <w:framePr w:w="8732" w:h="284" w:hRule="exact" w:hSpace="0" w:vSpace="0" w:wrap="around" w:xAlign="inside" w:y="13042" w:anchorLock="0"/>
    </w:pPr>
    <w:r w:rsidRPr="00C732FA">
      <w:fldChar w:fldCharType="end"/>
    </w:r>
  </w:p>
  <w:p w:rsidR="00E456C4" w:rsidRPr="00C732FA" w:rsidRDefault="00E456C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Pr="00C732FA">
      <w:t>2</w:t>
    </w:r>
    <w:r w:rsidRPr="00C732FA">
      <w:fldChar w:fldCharType="end"/>
    </w:r>
  </w:p>
  <w:p w:rsidR="00E456C4" w:rsidRPr="00C732FA" w:rsidRDefault="00E456C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H"/>
      <w:framePr w:w="8732" w:h="284" w:hRule="exact" w:hSpace="0" w:vSpace="0" w:wrap="around" w:xAlign="inside" w:y="13042" w:anchorLock="0"/>
    </w:pPr>
    <w:r w:rsidRPr="00C732FA">
      <w:fldChar w:fldCharType="begin" w:fldLock="1"/>
    </w:r>
    <w:r w:rsidRPr="00C732FA">
      <w:instrText xml:space="preserve"> PAGE </w:instrText>
    </w:r>
    <w:r w:rsidRPr="00C732FA">
      <w:fldChar w:fldCharType="separate"/>
    </w:r>
    <w:r w:rsidRPr="00C732FA">
      <w:t>3</w:t>
    </w:r>
    <w:r w:rsidRPr="00C732FA">
      <w:fldChar w:fldCharType="end"/>
    </w:r>
  </w:p>
  <w:p w:rsidR="00E456C4" w:rsidRPr="00C732FA" w:rsidRDefault="00E456C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fotV"/>
      <w:framePr w:w="8732" w:h="284" w:hRule="exact" w:hSpace="0" w:vSpace="0" w:wrap="around" w:xAlign="inside" w:y="13042" w:anchorLock="0"/>
    </w:pPr>
    <w:r w:rsidRPr="00C732FA">
      <w:fldChar w:fldCharType="begin" w:fldLock="1"/>
    </w:r>
    <w:r w:rsidRPr="00C732FA">
      <w:instrText xml:space="preserve"> if </w:instrText>
    </w:r>
    <w:r w:rsidRPr="00C732FA">
      <w:fldChar w:fldCharType="begin" w:fldLock="1"/>
    </w:r>
    <w:r w:rsidRPr="00C732FA">
      <w:instrText xml:space="preserve"> = </w:instrText>
    </w:r>
    <w:r w:rsidRPr="00C732FA">
      <w:fldChar w:fldCharType="begin" w:fldLock="1"/>
    </w:r>
    <w:r w:rsidRPr="00C732FA">
      <w:instrText xml:space="preserve"> = </w:instrText>
    </w:r>
    <w:r w:rsidRPr="00C732FA">
      <w:fldChar w:fldCharType="begin" w:fldLock="1"/>
    </w:r>
    <w:r w:rsidRPr="00C732FA">
      <w:instrText xml:space="preserve"> page</w:instrText>
    </w:r>
    <w:r w:rsidRPr="00C732FA">
      <w:fldChar w:fldCharType="separate"/>
    </w:r>
    <w:r w:rsidR="000F11B7" w:rsidRPr="00C732FA">
      <w:instrText>3</w:instrText>
    </w:r>
    <w:r w:rsidRPr="00C732FA">
      <w:fldChar w:fldCharType="end"/>
    </w:r>
    <w:r w:rsidRPr="00C732FA">
      <w:instrText xml:space="preserve">/2 </w:instrText>
    </w:r>
    <w:r w:rsidRPr="00C732FA">
      <w:fldChar w:fldCharType="separate"/>
    </w:r>
    <w:r w:rsidR="000F11B7" w:rsidRPr="00C732FA">
      <w:instrText>1,5</w:instrText>
    </w:r>
    <w:r w:rsidRPr="00C732FA">
      <w:fldChar w:fldCharType="end"/>
    </w:r>
    <w:r w:rsidRPr="00C732FA">
      <w:instrText xml:space="preserve"> - </w:instrText>
    </w:r>
    <w:r w:rsidRPr="00C732FA">
      <w:fldChar w:fldCharType="begin" w:fldLock="1"/>
    </w:r>
    <w:r w:rsidRPr="00C732FA">
      <w:instrText xml:space="preserve"> = int(</w:instrText>
    </w:r>
    <w:r w:rsidRPr="00C732FA">
      <w:fldChar w:fldCharType="begin" w:fldLock="1"/>
    </w:r>
    <w:r w:rsidRPr="00C732FA">
      <w:instrText xml:space="preserve"> page</w:instrText>
    </w:r>
    <w:r w:rsidRPr="00C732FA">
      <w:fldChar w:fldCharType="separate"/>
    </w:r>
    <w:r w:rsidR="000F11B7" w:rsidRPr="00C732FA">
      <w:instrText>3</w:instrText>
    </w:r>
    <w:r w:rsidRPr="00C732FA">
      <w:fldChar w:fldCharType="end"/>
    </w:r>
    <w:r w:rsidRPr="00C732FA">
      <w:instrText xml:space="preserve">/2) </w:instrText>
    </w:r>
    <w:r w:rsidRPr="00C732FA">
      <w:fldChar w:fldCharType="separate"/>
    </w:r>
    <w:r w:rsidR="000F11B7" w:rsidRPr="00C732FA">
      <w:instrText>1</w:instrText>
    </w:r>
    <w:r w:rsidRPr="00C732FA">
      <w:fldChar w:fldCharType="end"/>
    </w:r>
    <w:r w:rsidRPr="00C732FA">
      <w:fldChar w:fldCharType="separate"/>
    </w:r>
    <w:r w:rsidR="000F11B7" w:rsidRPr="00C732FA">
      <w:instrText>0,5</w:instrText>
    </w:r>
    <w:r w:rsidRPr="00C732FA">
      <w:fldChar w:fldCharType="end"/>
    </w:r>
    <w:r w:rsidRPr="00C732FA">
      <w:instrText xml:space="preserve"> = 0 "</w:instrText>
    </w:r>
    <w:r w:rsidRPr="00C732FA">
      <w:fldChar w:fldCharType="begin" w:fldLock="1"/>
    </w:r>
    <w:r w:rsidRPr="00C732FA">
      <w:instrText xml:space="preserve"> PAGE </w:instrText>
    </w:r>
    <w:r w:rsidRPr="00C732FA">
      <w:fldChar w:fldCharType="separate"/>
    </w:r>
    <w:r w:rsidRPr="00C732FA">
      <w:instrText>2</w:instrText>
    </w:r>
    <w:r w:rsidRPr="00C732FA">
      <w:fldChar w:fldCharType="end"/>
    </w:r>
  </w:p>
  <w:p w:rsidR="00E456C4" w:rsidRPr="00C732FA" w:rsidRDefault="00E456C4">
    <w:pPr>
      <w:pStyle w:val="SidfotH"/>
      <w:framePr w:w="8732" w:h="284" w:hRule="exact" w:hSpace="0" w:vSpace="0" w:wrap="around" w:xAlign="inside" w:y="13042" w:anchorLock="0"/>
    </w:pPr>
    <w:r w:rsidRPr="00C732FA">
      <w:instrText>""</w:instrText>
    </w:r>
    <w:r w:rsidRPr="00C732FA">
      <w:fldChar w:fldCharType="begin" w:fldLock="1"/>
    </w:r>
    <w:r w:rsidRPr="00C732FA">
      <w:instrText xml:space="preserve"> PAGE </w:instrText>
    </w:r>
    <w:r w:rsidRPr="00C732FA">
      <w:fldChar w:fldCharType="separate"/>
    </w:r>
    <w:r w:rsidR="000F11B7" w:rsidRPr="00C732FA">
      <w:instrText>3</w:instrText>
    </w:r>
    <w:r w:rsidRPr="00C732FA">
      <w:fldChar w:fldCharType="end"/>
    </w:r>
    <w:r w:rsidRPr="00C732FA">
      <w:instrText>"</w:instrText>
    </w:r>
    <w:r w:rsidRPr="00C732FA">
      <w:fldChar w:fldCharType="separate"/>
    </w:r>
    <w:r w:rsidR="000F11B7" w:rsidRPr="00C732FA">
      <w:t>3</w:t>
    </w:r>
    <w:r w:rsidRPr="00C732FA">
      <w:fldChar w:fldCharType="end"/>
    </w:r>
  </w:p>
  <w:p w:rsidR="00E456C4" w:rsidRPr="00C732FA" w:rsidRDefault="00E45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6C4" w:rsidRPr="00C732FA" w:rsidRDefault="00E456C4">
      <w:pPr>
        <w:pStyle w:val="Sidfot"/>
      </w:pPr>
    </w:p>
  </w:footnote>
  <w:footnote w:type="continuationSeparator" w:id="0">
    <w:p w:rsidR="00E456C4" w:rsidRPr="00C732FA" w:rsidRDefault="00E456C4">
      <w:pPr>
        <w:spacing w:before="0" w:line="240" w:lineRule="auto"/>
      </w:pPr>
      <w:r w:rsidRPr="00C732FA">
        <w:continuationSeparator/>
      </w:r>
    </w:p>
  </w:footnote>
  <w:footnote w:id="1">
    <w:p w:rsidR="00E456C4" w:rsidRPr="00C732FA" w:rsidRDefault="00E456C4" w:rsidP="002C5DE9">
      <w:pPr>
        <w:pStyle w:val="Fotnotstext"/>
      </w:pPr>
      <w:r w:rsidRPr="00C732FA">
        <w:rPr>
          <w:rStyle w:val="Fotnotsreferens"/>
        </w:rPr>
        <w:footnoteRef/>
      </w:r>
      <w:r w:rsidRPr="00C732FA">
        <w:t xml:space="preserve"> Genom ändringar som trädde i kraft den 30 juni 2009  gäller garantin alternativt 50 000 euro om detta är ett högre belopp.</w:t>
      </w:r>
    </w:p>
  </w:footnote>
  <w:footnote w:id="2">
    <w:p w:rsidR="00E456C4" w:rsidRPr="00C732FA" w:rsidRDefault="00E456C4" w:rsidP="002C5DE9">
      <w:pPr>
        <w:pStyle w:val="Fotnotstext"/>
      </w:pPr>
      <w:r w:rsidRPr="00C732FA">
        <w:rPr>
          <w:rStyle w:val="Fotnotsreferens"/>
        </w:rPr>
        <w:footnoteRef/>
      </w:r>
      <w:r w:rsidRPr="00C732FA">
        <w:t xml:space="preserve"> I budgetpropositionen för 2010 föreslogs garantiramarna för 2010 bli 250 miljarder kronor för SEK samt 500 miljarder kronor för EKN.</w:t>
      </w:r>
    </w:p>
  </w:footnote>
  <w:footnote w:id="3">
    <w:p w:rsidR="00E456C4" w:rsidRPr="00C732FA" w:rsidRDefault="00E456C4" w:rsidP="002C5DE9">
      <w:pPr>
        <w:pStyle w:val="Fotnotstext"/>
      </w:pPr>
      <w:r w:rsidRPr="00C732FA">
        <w:rPr>
          <w:rStyle w:val="Fotnotsreferens"/>
        </w:rPr>
        <w:footnoteRef/>
      </w:r>
      <w:r w:rsidRPr="00C732FA">
        <w:t xml:space="preserve"> Regeringen har i Årsredovisning för staten 2008 angett den lägre siffran. I Studier i finanspolitik anger Finanspolitiska rådet att utvidgningen till fler kontotyper gör att garantiåtagandet kan vara så högt som 900 till 1 000 miljarder kronor.</w:t>
      </w:r>
    </w:p>
  </w:footnote>
  <w:footnote w:id="4">
    <w:p w:rsidR="00E456C4" w:rsidRPr="00C732FA" w:rsidRDefault="00E456C4" w:rsidP="002C5DE9">
      <w:pPr>
        <w:pStyle w:val="Fotnotstext"/>
      </w:pPr>
      <w:r w:rsidRPr="00C732FA">
        <w:rPr>
          <w:rStyle w:val="Fotnotsreferens"/>
        </w:rPr>
        <w:footnoteRef/>
      </w:r>
      <w:r w:rsidRPr="00C732FA">
        <w:t xml:space="preserve"> Förlängd till april 2010 enligt regeringsbeslut den 8 oktober 2009.</w:t>
      </w:r>
    </w:p>
  </w:footnote>
  <w:footnote w:id="5">
    <w:p w:rsidR="00E456C4" w:rsidRPr="00C732FA" w:rsidRDefault="00E456C4" w:rsidP="002C5DE9">
      <w:pPr>
        <w:pStyle w:val="Fotnotstext"/>
      </w:pPr>
      <w:r w:rsidRPr="00C732FA">
        <w:rPr>
          <w:rStyle w:val="Fotnotsreferens"/>
        </w:rPr>
        <w:footnoteRef/>
      </w:r>
      <w:r w:rsidRPr="00C732FA">
        <w:t xml:space="preserve"> Enligt Riksgäldskontorets webbplats i november 2009. </w:t>
      </w:r>
    </w:p>
  </w:footnote>
  <w:footnote w:id="6">
    <w:p w:rsidR="00E456C4" w:rsidRPr="00C732FA" w:rsidRDefault="00E456C4" w:rsidP="002C5DE9">
      <w:pPr>
        <w:pStyle w:val="Fotnotstext"/>
        <w:rPr>
          <w:color w:val="FF0000"/>
        </w:rPr>
      </w:pPr>
      <w:r w:rsidRPr="00C732FA">
        <w:rPr>
          <w:rStyle w:val="Fotnotsreferens"/>
        </w:rPr>
        <w:footnoteRef/>
      </w:r>
      <w:r w:rsidRPr="00C732FA">
        <w:t xml:space="preserve"> Regeringen anger siffran 252 miljarder kronor för utnyttjade exportkreditgarantier i budgetpropositionen för 2010.  Här anges i stället den uppgift som EKN rapporterar i delårsbokslutet om vad som utnyttjats per den 30 september 2009</w:t>
      </w:r>
      <w:r w:rsidRPr="00C732FA">
        <w:rPr>
          <w:color w:val="FF0000"/>
        </w:rPr>
        <w:t xml:space="preserve">. </w:t>
      </w:r>
    </w:p>
  </w:footnote>
  <w:footnote w:id="7">
    <w:p w:rsidR="00E456C4" w:rsidRPr="00C732FA" w:rsidRDefault="00E456C4" w:rsidP="002C5DE9">
      <w:pPr>
        <w:pStyle w:val="Fotnotstext"/>
      </w:pPr>
      <w:r w:rsidRPr="00C732FA">
        <w:rPr>
          <w:rStyle w:val="Fotnotsreferens"/>
        </w:rPr>
        <w:footnoteRef/>
      </w:r>
      <w:r w:rsidRPr="00C732FA">
        <w:t xml:space="preserve"> </w:t>
      </w:r>
      <w:r w:rsidRPr="00C732FA">
        <w:rPr>
          <w:szCs w:val="16"/>
        </w:rPr>
        <w:t>2 kap. 2 §.</w:t>
      </w:r>
    </w:p>
  </w:footnote>
  <w:footnote w:id="8">
    <w:p w:rsidR="00E456C4" w:rsidRPr="00C732FA" w:rsidRDefault="00E456C4" w:rsidP="002C5DE9">
      <w:pPr>
        <w:pStyle w:val="Fotnotstext"/>
      </w:pPr>
      <w:r w:rsidRPr="00C732FA">
        <w:rPr>
          <w:rStyle w:val="Fotnotsreferens"/>
        </w:rPr>
        <w:footnoteRef/>
      </w:r>
      <w:r w:rsidRPr="00C732FA">
        <w:t xml:space="preserve"> Finansdepartementet. Promemoria 2009-10-28. </w:t>
      </w:r>
      <w:r w:rsidRPr="00C732FA">
        <w:rPr>
          <w:i/>
        </w:rPr>
        <w:t>Korta svar på Riksrevisionens frågor om garantiprogrammet.</w:t>
      </w:r>
      <w:r w:rsidRPr="00C732FA">
        <w:t xml:space="preserve"> </w:t>
      </w:r>
    </w:p>
    <w:p w:rsidR="00E456C4" w:rsidRPr="00C732FA" w:rsidRDefault="00E456C4" w:rsidP="002C5DE9">
      <w:pPr>
        <w:pStyle w:val="Fotnotstext"/>
      </w:pPr>
    </w:p>
  </w:footnote>
  <w:footnote w:id="9">
    <w:p w:rsidR="00E456C4" w:rsidRPr="00C732FA" w:rsidRDefault="00E456C4" w:rsidP="002C5DE9">
      <w:pPr>
        <w:pStyle w:val="Fotnotstext"/>
      </w:pPr>
      <w:r w:rsidRPr="00C732FA">
        <w:rPr>
          <w:rStyle w:val="Fotnotsreferens"/>
        </w:rPr>
        <w:footnoteRef/>
      </w:r>
      <w:r w:rsidRPr="00C732FA">
        <w:t xml:space="preserve"> Enligt uppgift från Finansdepartementet i december har dock ett tilläggsuppdrag lämnats med denna innebörd.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huvudKantJmn"/>
      <w:framePr w:w="8732" w:h="567" w:hRule="exact" w:vSpace="0" w:wrap="around" w:vAnchor="page" w:y="341" w:anchorLock="0"/>
    </w:pPr>
    <w:r w:rsidRPr="00C732FA">
      <w:rPr>
        <w:rStyle w:val="SidhuvudUtskott"/>
      </w:rPr>
      <w:fldChar w:fldCharType="begin" w:fldLock="1"/>
    </w:r>
    <w:r w:rsidRPr="00C732FA">
      <w:rPr>
        <w:rStyle w:val="SidhuvudUtskott"/>
      </w:rPr>
      <w:instrText xml:space="preserve"> DOCPROPERTY BetänkandeÅr</w:instrText>
    </w:r>
    <w:r w:rsidRPr="00C732FA">
      <w:rPr>
        <w:rStyle w:val="SidhuvudUtskott"/>
      </w:rPr>
      <w:fldChar w:fldCharType="separate"/>
    </w:r>
    <w:r w:rsidRPr="00C732FA">
      <w:rPr>
        <w:rStyle w:val="SidhuvudUtskott"/>
      </w:rPr>
      <w:t>2009/10</w:t>
    </w:r>
    <w:r w:rsidRPr="00C732FA">
      <w:rPr>
        <w:rStyle w:val="SidhuvudUtskott"/>
      </w:rPr>
      <w:fldChar w:fldCharType="end"/>
    </w:r>
    <w:r w:rsidRPr="00C732FA">
      <w:rPr>
        <w:rStyle w:val="SidhuvudUtskott"/>
      </w:rPr>
      <w:t>:</w:t>
    </w:r>
    <w:r w:rsidRPr="00C732FA">
      <w:rPr>
        <w:rStyle w:val="SidhuvudUtskott"/>
      </w:rPr>
      <w:fldChar w:fldCharType="begin" w:fldLock="1"/>
    </w:r>
    <w:r w:rsidRPr="00C732FA">
      <w:rPr>
        <w:rStyle w:val="SidhuvudUtskott"/>
      </w:rPr>
      <w:instrText xml:space="preserve"> DOCPROPERTY Utskott</w:instrText>
    </w:r>
    <w:r w:rsidRPr="00C732FA">
      <w:rPr>
        <w:rStyle w:val="SidhuvudUtskott"/>
      </w:rPr>
      <w:fldChar w:fldCharType="separate"/>
    </w:r>
    <w:r w:rsidRPr="00C732FA">
      <w:rPr>
        <w:rStyle w:val="SidhuvudUtskott"/>
      </w:rPr>
      <w:t>RRS</w: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BetänkandeNr</w:instrText>
    </w:r>
    <w:r w:rsidRPr="00C732FA">
      <w:rPr>
        <w:rStyle w:val="SidhuvudUtskott"/>
      </w:rPr>
      <w:fldChar w:fldCharType="separate"/>
    </w:r>
    <w:r w:rsidRPr="00C732FA">
      <w:rPr>
        <w:rStyle w:val="SidhuvudUtskott"/>
      </w:rPr>
      <w:t>20</w:t>
    </w:r>
    <w:r w:rsidRPr="00C732FA">
      <w:rPr>
        <w:rStyle w:val="SidhuvudUtskott"/>
      </w:rPr>
      <w:fldChar w:fldCharType="end"/>
    </w:r>
    <w:r w:rsidRPr="00C732FA">
      <w:t xml:space="preserve">     </w:t>
    </w:r>
    <w:r w:rsidRPr="00C732FA">
      <w:rPr>
        <w:rStyle w:val="SidhuvudBilaga"/>
      </w:rPr>
      <w:t xml:space="preserve"> </w:t>
    </w:r>
    <w:r w:rsidRPr="00C732FA">
      <w:rPr>
        <w:rStyle w:val="SidhuvudRubrikReferens"/>
      </w:rPr>
      <w:fldChar w:fldCharType="begin" w:fldLock="1"/>
    </w:r>
    <w:r w:rsidRPr="00C732FA">
      <w:rPr>
        <w:rStyle w:val="SidhuvudRubrikReferens"/>
      </w:rPr>
      <w:instrText xml:space="preserve"> StyleREF "Rubrik 1" </w:instrText>
    </w:r>
    <w:r w:rsidRPr="00C732FA">
      <w:rPr>
        <w:rStyle w:val="SidhuvudRubrikReferens"/>
      </w:rPr>
      <w:fldChar w:fldCharType="separate"/>
    </w:r>
    <w:r w:rsidRPr="00C732FA">
      <w:rPr>
        <w:rStyle w:val="SidhuvudRubrikReferens"/>
      </w:rPr>
      <w:t>Sammanfattning</w:t>
    </w:r>
    <w:r w:rsidRPr="00C732FA">
      <w:rPr>
        <w:rStyle w:val="SidhuvudRubrikReferens"/>
      </w:rPr>
      <w:fldChar w:fldCharType="end"/>
    </w:r>
  </w:p>
  <w:p w:rsidR="00E456C4" w:rsidRPr="00C732FA" w:rsidRDefault="00E456C4">
    <w:pPr>
      <w:pStyle w:val="SidhuvudKantJmn"/>
      <w:framePr w:w="8732" w:h="567" w:hRule="exact" w:vSpace="0" w:wrap="around" w:vAnchor="page" w:y="341" w:anchorLock="0"/>
    </w:pPr>
    <w:r w:rsidRPr="00C732FA">
      <w:rPr>
        <w:rStyle w:val="SidhuvudUtskott"/>
      </w:rPr>
      <w:fldChar w:fldCharType="begin" w:fldLock="1"/>
    </w:r>
    <w:r w:rsidRPr="00C732FA">
      <w:rPr>
        <w:rStyle w:val="SidhuvudUtskott"/>
      </w:rPr>
      <w:instrText xml:space="preserve"> DOCPROPERTY Status</w:instrText>
    </w:r>
    <w:r w:rsidRPr="00C732FA">
      <w:rPr>
        <w:rStyle w:val="SidhuvudUtskott"/>
      </w:rPr>
      <w:fldChar w:fldCharType="end"/>
    </w:r>
    <w:r w:rsidRPr="00C732FA">
      <w:rPr>
        <w:rStyle w:val="SidhuvudUtskott"/>
      </w:rPr>
      <w:fldChar w:fldCharType="begin" w:fldLock="1"/>
    </w:r>
    <w:r w:rsidRPr="00C732FA">
      <w:rPr>
        <w:rStyle w:val="SidhuvudUtskott"/>
      </w:rPr>
      <w:instrText xml:space="preserve"> if </w:instrText>
    </w:r>
    <w:r w:rsidRPr="00C732FA">
      <w:rPr>
        <w:rStyle w:val="SidhuvudUtskott"/>
      </w:rPr>
      <w:fldChar w:fldCharType="begin" w:fldLock="1"/>
    </w:r>
    <w:r w:rsidRPr="00C732FA">
      <w:rPr>
        <w:rStyle w:val="SidhuvudUtskott"/>
      </w:rPr>
      <w:instrText xml:space="preserve"> DOCPROPERTY "UtkastDatum"</w:instrText>
    </w:r>
    <w:r w:rsidRPr="00C732FA">
      <w:rPr>
        <w:rStyle w:val="SidhuvudUtskott"/>
      </w:rPr>
      <w:fldChar w:fldCharType="separate"/>
    </w:r>
    <w:r w:rsidRPr="00C732FA">
      <w:rPr>
        <w:rStyle w:val="SidhuvudUtskott"/>
      </w:rPr>
      <w:instrText>Nej</w:instrText>
    </w:r>
    <w:r w:rsidRPr="00C732FA">
      <w:rPr>
        <w:rStyle w:val="SidhuvudUtskott"/>
      </w:rPr>
      <w:fldChar w:fldCharType="end"/>
    </w:r>
    <w:r w:rsidRPr="00C732FA">
      <w:rPr>
        <w:rStyle w:val="SidhuvudUtskott"/>
      </w:rPr>
      <w:instrText xml:space="preserve"> = "Ja" "    </w:instrText>
    </w:r>
    <w:r w:rsidRPr="00C732FA">
      <w:rPr>
        <w:rStyle w:val="SidhuvudUtskott"/>
      </w:rPr>
      <w:fldChar w:fldCharType="begin" w:fldLock="1"/>
    </w:r>
    <w:r w:rsidRPr="00C732FA">
      <w:rPr>
        <w:rStyle w:val="SidhuvudUtskott"/>
      </w:rPr>
      <w:instrText xml:space="preserve"> PRINTDATE \@ "yyyy-MM-dd HH.mm" </w:instrText>
    </w:r>
    <w:r w:rsidRPr="00C732FA">
      <w:rPr>
        <w:rStyle w:val="SidhuvudUtskott"/>
      </w:rPr>
      <w:fldChar w:fldCharType="separate"/>
    </w:r>
    <w:r w:rsidRPr="00C732FA">
      <w:rPr>
        <w:rStyle w:val="SidhuvudUtskott"/>
      </w:rPr>
      <w:instrText>2000-08-11 16.42</w:instrText>
    </w:r>
    <w:r w:rsidRPr="00C732FA">
      <w:rPr>
        <w:rStyle w:val="SidhuvudUtskott"/>
      </w:rPr>
      <w:fldChar w:fldCharType="end"/>
    </w:r>
    <w:r w:rsidRPr="00C732FA">
      <w:rPr>
        <w:rStyle w:val="SidhuvudUtskott"/>
      </w:rPr>
      <w:instrText xml:space="preserve">" </w:instrText>
    </w:r>
    <w:r w:rsidRPr="00C732FA">
      <w:rPr>
        <w:rStyle w:val="SidhuvudUtskott"/>
      </w:rPr>
      <w:fldChar w:fldCharType="end"/>
    </w:r>
  </w:p>
  <w:p w:rsidR="00E456C4" w:rsidRPr="00C732FA" w:rsidRDefault="00E456C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huvudKantJmn"/>
      <w:framePr w:w="8732" w:h="567" w:hRule="exact" w:vSpace="0" w:wrap="around" w:vAnchor="page" w:y="341" w:anchorLock="0"/>
    </w:pPr>
    <w:r w:rsidRPr="00C732FA">
      <w:rPr>
        <w:rStyle w:val="SidhuvudUtskott"/>
      </w:rPr>
      <w:t>2009/10:RRS20</w:t>
    </w:r>
    <w:r w:rsidRPr="00C732FA">
      <w:t xml:space="preserve">     </w:t>
    </w:r>
    <w:r w:rsidRPr="00C732FA">
      <w:rPr>
        <w:rStyle w:val="SidhuvudBilaga"/>
      </w:rPr>
      <w:t xml:space="preserve"> </w:t>
    </w:r>
    <w:r w:rsidR="000F11B7" w:rsidRPr="00C732FA">
      <w:rPr>
        <w:rStyle w:val="SidhuvudRubrikReferens"/>
      </w:rPr>
      <w:t>Riksrevisionens granskning</w:t>
    </w:r>
  </w:p>
  <w:p w:rsidR="00E456C4" w:rsidRPr="00C732FA" w:rsidRDefault="00E456C4">
    <w:pPr>
      <w:pStyle w:val="SidhuvudKantJmn"/>
      <w:framePr w:w="8732" w:h="567" w:hRule="exact" w:vSpace="0" w:wrap="around" w:vAnchor="page" w:y="341" w:anchorLock="0"/>
    </w:pPr>
  </w:p>
  <w:p w:rsidR="00E456C4" w:rsidRPr="00C732FA" w:rsidRDefault="00E456C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0F11B7">
    <w:pPr>
      <w:pStyle w:val="SidhuvudKantUdda"/>
      <w:framePr w:w="8732" w:h="567" w:hRule="exact" w:vSpace="0" w:wrap="around" w:vAnchor="page" w:y="341" w:anchorLock="0"/>
    </w:pPr>
    <w:r w:rsidRPr="00C732FA">
      <w:rPr>
        <w:rStyle w:val="SidhuvudRubrikReferens"/>
      </w:rPr>
      <w:t>Riksrevisionens granskning</w:t>
    </w:r>
    <w:r w:rsidR="00E456C4" w:rsidRPr="00C732FA">
      <w:rPr>
        <w:rStyle w:val="SidhuvudBilaga"/>
      </w:rPr>
      <w:t xml:space="preserve"> </w:t>
    </w:r>
    <w:r w:rsidR="00E456C4" w:rsidRPr="00C732FA">
      <w:t xml:space="preserve">     </w:t>
    </w:r>
    <w:r w:rsidR="00E456C4" w:rsidRPr="00C732FA">
      <w:rPr>
        <w:rStyle w:val="SidhuvudUtskott"/>
      </w:rPr>
      <w:t>2009/10:RRS20</w:t>
    </w:r>
  </w:p>
  <w:p w:rsidR="00E456C4" w:rsidRPr="00C732FA" w:rsidRDefault="00E456C4">
    <w:pPr>
      <w:pStyle w:val="SidhuvudKantUdda"/>
      <w:framePr w:w="8732" w:h="567" w:hRule="exact" w:vSpace="0" w:wrap="around" w:vAnchor="page" w:y="341" w:anchorLock="0"/>
    </w:pPr>
  </w:p>
  <w:p w:rsidR="00E456C4" w:rsidRPr="00C732FA" w:rsidRDefault="00E456C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B7" w:rsidRPr="00C732FA" w:rsidRDefault="000F11B7">
    <w:pPr>
      <w:pStyle w:val="SidhuvudKantJmn"/>
      <w:framePr w:w="8732" w:h="567" w:hRule="exact" w:vSpace="0" w:wrap="around" w:vAnchor="page" w:y="341" w:anchorLock="0"/>
    </w:pPr>
    <w:r w:rsidRPr="00C732FA">
      <w:rPr>
        <w:rStyle w:val="SidhuvudUtskott"/>
      </w:rPr>
      <w:t>2009/10:RRS20</w:t>
    </w:r>
    <w:r w:rsidRPr="00C732FA">
      <w:t xml:space="preserve">    </w:t>
    </w:r>
  </w:p>
  <w:p w:rsidR="000F11B7" w:rsidRPr="00C732FA" w:rsidRDefault="000F11B7">
    <w:pPr>
      <w:pStyle w:val="SidhuvudKantJmn"/>
      <w:framePr w:w="8732" w:h="567" w:hRule="exact" w:vSpace="0" w:wrap="around" w:vAnchor="page" w:y="341" w:anchorLock="0"/>
    </w:pPr>
  </w:p>
  <w:p w:rsidR="00E456C4" w:rsidRPr="00C732FA" w:rsidRDefault="000F11B7">
    <w:pPr>
      <w:pStyle w:val="SidhuvudKantUdda"/>
      <w:framePr w:w="8732" w:h="567" w:hRule="exact" w:vSpace="0" w:wrap="around" w:vAnchor="page" w:y="341" w:anchorLock="0"/>
    </w:pPr>
    <w:r w:rsidRPr="00C732FA">
      <w:rPr>
        <w:rStyle w:val="SidhuvudRubrikReferens"/>
        <w:smallCaps w:val="0"/>
        <w:spacing w:val="0"/>
        <w:sz w:val="19"/>
      </w:rPr>
      <w:t xml:space="preserve"> </w:t>
    </w:r>
  </w:p>
  <w:p w:rsidR="00E456C4" w:rsidRPr="00C732FA" w:rsidRDefault="00E456C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huvudKantJmn"/>
      <w:framePr w:w="8732" w:h="567" w:hRule="exact" w:vSpace="0" w:wrap="around" w:vAnchor="page" w:y="341" w:anchorLock="0"/>
    </w:pPr>
    <w:r w:rsidRPr="00C732FA">
      <w:rPr>
        <w:rStyle w:val="SidhuvudUtskott"/>
      </w:rPr>
      <w:fldChar w:fldCharType="begin" w:fldLock="1"/>
    </w:r>
    <w:r w:rsidRPr="00C732FA">
      <w:rPr>
        <w:rStyle w:val="SidhuvudUtskott"/>
      </w:rPr>
      <w:instrText xml:space="preserve"> DOCPROPERTY BetänkandeÅr</w:instrText>
    </w:r>
    <w:r w:rsidRPr="00C732FA">
      <w:rPr>
        <w:rStyle w:val="SidhuvudUtskott"/>
      </w:rPr>
      <w:fldChar w:fldCharType="separate"/>
    </w:r>
    <w:r w:rsidRPr="00C732FA">
      <w:rPr>
        <w:rStyle w:val="SidhuvudUtskott"/>
      </w:rPr>
      <w:t>2009/10</w:t>
    </w:r>
    <w:r w:rsidRPr="00C732FA">
      <w:rPr>
        <w:rStyle w:val="SidhuvudUtskott"/>
      </w:rPr>
      <w:fldChar w:fldCharType="end"/>
    </w:r>
    <w:r w:rsidRPr="00C732FA">
      <w:rPr>
        <w:rStyle w:val="SidhuvudUtskott"/>
      </w:rPr>
      <w:t>:</w:t>
    </w:r>
    <w:r w:rsidRPr="00C732FA">
      <w:rPr>
        <w:rStyle w:val="SidhuvudUtskott"/>
      </w:rPr>
      <w:fldChar w:fldCharType="begin" w:fldLock="1"/>
    </w:r>
    <w:r w:rsidRPr="00C732FA">
      <w:rPr>
        <w:rStyle w:val="SidhuvudUtskott"/>
      </w:rPr>
      <w:instrText xml:space="preserve"> DOCPROPERTY Utskott</w:instrText>
    </w:r>
    <w:r w:rsidRPr="00C732FA">
      <w:rPr>
        <w:rStyle w:val="SidhuvudUtskott"/>
      </w:rPr>
      <w:fldChar w:fldCharType="separate"/>
    </w:r>
    <w:r w:rsidRPr="00C732FA">
      <w:rPr>
        <w:rStyle w:val="SidhuvudUtskott"/>
      </w:rPr>
      <w:t>RRS</w: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BetänkandeNr</w:instrText>
    </w:r>
    <w:r w:rsidRPr="00C732FA">
      <w:rPr>
        <w:rStyle w:val="SidhuvudUtskott"/>
      </w:rPr>
      <w:fldChar w:fldCharType="separate"/>
    </w:r>
    <w:r w:rsidRPr="00C732FA">
      <w:rPr>
        <w:rStyle w:val="SidhuvudUtskott"/>
      </w:rPr>
      <w:t>20</w:t>
    </w:r>
    <w:r w:rsidRPr="00C732FA">
      <w:rPr>
        <w:rStyle w:val="SidhuvudUtskott"/>
      </w:rPr>
      <w:fldChar w:fldCharType="end"/>
    </w:r>
    <w:r w:rsidRPr="00C732FA">
      <w:t xml:space="preserve">     </w:t>
    </w:r>
    <w:r w:rsidRPr="00C732FA">
      <w:rPr>
        <w:rStyle w:val="SidhuvudBilaga"/>
      </w:rPr>
      <w:t xml:space="preserve"> </w:t>
    </w:r>
    <w:r w:rsidRPr="00C732FA">
      <w:rPr>
        <w:rStyle w:val="SidhuvudRubrikReferens"/>
      </w:rPr>
      <w:fldChar w:fldCharType="begin" w:fldLock="1"/>
    </w:r>
    <w:r w:rsidRPr="00C732FA">
      <w:rPr>
        <w:rStyle w:val="SidhuvudRubrikReferens"/>
      </w:rPr>
      <w:instrText xml:space="preserve"> StyleREF "Rubrik 1" </w:instrText>
    </w:r>
    <w:r w:rsidRPr="00C732FA">
      <w:rPr>
        <w:rStyle w:val="SidhuvudRubrikReferens"/>
      </w:rPr>
      <w:fldChar w:fldCharType="separate"/>
    </w:r>
    <w:r w:rsidRPr="00C732FA">
      <w:rPr>
        <w:rStyle w:val="SidhuvudRubrikReferens"/>
      </w:rPr>
      <w:t>Riksrevisionens granskning</w:t>
    </w:r>
    <w:r w:rsidRPr="00C732FA">
      <w:rPr>
        <w:rStyle w:val="SidhuvudRubrikReferens"/>
      </w:rPr>
      <w:fldChar w:fldCharType="end"/>
    </w:r>
  </w:p>
  <w:p w:rsidR="00E456C4" w:rsidRPr="00C732FA" w:rsidRDefault="00E456C4">
    <w:pPr>
      <w:pStyle w:val="SidhuvudKantJmn"/>
      <w:framePr w:w="8732" w:h="567" w:hRule="exact" w:vSpace="0" w:wrap="around" w:vAnchor="page" w:y="341" w:anchorLock="0"/>
    </w:pPr>
    <w:r w:rsidRPr="00C732FA">
      <w:rPr>
        <w:rStyle w:val="SidhuvudUtskott"/>
      </w:rPr>
      <w:fldChar w:fldCharType="begin" w:fldLock="1"/>
    </w:r>
    <w:r w:rsidRPr="00C732FA">
      <w:rPr>
        <w:rStyle w:val="SidhuvudUtskott"/>
      </w:rPr>
      <w:instrText xml:space="preserve"> DOCPROPERTY Status</w:instrText>
    </w:r>
    <w:r w:rsidRPr="00C732FA">
      <w:rPr>
        <w:rStyle w:val="SidhuvudUtskott"/>
      </w:rPr>
      <w:fldChar w:fldCharType="end"/>
    </w:r>
    <w:r w:rsidRPr="00C732FA">
      <w:rPr>
        <w:rStyle w:val="SidhuvudUtskott"/>
      </w:rPr>
      <w:fldChar w:fldCharType="begin" w:fldLock="1"/>
    </w:r>
    <w:r w:rsidRPr="00C732FA">
      <w:rPr>
        <w:rStyle w:val="SidhuvudUtskott"/>
      </w:rPr>
      <w:instrText xml:space="preserve"> if </w:instrText>
    </w:r>
    <w:r w:rsidRPr="00C732FA">
      <w:rPr>
        <w:rStyle w:val="SidhuvudUtskott"/>
      </w:rPr>
      <w:fldChar w:fldCharType="begin" w:fldLock="1"/>
    </w:r>
    <w:r w:rsidRPr="00C732FA">
      <w:rPr>
        <w:rStyle w:val="SidhuvudUtskott"/>
      </w:rPr>
      <w:instrText xml:space="preserve"> DOCPROPERTY "UtkastDatum"</w:instrText>
    </w:r>
    <w:r w:rsidRPr="00C732FA">
      <w:rPr>
        <w:rStyle w:val="SidhuvudUtskott"/>
      </w:rPr>
      <w:fldChar w:fldCharType="separate"/>
    </w:r>
    <w:r w:rsidRPr="00C732FA">
      <w:rPr>
        <w:rStyle w:val="SidhuvudUtskott"/>
      </w:rPr>
      <w:instrText>Nej</w:instrText>
    </w:r>
    <w:r w:rsidRPr="00C732FA">
      <w:rPr>
        <w:rStyle w:val="SidhuvudUtskott"/>
      </w:rPr>
      <w:fldChar w:fldCharType="end"/>
    </w:r>
    <w:r w:rsidRPr="00C732FA">
      <w:rPr>
        <w:rStyle w:val="SidhuvudUtskott"/>
      </w:rPr>
      <w:instrText xml:space="preserve"> = "Ja" "    </w:instrText>
    </w:r>
    <w:r w:rsidRPr="00C732FA">
      <w:rPr>
        <w:rStyle w:val="SidhuvudUtskott"/>
      </w:rPr>
      <w:fldChar w:fldCharType="begin" w:fldLock="1"/>
    </w:r>
    <w:r w:rsidRPr="00C732FA">
      <w:rPr>
        <w:rStyle w:val="SidhuvudUtskott"/>
      </w:rPr>
      <w:instrText xml:space="preserve"> PRINTDATE \@ "yyyy-MM-dd HH.mm" </w:instrText>
    </w:r>
    <w:r w:rsidRPr="00C732FA">
      <w:rPr>
        <w:rStyle w:val="SidhuvudUtskott"/>
      </w:rPr>
      <w:fldChar w:fldCharType="separate"/>
    </w:r>
    <w:r w:rsidRPr="00C732FA">
      <w:rPr>
        <w:rStyle w:val="SidhuvudUtskott"/>
      </w:rPr>
      <w:instrText>2000-08-11 16.42</w:instrText>
    </w:r>
    <w:r w:rsidRPr="00C732FA">
      <w:rPr>
        <w:rStyle w:val="SidhuvudUtskott"/>
      </w:rPr>
      <w:fldChar w:fldCharType="end"/>
    </w:r>
    <w:r w:rsidRPr="00C732FA">
      <w:rPr>
        <w:rStyle w:val="SidhuvudUtskott"/>
      </w:rPr>
      <w:instrText xml:space="preserve">" </w:instrText>
    </w:r>
    <w:r w:rsidRPr="00C732FA">
      <w:rPr>
        <w:rStyle w:val="SidhuvudUtskott"/>
      </w:rPr>
      <w:fldChar w:fldCharType="end"/>
    </w:r>
  </w:p>
  <w:p w:rsidR="00E456C4" w:rsidRPr="00C732FA" w:rsidRDefault="00E456C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0F11B7">
    <w:pPr>
      <w:pStyle w:val="SidhuvudKantUdda"/>
      <w:framePr w:w="8732" w:h="567" w:hRule="exact" w:vSpace="0" w:wrap="around" w:vAnchor="page" w:y="341" w:anchorLock="0"/>
    </w:pPr>
    <w:r w:rsidRPr="00C732FA">
      <w:rPr>
        <w:rStyle w:val="SidhuvudRubrikReferens"/>
      </w:rPr>
      <w:t>Styrelsens överväganden</w:t>
    </w:r>
    <w:r w:rsidR="00E456C4" w:rsidRPr="00C732FA">
      <w:rPr>
        <w:rStyle w:val="SidhuvudBilaga"/>
      </w:rPr>
      <w:t xml:space="preserve"> </w:t>
    </w:r>
    <w:r w:rsidR="00E456C4" w:rsidRPr="00C732FA">
      <w:t xml:space="preserve">     </w:t>
    </w:r>
    <w:r w:rsidR="00E456C4" w:rsidRPr="00C732FA">
      <w:rPr>
        <w:rStyle w:val="SidhuvudUtskott"/>
      </w:rPr>
      <w:t>2009/10:RRS20</w:t>
    </w:r>
  </w:p>
  <w:p w:rsidR="00E456C4" w:rsidRPr="00C732FA" w:rsidRDefault="00E456C4">
    <w:pPr>
      <w:pStyle w:val="SidhuvudKantUdda"/>
      <w:framePr w:w="8732" w:h="567" w:hRule="exact" w:vSpace="0" w:wrap="around" w:vAnchor="page" w:y="341" w:anchorLock="0"/>
    </w:pPr>
  </w:p>
  <w:p w:rsidR="00E456C4" w:rsidRPr="00C732FA" w:rsidRDefault="00E456C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B7" w:rsidRPr="00C732FA" w:rsidRDefault="000F11B7">
    <w:pPr>
      <w:pStyle w:val="SidhuvudKantJmn"/>
      <w:framePr w:w="8732" w:h="567" w:hRule="exact" w:vSpace="0" w:wrap="around" w:vAnchor="page" w:y="341" w:anchorLock="0"/>
    </w:pPr>
    <w:r w:rsidRPr="00C732FA">
      <w:rPr>
        <w:rStyle w:val="SidhuvudUtskott"/>
      </w:rPr>
      <w:t>2009/10:RRS20</w:t>
    </w:r>
    <w:r w:rsidRPr="00C732FA">
      <w:t xml:space="preserve">    </w:t>
    </w:r>
  </w:p>
  <w:p w:rsidR="000F11B7" w:rsidRPr="00C732FA" w:rsidRDefault="000F11B7">
    <w:pPr>
      <w:pStyle w:val="SidhuvudKantJmn"/>
      <w:framePr w:w="8732" w:h="567" w:hRule="exact" w:vSpace="0" w:wrap="around" w:vAnchor="page" w:y="341" w:anchorLock="0"/>
    </w:pPr>
  </w:p>
  <w:p w:rsidR="00E456C4" w:rsidRPr="00C732FA" w:rsidRDefault="000F11B7">
    <w:pPr>
      <w:pStyle w:val="SidhuvudKantUdda"/>
      <w:framePr w:w="8732" w:h="567" w:hRule="exact" w:vSpace="0" w:wrap="around" w:vAnchor="page" w:y="341" w:anchorLock="0"/>
    </w:pPr>
    <w:r w:rsidRPr="00C732FA">
      <w:rPr>
        <w:rStyle w:val="SidhuvudRubrikReferens"/>
        <w:smallCaps w:val="0"/>
        <w:spacing w:val="0"/>
        <w:sz w:val="19"/>
      </w:rPr>
      <w:t xml:space="preserve"> </w:t>
    </w:r>
  </w:p>
  <w:p w:rsidR="00E456C4" w:rsidRPr="00C732FA" w:rsidRDefault="00E456C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huvudKantUdda"/>
      <w:framePr w:w="8732" w:h="567" w:hRule="exact" w:vSpace="0" w:wrap="around" w:vAnchor="page" w:y="341" w:anchorLock="0"/>
    </w:pPr>
    <w:r w:rsidRPr="00C732FA">
      <w:rPr>
        <w:rStyle w:val="SidhuvudRubrikReferens"/>
      </w:rPr>
      <w:fldChar w:fldCharType="begin" w:fldLock="1"/>
    </w:r>
    <w:r w:rsidRPr="00C732FA">
      <w:rPr>
        <w:rStyle w:val="SidhuvudRubrikReferens"/>
      </w:rPr>
      <w:instrText xml:space="preserve"> StyleREF "Rubrik 1" </w:instrText>
    </w:r>
    <w:r w:rsidRPr="00C732FA">
      <w:rPr>
        <w:rStyle w:val="SidhuvudRubrikReferens"/>
      </w:rPr>
      <w:fldChar w:fldCharType="separate"/>
    </w:r>
    <w:r w:rsidRPr="00C732FA">
      <w:rPr>
        <w:rStyle w:val="SidhuvudRubrikReferens"/>
      </w:rPr>
      <w:t>Sammanfattning</w:t>
    </w:r>
    <w:r w:rsidRPr="00C732FA">
      <w:rPr>
        <w:rStyle w:val="SidhuvudRubrikReferens"/>
      </w:rPr>
      <w:fldChar w:fldCharType="end"/>
    </w:r>
    <w:r w:rsidRPr="00C732FA">
      <w:rPr>
        <w:rStyle w:val="SidhuvudBilaga"/>
      </w:rPr>
      <w:t xml:space="preserve"> </w:t>
    </w:r>
    <w:r w:rsidRPr="00C732FA">
      <w:t xml:space="preserve">     </w:t>
    </w:r>
    <w:r w:rsidRPr="00C732FA">
      <w:rPr>
        <w:rStyle w:val="SidhuvudUtskott"/>
      </w:rPr>
      <w:fldChar w:fldCharType="begin" w:fldLock="1"/>
    </w:r>
    <w:r w:rsidRPr="00C732FA">
      <w:rPr>
        <w:rStyle w:val="SidhuvudUtskott"/>
      </w:rPr>
      <w:instrText xml:space="preserve"> DOCPROPERTY BetänkandeÅr</w:instrText>
    </w:r>
    <w:r w:rsidRPr="00C732FA">
      <w:rPr>
        <w:rStyle w:val="SidhuvudUtskott"/>
      </w:rPr>
      <w:fldChar w:fldCharType="separate"/>
    </w:r>
    <w:r w:rsidRPr="00C732FA">
      <w:rPr>
        <w:rStyle w:val="SidhuvudUtskott"/>
      </w:rPr>
      <w:t>2009/10</w:t>
    </w:r>
    <w:r w:rsidRPr="00C732FA">
      <w:rPr>
        <w:rStyle w:val="SidhuvudUtskott"/>
      </w:rPr>
      <w:fldChar w:fldCharType="end"/>
    </w:r>
    <w:r w:rsidRPr="00C732FA">
      <w:rPr>
        <w:rStyle w:val="SidhuvudUtskott"/>
      </w:rPr>
      <w:t>:</w:t>
    </w:r>
    <w:r w:rsidRPr="00C732FA">
      <w:rPr>
        <w:rStyle w:val="SidhuvudUtskott"/>
      </w:rPr>
      <w:fldChar w:fldCharType="begin" w:fldLock="1"/>
    </w:r>
    <w:r w:rsidRPr="00C732FA">
      <w:rPr>
        <w:rStyle w:val="SidhuvudUtskott"/>
      </w:rPr>
      <w:instrText xml:space="preserve"> DOCPROPERTY</w:instrText>
    </w:r>
    <w:r w:rsidRPr="00C732FA">
      <w:instrText xml:space="preserve"> </w:instrText>
    </w:r>
    <w:r w:rsidRPr="00C732FA">
      <w:rPr>
        <w:rStyle w:val="SidhuvudUtskott"/>
      </w:rPr>
      <w:instrText>Utskott</w:instrText>
    </w:r>
    <w:r w:rsidRPr="00C732FA">
      <w:rPr>
        <w:rStyle w:val="SidhuvudUtskott"/>
      </w:rPr>
      <w:fldChar w:fldCharType="separate"/>
    </w:r>
    <w:r w:rsidRPr="00C732FA">
      <w:rPr>
        <w:rStyle w:val="SidhuvudUtskott"/>
      </w:rPr>
      <w:t>RRS</w: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BetänkandeNr</w:instrText>
    </w:r>
    <w:r w:rsidRPr="00C732FA">
      <w:rPr>
        <w:rStyle w:val="SidhuvudUtskott"/>
      </w:rPr>
      <w:fldChar w:fldCharType="separate"/>
    </w:r>
    <w:r w:rsidRPr="00C732FA">
      <w:rPr>
        <w:rStyle w:val="SidhuvudUtskott"/>
      </w:rPr>
      <w:t>20</w:t>
    </w:r>
    <w:r w:rsidRPr="00C732FA">
      <w:rPr>
        <w:rStyle w:val="SidhuvudUtskott"/>
      </w:rPr>
      <w:fldChar w:fldCharType="end"/>
    </w:r>
  </w:p>
  <w:p w:rsidR="00E456C4" w:rsidRPr="00C732FA" w:rsidRDefault="00E456C4">
    <w:pPr>
      <w:pStyle w:val="SidhuvudKantUdda"/>
      <w:framePr w:w="8732" w:h="567" w:hRule="exact" w:vSpace="0" w:wrap="around" w:vAnchor="page" w:y="341" w:anchorLock="0"/>
    </w:pPr>
    <w:r w:rsidRPr="00C732FA">
      <w:rPr>
        <w:rStyle w:val="SidhuvudUtskott"/>
      </w:rPr>
      <w:fldChar w:fldCharType="begin" w:fldLock="1"/>
    </w:r>
    <w:r w:rsidRPr="00C732FA">
      <w:rPr>
        <w:rStyle w:val="SidhuvudUtskott"/>
      </w:rPr>
      <w:instrText xml:space="preserve"> if </w:instrText>
    </w:r>
    <w:r w:rsidRPr="00C732FA">
      <w:rPr>
        <w:rStyle w:val="SidhuvudUtskott"/>
      </w:rPr>
      <w:fldChar w:fldCharType="begin" w:fldLock="1"/>
    </w:r>
    <w:r w:rsidRPr="00C732FA">
      <w:rPr>
        <w:rStyle w:val="SidhuvudUtskott"/>
      </w:rPr>
      <w:instrText xml:space="preserve"> DOCPROPERTY "UtkastDatum"</w:instrText>
    </w:r>
    <w:r w:rsidRPr="00C732FA">
      <w:rPr>
        <w:rStyle w:val="SidhuvudUtskott"/>
      </w:rPr>
      <w:fldChar w:fldCharType="separate"/>
    </w:r>
    <w:r w:rsidRPr="00C732FA">
      <w:rPr>
        <w:rStyle w:val="SidhuvudUtskott"/>
      </w:rPr>
      <w:instrText>Nej</w:instrText>
    </w:r>
    <w:r w:rsidRPr="00C732FA">
      <w:rPr>
        <w:rStyle w:val="SidhuvudUtskott"/>
      </w:rPr>
      <w:fldChar w:fldCharType="end"/>
    </w:r>
    <w:r w:rsidRPr="00C732FA">
      <w:rPr>
        <w:rStyle w:val="SidhuvudUtskott"/>
      </w:rPr>
      <w:instrText xml:space="preserve"> = "Ja" "</w:instrText>
    </w:r>
    <w:r w:rsidRPr="00C732FA">
      <w:rPr>
        <w:rStyle w:val="SidhuvudUtskott"/>
      </w:rPr>
      <w:fldChar w:fldCharType="begin" w:fldLock="1"/>
    </w:r>
    <w:r w:rsidRPr="00C732FA">
      <w:rPr>
        <w:rStyle w:val="SidhuvudUtskott"/>
      </w:rPr>
      <w:instrText xml:space="preserve"> PRINTDATE \@ "yyyy-MM-dd HH.mm    " </w:instrText>
    </w:r>
    <w:r w:rsidRPr="00C732FA">
      <w:rPr>
        <w:rStyle w:val="SidhuvudUtskott"/>
      </w:rPr>
      <w:fldChar w:fldCharType="separate"/>
    </w:r>
    <w:r w:rsidRPr="00C732FA">
      <w:rPr>
        <w:rStyle w:val="SidhuvudUtskott"/>
      </w:rPr>
      <w:instrText>2000-08-11 16.42</w:instrText>
    </w:r>
    <w:r w:rsidRPr="00C732FA">
      <w:rPr>
        <w:rStyle w:val="SidhuvudUtskott"/>
      </w:rPr>
      <w:fldChar w:fldCharType="end"/>
    </w:r>
    <w:r w:rsidRPr="00C732FA">
      <w:rPr>
        <w:rStyle w:val="SidhuvudUtskott"/>
      </w:rPr>
      <w:instrText xml:space="preserve">" </w:instrTex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Status</w:instrText>
    </w:r>
    <w:r w:rsidRPr="00C732FA">
      <w:rPr>
        <w:rStyle w:val="SidhuvudUtskott"/>
      </w:rPr>
      <w:fldChar w:fldCharType="end"/>
    </w:r>
  </w:p>
  <w:p w:rsidR="00E456C4" w:rsidRPr="00C732FA" w:rsidRDefault="00E456C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0F11B7">
    <w:pPr>
      <w:pStyle w:val="SidhuvudKantUdda"/>
      <w:framePr w:w="8732" w:h="567" w:hRule="exact" w:vSpace="0" w:wrap="around" w:vAnchor="page" w:y="341" w:anchorLock="0"/>
    </w:pPr>
    <w:r w:rsidRPr="00C732FA">
      <w:t xml:space="preserve"> </w:t>
    </w:r>
  </w:p>
  <w:p w:rsidR="00E456C4" w:rsidRPr="00C732FA" w:rsidRDefault="00E456C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huvudKantJmn"/>
      <w:framePr w:w="8732" w:h="567" w:hRule="exact" w:vSpace="0" w:wrap="around" w:vAnchor="page" w:y="341" w:anchorLock="0"/>
    </w:pPr>
    <w:r w:rsidRPr="00C732FA">
      <w:rPr>
        <w:rStyle w:val="SidhuvudUtskott"/>
      </w:rPr>
      <w:fldChar w:fldCharType="begin" w:fldLock="1"/>
    </w:r>
    <w:r w:rsidRPr="00C732FA">
      <w:rPr>
        <w:rStyle w:val="SidhuvudUtskott"/>
      </w:rPr>
      <w:instrText xml:space="preserve"> DOCPROPERTY BetänkandeÅr</w:instrText>
    </w:r>
    <w:r w:rsidRPr="00C732FA">
      <w:rPr>
        <w:rStyle w:val="SidhuvudUtskott"/>
      </w:rPr>
      <w:fldChar w:fldCharType="separate"/>
    </w:r>
    <w:r w:rsidRPr="00C732FA">
      <w:rPr>
        <w:rStyle w:val="SidhuvudUtskott"/>
      </w:rPr>
      <w:t>2009/10</w:t>
    </w:r>
    <w:r w:rsidRPr="00C732FA">
      <w:rPr>
        <w:rStyle w:val="SidhuvudUtskott"/>
      </w:rPr>
      <w:fldChar w:fldCharType="end"/>
    </w:r>
    <w:r w:rsidRPr="00C732FA">
      <w:rPr>
        <w:rStyle w:val="SidhuvudUtskott"/>
      </w:rPr>
      <w:t>:</w:t>
    </w:r>
    <w:r w:rsidRPr="00C732FA">
      <w:rPr>
        <w:rStyle w:val="SidhuvudUtskott"/>
      </w:rPr>
      <w:fldChar w:fldCharType="begin" w:fldLock="1"/>
    </w:r>
    <w:r w:rsidRPr="00C732FA">
      <w:rPr>
        <w:rStyle w:val="SidhuvudUtskott"/>
      </w:rPr>
      <w:instrText xml:space="preserve"> DOCPROPERTY Utskott</w:instrText>
    </w:r>
    <w:r w:rsidRPr="00C732FA">
      <w:rPr>
        <w:rStyle w:val="SidhuvudUtskott"/>
      </w:rPr>
      <w:fldChar w:fldCharType="separate"/>
    </w:r>
    <w:r w:rsidRPr="00C732FA">
      <w:rPr>
        <w:rStyle w:val="SidhuvudUtskott"/>
      </w:rPr>
      <w:t>RRS</w: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BetänkandeNr</w:instrText>
    </w:r>
    <w:r w:rsidRPr="00C732FA">
      <w:rPr>
        <w:rStyle w:val="SidhuvudUtskott"/>
      </w:rPr>
      <w:fldChar w:fldCharType="separate"/>
    </w:r>
    <w:r w:rsidRPr="00C732FA">
      <w:rPr>
        <w:rStyle w:val="SidhuvudUtskott"/>
      </w:rPr>
      <w:t>20</w:t>
    </w:r>
    <w:r w:rsidRPr="00C732FA">
      <w:rPr>
        <w:rStyle w:val="SidhuvudUtskott"/>
      </w:rPr>
      <w:fldChar w:fldCharType="end"/>
    </w:r>
    <w:r w:rsidRPr="00C732FA">
      <w:t xml:space="preserve">     </w:t>
    </w:r>
    <w:r w:rsidRPr="00C732FA">
      <w:rPr>
        <w:rStyle w:val="SidhuvudBilaga"/>
      </w:rPr>
      <w:t xml:space="preserve"> </w:t>
    </w:r>
    <w:r w:rsidRPr="00C732FA">
      <w:rPr>
        <w:rStyle w:val="SidhuvudRubrikReferens"/>
      </w:rPr>
      <w:fldChar w:fldCharType="begin" w:fldLock="1"/>
    </w:r>
    <w:r w:rsidRPr="00C732FA">
      <w:rPr>
        <w:rStyle w:val="SidhuvudRubrikReferens"/>
      </w:rPr>
      <w:instrText xml:space="preserve"> StyleREF "Rubrik 1" </w:instrText>
    </w:r>
    <w:r w:rsidRPr="00C732FA">
      <w:rPr>
        <w:rStyle w:val="SidhuvudRubrikReferens"/>
      </w:rPr>
      <w:fldChar w:fldCharType="separate"/>
    </w:r>
    <w:r w:rsidRPr="00C732FA">
      <w:rPr>
        <w:rStyle w:val="SidhuvudRubrikReferens"/>
      </w:rPr>
      <w:t>Sammanfattning</w:t>
    </w:r>
    <w:r w:rsidRPr="00C732FA">
      <w:rPr>
        <w:rStyle w:val="SidhuvudRubrikReferens"/>
      </w:rPr>
      <w:fldChar w:fldCharType="end"/>
    </w:r>
  </w:p>
  <w:p w:rsidR="00E456C4" w:rsidRPr="00C732FA" w:rsidRDefault="00E456C4">
    <w:pPr>
      <w:pStyle w:val="SidhuvudKantJmn"/>
      <w:framePr w:w="8732" w:h="567" w:hRule="exact" w:vSpace="0" w:wrap="around" w:vAnchor="page" w:y="341" w:anchorLock="0"/>
    </w:pPr>
    <w:r w:rsidRPr="00C732FA">
      <w:rPr>
        <w:rStyle w:val="SidhuvudUtskott"/>
      </w:rPr>
      <w:fldChar w:fldCharType="begin" w:fldLock="1"/>
    </w:r>
    <w:r w:rsidRPr="00C732FA">
      <w:rPr>
        <w:rStyle w:val="SidhuvudUtskott"/>
      </w:rPr>
      <w:instrText xml:space="preserve"> DOCPROPERTY Status</w:instrText>
    </w:r>
    <w:r w:rsidRPr="00C732FA">
      <w:rPr>
        <w:rStyle w:val="SidhuvudUtskott"/>
      </w:rPr>
      <w:fldChar w:fldCharType="end"/>
    </w:r>
    <w:r w:rsidRPr="00C732FA">
      <w:rPr>
        <w:rStyle w:val="SidhuvudUtskott"/>
      </w:rPr>
      <w:fldChar w:fldCharType="begin" w:fldLock="1"/>
    </w:r>
    <w:r w:rsidRPr="00C732FA">
      <w:rPr>
        <w:rStyle w:val="SidhuvudUtskott"/>
      </w:rPr>
      <w:instrText xml:space="preserve"> if </w:instrText>
    </w:r>
    <w:r w:rsidRPr="00C732FA">
      <w:rPr>
        <w:rStyle w:val="SidhuvudUtskott"/>
      </w:rPr>
      <w:fldChar w:fldCharType="begin" w:fldLock="1"/>
    </w:r>
    <w:r w:rsidRPr="00C732FA">
      <w:rPr>
        <w:rStyle w:val="SidhuvudUtskott"/>
      </w:rPr>
      <w:instrText xml:space="preserve"> DOCPROPERTY "UtkastDatum"</w:instrText>
    </w:r>
    <w:r w:rsidRPr="00C732FA">
      <w:rPr>
        <w:rStyle w:val="SidhuvudUtskott"/>
      </w:rPr>
      <w:fldChar w:fldCharType="separate"/>
    </w:r>
    <w:r w:rsidRPr="00C732FA">
      <w:rPr>
        <w:rStyle w:val="SidhuvudUtskott"/>
      </w:rPr>
      <w:instrText>Nej</w:instrText>
    </w:r>
    <w:r w:rsidRPr="00C732FA">
      <w:rPr>
        <w:rStyle w:val="SidhuvudUtskott"/>
      </w:rPr>
      <w:fldChar w:fldCharType="end"/>
    </w:r>
    <w:r w:rsidRPr="00C732FA">
      <w:rPr>
        <w:rStyle w:val="SidhuvudUtskott"/>
      </w:rPr>
      <w:instrText xml:space="preserve"> = "Ja" "    </w:instrText>
    </w:r>
    <w:r w:rsidRPr="00C732FA">
      <w:rPr>
        <w:rStyle w:val="SidhuvudUtskott"/>
      </w:rPr>
      <w:fldChar w:fldCharType="begin" w:fldLock="1"/>
    </w:r>
    <w:r w:rsidRPr="00C732FA">
      <w:rPr>
        <w:rStyle w:val="SidhuvudUtskott"/>
      </w:rPr>
      <w:instrText xml:space="preserve"> PRINTDATE \@ "yyyy-MM-dd HH.mm" </w:instrText>
    </w:r>
    <w:r w:rsidRPr="00C732FA">
      <w:rPr>
        <w:rStyle w:val="SidhuvudUtskott"/>
      </w:rPr>
      <w:fldChar w:fldCharType="separate"/>
    </w:r>
    <w:r w:rsidRPr="00C732FA">
      <w:rPr>
        <w:rStyle w:val="SidhuvudUtskott"/>
      </w:rPr>
      <w:instrText>2000-08-11 16.42</w:instrText>
    </w:r>
    <w:r w:rsidRPr="00C732FA">
      <w:rPr>
        <w:rStyle w:val="SidhuvudUtskott"/>
      </w:rPr>
      <w:fldChar w:fldCharType="end"/>
    </w:r>
    <w:r w:rsidRPr="00C732FA">
      <w:rPr>
        <w:rStyle w:val="SidhuvudUtskott"/>
      </w:rPr>
      <w:instrText xml:space="preserve">" </w:instrText>
    </w:r>
    <w:r w:rsidRPr="00C732FA">
      <w:rPr>
        <w:rStyle w:val="SidhuvudUtskott"/>
      </w:rPr>
      <w:fldChar w:fldCharType="end"/>
    </w:r>
  </w:p>
  <w:p w:rsidR="00E456C4" w:rsidRPr="00C732FA" w:rsidRDefault="00E456C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huvudKantUdda"/>
      <w:framePr w:w="8732" w:h="567" w:hRule="exact" w:vSpace="0" w:wrap="around" w:vAnchor="page" w:y="341" w:anchorLock="0"/>
    </w:pPr>
    <w:r w:rsidRPr="00C732FA">
      <w:rPr>
        <w:rStyle w:val="SidhuvudRubrikReferens"/>
      </w:rPr>
      <w:fldChar w:fldCharType="begin" w:fldLock="1"/>
    </w:r>
    <w:r w:rsidRPr="00C732FA">
      <w:rPr>
        <w:rStyle w:val="SidhuvudRubrikReferens"/>
      </w:rPr>
      <w:instrText xml:space="preserve"> StyleREF "Rubrik 1" </w:instrText>
    </w:r>
    <w:r w:rsidRPr="00C732FA">
      <w:rPr>
        <w:rStyle w:val="SidhuvudRubrikReferens"/>
      </w:rPr>
      <w:fldChar w:fldCharType="separate"/>
    </w:r>
    <w:r w:rsidRPr="00C732FA">
      <w:rPr>
        <w:rStyle w:val="SidhuvudRubrikReferens"/>
      </w:rPr>
      <w:t>Sammanfattning</w:t>
    </w:r>
    <w:r w:rsidRPr="00C732FA">
      <w:rPr>
        <w:rStyle w:val="SidhuvudRubrikReferens"/>
      </w:rPr>
      <w:fldChar w:fldCharType="end"/>
    </w:r>
    <w:r w:rsidRPr="00C732FA">
      <w:rPr>
        <w:rStyle w:val="SidhuvudBilaga"/>
      </w:rPr>
      <w:t xml:space="preserve"> </w:t>
    </w:r>
    <w:r w:rsidRPr="00C732FA">
      <w:t xml:space="preserve">     </w:t>
    </w:r>
    <w:r w:rsidRPr="00C732FA">
      <w:rPr>
        <w:rStyle w:val="SidhuvudUtskott"/>
      </w:rPr>
      <w:fldChar w:fldCharType="begin" w:fldLock="1"/>
    </w:r>
    <w:r w:rsidRPr="00C732FA">
      <w:rPr>
        <w:rStyle w:val="SidhuvudUtskott"/>
      </w:rPr>
      <w:instrText xml:space="preserve"> DOCPROPERTY BetänkandeÅr</w:instrText>
    </w:r>
    <w:r w:rsidRPr="00C732FA">
      <w:rPr>
        <w:rStyle w:val="SidhuvudUtskott"/>
      </w:rPr>
      <w:fldChar w:fldCharType="separate"/>
    </w:r>
    <w:r w:rsidRPr="00C732FA">
      <w:rPr>
        <w:rStyle w:val="SidhuvudUtskott"/>
      </w:rPr>
      <w:t>2009/10</w:t>
    </w:r>
    <w:r w:rsidRPr="00C732FA">
      <w:rPr>
        <w:rStyle w:val="SidhuvudUtskott"/>
      </w:rPr>
      <w:fldChar w:fldCharType="end"/>
    </w:r>
    <w:r w:rsidRPr="00C732FA">
      <w:rPr>
        <w:rStyle w:val="SidhuvudUtskott"/>
      </w:rPr>
      <w:t>:</w:t>
    </w:r>
    <w:r w:rsidRPr="00C732FA">
      <w:rPr>
        <w:rStyle w:val="SidhuvudUtskott"/>
      </w:rPr>
      <w:fldChar w:fldCharType="begin" w:fldLock="1"/>
    </w:r>
    <w:r w:rsidRPr="00C732FA">
      <w:rPr>
        <w:rStyle w:val="SidhuvudUtskott"/>
      </w:rPr>
      <w:instrText xml:space="preserve"> DOCPROPERTY</w:instrText>
    </w:r>
    <w:r w:rsidRPr="00C732FA">
      <w:instrText xml:space="preserve"> </w:instrText>
    </w:r>
    <w:r w:rsidRPr="00C732FA">
      <w:rPr>
        <w:rStyle w:val="SidhuvudUtskott"/>
      </w:rPr>
      <w:instrText>Utskott</w:instrText>
    </w:r>
    <w:r w:rsidRPr="00C732FA">
      <w:rPr>
        <w:rStyle w:val="SidhuvudUtskott"/>
      </w:rPr>
      <w:fldChar w:fldCharType="separate"/>
    </w:r>
    <w:r w:rsidRPr="00C732FA">
      <w:rPr>
        <w:rStyle w:val="SidhuvudUtskott"/>
      </w:rPr>
      <w:t>RRS</w: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BetänkandeNr</w:instrText>
    </w:r>
    <w:r w:rsidRPr="00C732FA">
      <w:rPr>
        <w:rStyle w:val="SidhuvudUtskott"/>
      </w:rPr>
      <w:fldChar w:fldCharType="separate"/>
    </w:r>
    <w:r w:rsidRPr="00C732FA">
      <w:rPr>
        <w:rStyle w:val="SidhuvudUtskott"/>
      </w:rPr>
      <w:t>20</w:t>
    </w:r>
    <w:r w:rsidRPr="00C732FA">
      <w:rPr>
        <w:rStyle w:val="SidhuvudUtskott"/>
      </w:rPr>
      <w:fldChar w:fldCharType="end"/>
    </w:r>
  </w:p>
  <w:p w:rsidR="00E456C4" w:rsidRPr="00C732FA" w:rsidRDefault="00E456C4">
    <w:pPr>
      <w:pStyle w:val="SidhuvudKantUdda"/>
      <w:framePr w:w="8732" w:h="567" w:hRule="exact" w:vSpace="0" w:wrap="around" w:vAnchor="page" w:y="341" w:anchorLock="0"/>
    </w:pPr>
    <w:r w:rsidRPr="00C732FA">
      <w:rPr>
        <w:rStyle w:val="SidhuvudUtskott"/>
      </w:rPr>
      <w:fldChar w:fldCharType="begin" w:fldLock="1"/>
    </w:r>
    <w:r w:rsidRPr="00C732FA">
      <w:rPr>
        <w:rStyle w:val="SidhuvudUtskott"/>
      </w:rPr>
      <w:instrText xml:space="preserve"> if </w:instrText>
    </w:r>
    <w:r w:rsidRPr="00C732FA">
      <w:rPr>
        <w:rStyle w:val="SidhuvudUtskott"/>
      </w:rPr>
      <w:fldChar w:fldCharType="begin" w:fldLock="1"/>
    </w:r>
    <w:r w:rsidRPr="00C732FA">
      <w:rPr>
        <w:rStyle w:val="SidhuvudUtskott"/>
      </w:rPr>
      <w:instrText xml:space="preserve"> DOCPROPERTY "UtkastDatum"</w:instrText>
    </w:r>
    <w:r w:rsidRPr="00C732FA">
      <w:rPr>
        <w:rStyle w:val="SidhuvudUtskott"/>
      </w:rPr>
      <w:fldChar w:fldCharType="separate"/>
    </w:r>
    <w:r w:rsidRPr="00C732FA">
      <w:rPr>
        <w:rStyle w:val="SidhuvudUtskott"/>
      </w:rPr>
      <w:instrText>Nej</w:instrText>
    </w:r>
    <w:r w:rsidRPr="00C732FA">
      <w:rPr>
        <w:rStyle w:val="SidhuvudUtskott"/>
      </w:rPr>
      <w:fldChar w:fldCharType="end"/>
    </w:r>
    <w:r w:rsidRPr="00C732FA">
      <w:rPr>
        <w:rStyle w:val="SidhuvudUtskott"/>
      </w:rPr>
      <w:instrText xml:space="preserve"> = "Ja" "</w:instrText>
    </w:r>
    <w:r w:rsidRPr="00C732FA">
      <w:rPr>
        <w:rStyle w:val="SidhuvudUtskott"/>
      </w:rPr>
      <w:fldChar w:fldCharType="begin" w:fldLock="1"/>
    </w:r>
    <w:r w:rsidRPr="00C732FA">
      <w:rPr>
        <w:rStyle w:val="SidhuvudUtskott"/>
      </w:rPr>
      <w:instrText xml:space="preserve"> PRINTDATE \@ "yyyy-MM-dd HH.mm    " </w:instrText>
    </w:r>
    <w:r w:rsidRPr="00C732FA">
      <w:rPr>
        <w:rStyle w:val="SidhuvudUtskott"/>
      </w:rPr>
      <w:fldChar w:fldCharType="separate"/>
    </w:r>
    <w:r w:rsidRPr="00C732FA">
      <w:rPr>
        <w:rStyle w:val="SidhuvudUtskott"/>
      </w:rPr>
      <w:instrText>2000-08-11 16.42</w:instrText>
    </w:r>
    <w:r w:rsidRPr="00C732FA">
      <w:rPr>
        <w:rStyle w:val="SidhuvudUtskott"/>
      </w:rPr>
      <w:fldChar w:fldCharType="end"/>
    </w:r>
    <w:r w:rsidRPr="00C732FA">
      <w:rPr>
        <w:rStyle w:val="SidhuvudUtskott"/>
      </w:rPr>
      <w:instrText xml:space="preserve">" </w:instrTex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Status</w:instrText>
    </w:r>
    <w:r w:rsidRPr="00C732FA">
      <w:rPr>
        <w:rStyle w:val="SidhuvudUtskott"/>
      </w:rPr>
      <w:fldChar w:fldCharType="end"/>
    </w:r>
  </w:p>
  <w:p w:rsidR="00E456C4" w:rsidRPr="00C732FA" w:rsidRDefault="00E456C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B7" w:rsidRPr="00C732FA" w:rsidRDefault="000F11B7">
    <w:pPr>
      <w:pStyle w:val="SidhuvudKantJmn"/>
      <w:framePr w:w="8732" w:h="567" w:hRule="exact" w:vSpace="0" w:wrap="around" w:vAnchor="page" w:y="341" w:anchorLock="0"/>
    </w:pPr>
    <w:r w:rsidRPr="00C732FA">
      <w:rPr>
        <w:rStyle w:val="SidhuvudUtskott"/>
      </w:rPr>
      <w:t>2009/10:RRS20</w:t>
    </w:r>
    <w:r w:rsidRPr="00C732FA">
      <w:t xml:space="preserve">    </w:t>
    </w:r>
  </w:p>
  <w:p w:rsidR="000F11B7" w:rsidRPr="00C732FA" w:rsidRDefault="000F11B7">
    <w:pPr>
      <w:pStyle w:val="SidhuvudKantJmn"/>
      <w:framePr w:w="8732" w:h="567" w:hRule="exact" w:vSpace="0" w:wrap="around" w:vAnchor="page" w:y="341" w:anchorLock="0"/>
    </w:pPr>
  </w:p>
  <w:p w:rsidR="00E456C4" w:rsidRPr="00C732FA" w:rsidRDefault="000F11B7">
    <w:pPr>
      <w:pStyle w:val="SidhuvudKantUdda"/>
      <w:framePr w:w="8732" w:h="567" w:hRule="exact" w:vSpace="0" w:wrap="around" w:vAnchor="page" w:y="341" w:anchorLock="0"/>
    </w:pPr>
    <w:r w:rsidRPr="00C732FA">
      <w:rPr>
        <w:rStyle w:val="SidhuvudRubrikReferens"/>
        <w:smallCaps w:val="0"/>
        <w:spacing w:val="0"/>
        <w:sz w:val="19"/>
      </w:rPr>
      <w:t xml:space="preserve"> </w:t>
    </w:r>
  </w:p>
  <w:p w:rsidR="00E456C4" w:rsidRPr="00C732FA" w:rsidRDefault="00E456C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huvudKantJmn"/>
      <w:framePr w:w="8732" w:h="567" w:hRule="exact" w:vSpace="0" w:wrap="around" w:vAnchor="page" w:y="341" w:anchorLock="0"/>
    </w:pPr>
    <w:r w:rsidRPr="00C732FA">
      <w:rPr>
        <w:rStyle w:val="SidhuvudUtskott"/>
      </w:rPr>
      <w:fldChar w:fldCharType="begin" w:fldLock="1"/>
    </w:r>
    <w:r w:rsidRPr="00C732FA">
      <w:rPr>
        <w:rStyle w:val="SidhuvudUtskott"/>
      </w:rPr>
      <w:instrText xml:space="preserve"> DOCPROPERTY BetänkandeÅr</w:instrText>
    </w:r>
    <w:r w:rsidRPr="00C732FA">
      <w:rPr>
        <w:rStyle w:val="SidhuvudUtskott"/>
      </w:rPr>
      <w:fldChar w:fldCharType="separate"/>
    </w:r>
    <w:r w:rsidRPr="00C732FA">
      <w:rPr>
        <w:rStyle w:val="SidhuvudUtskott"/>
      </w:rPr>
      <w:t>2009/10</w:t>
    </w:r>
    <w:r w:rsidRPr="00C732FA">
      <w:rPr>
        <w:rStyle w:val="SidhuvudUtskott"/>
      </w:rPr>
      <w:fldChar w:fldCharType="end"/>
    </w:r>
    <w:r w:rsidRPr="00C732FA">
      <w:rPr>
        <w:rStyle w:val="SidhuvudUtskott"/>
      </w:rPr>
      <w:t>:</w:t>
    </w:r>
    <w:r w:rsidRPr="00C732FA">
      <w:rPr>
        <w:rStyle w:val="SidhuvudUtskott"/>
      </w:rPr>
      <w:fldChar w:fldCharType="begin" w:fldLock="1"/>
    </w:r>
    <w:r w:rsidRPr="00C732FA">
      <w:rPr>
        <w:rStyle w:val="SidhuvudUtskott"/>
      </w:rPr>
      <w:instrText xml:space="preserve"> DOCPROPERTY Utskott</w:instrText>
    </w:r>
    <w:r w:rsidRPr="00C732FA">
      <w:rPr>
        <w:rStyle w:val="SidhuvudUtskott"/>
      </w:rPr>
      <w:fldChar w:fldCharType="separate"/>
    </w:r>
    <w:r w:rsidRPr="00C732FA">
      <w:rPr>
        <w:rStyle w:val="SidhuvudUtskott"/>
      </w:rPr>
      <w:t>RRS</w: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BetänkandeNr</w:instrText>
    </w:r>
    <w:r w:rsidRPr="00C732FA">
      <w:rPr>
        <w:rStyle w:val="SidhuvudUtskott"/>
      </w:rPr>
      <w:fldChar w:fldCharType="separate"/>
    </w:r>
    <w:r w:rsidRPr="00C732FA">
      <w:rPr>
        <w:rStyle w:val="SidhuvudUtskott"/>
      </w:rPr>
      <w:t>20</w:t>
    </w:r>
    <w:r w:rsidRPr="00C732FA">
      <w:rPr>
        <w:rStyle w:val="SidhuvudUtskott"/>
      </w:rPr>
      <w:fldChar w:fldCharType="end"/>
    </w:r>
    <w:r w:rsidRPr="00C732FA">
      <w:t xml:space="preserve">     </w:t>
    </w:r>
    <w:r w:rsidRPr="00C732FA">
      <w:rPr>
        <w:rStyle w:val="SidhuvudBilaga"/>
      </w:rPr>
      <w:t xml:space="preserve"> </w:t>
    </w:r>
    <w:r w:rsidRPr="00C732FA">
      <w:rPr>
        <w:rStyle w:val="SidhuvudRubrikReferens"/>
      </w:rPr>
      <w:fldChar w:fldCharType="begin" w:fldLock="1"/>
    </w:r>
    <w:r w:rsidRPr="00C732FA">
      <w:rPr>
        <w:rStyle w:val="SidhuvudRubrikReferens"/>
      </w:rPr>
      <w:instrText xml:space="preserve"> StyleREF "Rubrik 1" </w:instrText>
    </w:r>
    <w:r w:rsidRPr="00C732FA">
      <w:rPr>
        <w:rStyle w:val="SidhuvudRubrikReferens"/>
      </w:rPr>
      <w:fldChar w:fldCharType="separate"/>
    </w:r>
    <w:r w:rsidRPr="00C732FA">
      <w:rPr>
        <w:rStyle w:val="SidhuvudRubrikReferens"/>
      </w:rPr>
      <w:t>Innehållsförteckning</w:t>
    </w:r>
    <w:r w:rsidRPr="00C732FA">
      <w:rPr>
        <w:rStyle w:val="SidhuvudRubrikReferens"/>
      </w:rPr>
      <w:fldChar w:fldCharType="end"/>
    </w:r>
  </w:p>
  <w:p w:rsidR="00E456C4" w:rsidRPr="00C732FA" w:rsidRDefault="00E456C4">
    <w:pPr>
      <w:pStyle w:val="SidhuvudKantJmn"/>
      <w:framePr w:w="8732" w:h="567" w:hRule="exact" w:vSpace="0" w:wrap="around" w:vAnchor="page" w:y="341" w:anchorLock="0"/>
    </w:pPr>
    <w:r w:rsidRPr="00C732FA">
      <w:rPr>
        <w:rStyle w:val="SidhuvudUtskott"/>
      </w:rPr>
      <w:fldChar w:fldCharType="begin" w:fldLock="1"/>
    </w:r>
    <w:r w:rsidRPr="00C732FA">
      <w:rPr>
        <w:rStyle w:val="SidhuvudUtskott"/>
      </w:rPr>
      <w:instrText xml:space="preserve"> DOCPROPERTY Status</w:instrText>
    </w:r>
    <w:r w:rsidRPr="00C732FA">
      <w:rPr>
        <w:rStyle w:val="SidhuvudUtskott"/>
      </w:rPr>
      <w:fldChar w:fldCharType="end"/>
    </w:r>
    <w:r w:rsidRPr="00C732FA">
      <w:rPr>
        <w:rStyle w:val="SidhuvudUtskott"/>
      </w:rPr>
      <w:fldChar w:fldCharType="begin" w:fldLock="1"/>
    </w:r>
    <w:r w:rsidRPr="00C732FA">
      <w:rPr>
        <w:rStyle w:val="SidhuvudUtskott"/>
      </w:rPr>
      <w:instrText xml:space="preserve"> if </w:instrText>
    </w:r>
    <w:r w:rsidRPr="00C732FA">
      <w:rPr>
        <w:rStyle w:val="SidhuvudUtskott"/>
      </w:rPr>
      <w:fldChar w:fldCharType="begin" w:fldLock="1"/>
    </w:r>
    <w:r w:rsidRPr="00C732FA">
      <w:rPr>
        <w:rStyle w:val="SidhuvudUtskott"/>
      </w:rPr>
      <w:instrText xml:space="preserve"> DOCPROPERTY "UtkastDatum"</w:instrText>
    </w:r>
    <w:r w:rsidRPr="00C732FA">
      <w:rPr>
        <w:rStyle w:val="SidhuvudUtskott"/>
      </w:rPr>
      <w:fldChar w:fldCharType="separate"/>
    </w:r>
    <w:r w:rsidRPr="00C732FA">
      <w:rPr>
        <w:rStyle w:val="SidhuvudUtskott"/>
      </w:rPr>
      <w:instrText>Nej</w:instrText>
    </w:r>
    <w:r w:rsidRPr="00C732FA">
      <w:rPr>
        <w:rStyle w:val="SidhuvudUtskott"/>
      </w:rPr>
      <w:fldChar w:fldCharType="end"/>
    </w:r>
    <w:r w:rsidRPr="00C732FA">
      <w:rPr>
        <w:rStyle w:val="SidhuvudUtskott"/>
      </w:rPr>
      <w:instrText xml:space="preserve"> = "Ja" "    </w:instrText>
    </w:r>
    <w:r w:rsidRPr="00C732FA">
      <w:rPr>
        <w:rStyle w:val="SidhuvudUtskott"/>
      </w:rPr>
      <w:fldChar w:fldCharType="begin" w:fldLock="1"/>
    </w:r>
    <w:r w:rsidRPr="00C732FA">
      <w:rPr>
        <w:rStyle w:val="SidhuvudUtskott"/>
      </w:rPr>
      <w:instrText xml:space="preserve"> PRINTDATE \@ "yyyy-MM-dd HH.mm" </w:instrText>
    </w:r>
    <w:r w:rsidRPr="00C732FA">
      <w:rPr>
        <w:rStyle w:val="SidhuvudUtskott"/>
      </w:rPr>
      <w:fldChar w:fldCharType="separate"/>
    </w:r>
    <w:r w:rsidRPr="00C732FA">
      <w:rPr>
        <w:rStyle w:val="SidhuvudUtskott"/>
      </w:rPr>
      <w:instrText>2000-08-11 16.42</w:instrText>
    </w:r>
    <w:r w:rsidRPr="00C732FA">
      <w:rPr>
        <w:rStyle w:val="SidhuvudUtskott"/>
      </w:rPr>
      <w:fldChar w:fldCharType="end"/>
    </w:r>
    <w:r w:rsidRPr="00C732FA">
      <w:rPr>
        <w:rStyle w:val="SidhuvudUtskott"/>
      </w:rPr>
      <w:instrText xml:space="preserve">" </w:instrText>
    </w:r>
    <w:r w:rsidRPr="00C732FA">
      <w:rPr>
        <w:rStyle w:val="SidhuvudUtskott"/>
      </w:rPr>
      <w:fldChar w:fldCharType="end"/>
    </w:r>
  </w:p>
  <w:p w:rsidR="00E456C4" w:rsidRPr="00C732FA" w:rsidRDefault="00E456C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6C4" w:rsidRPr="00C732FA" w:rsidRDefault="00E456C4">
    <w:pPr>
      <w:pStyle w:val="SidhuvudKantUdda"/>
      <w:framePr w:w="8732" w:h="567" w:hRule="exact" w:vSpace="0" w:wrap="around" w:vAnchor="page" w:y="341" w:anchorLock="0"/>
    </w:pPr>
    <w:r w:rsidRPr="00C732FA">
      <w:rPr>
        <w:rStyle w:val="SidhuvudRubrikReferens"/>
      </w:rPr>
      <w:fldChar w:fldCharType="begin" w:fldLock="1"/>
    </w:r>
    <w:r w:rsidRPr="00C732FA">
      <w:rPr>
        <w:rStyle w:val="SidhuvudRubrikReferens"/>
      </w:rPr>
      <w:instrText xml:space="preserve"> StyleREF "Rubrik 1" </w:instrText>
    </w:r>
    <w:r w:rsidRPr="00C732FA">
      <w:rPr>
        <w:rStyle w:val="SidhuvudRubrikReferens"/>
      </w:rPr>
      <w:fldChar w:fldCharType="separate"/>
    </w:r>
    <w:r w:rsidRPr="00C732FA">
      <w:rPr>
        <w:rStyle w:val="SidhuvudRubrikReferens"/>
      </w:rPr>
      <w:t>Innehållsförteckning</w:t>
    </w:r>
    <w:r w:rsidRPr="00C732FA">
      <w:rPr>
        <w:rStyle w:val="SidhuvudRubrikReferens"/>
      </w:rPr>
      <w:fldChar w:fldCharType="end"/>
    </w:r>
    <w:r w:rsidRPr="00C732FA">
      <w:rPr>
        <w:rStyle w:val="SidhuvudBilaga"/>
      </w:rPr>
      <w:t xml:space="preserve"> </w:t>
    </w:r>
    <w:r w:rsidRPr="00C732FA">
      <w:t xml:space="preserve">     </w:t>
    </w:r>
    <w:r w:rsidRPr="00C732FA">
      <w:rPr>
        <w:rStyle w:val="SidhuvudUtskott"/>
      </w:rPr>
      <w:fldChar w:fldCharType="begin" w:fldLock="1"/>
    </w:r>
    <w:r w:rsidRPr="00C732FA">
      <w:rPr>
        <w:rStyle w:val="SidhuvudUtskott"/>
      </w:rPr>
      <w:instrText xml:space="preserve"> DOCPROPERTY BetänkandeÅr</w:instrText>
    </w:r>
    <w:r w:rsidRPr="00C732FA">
      <w:rPr>
        <w:rStyle w:val="SidhuvudUtskott"/>
      </w:rPr>
      <w:fldChar w:fldCharType="separate"/>
    </w:r>
    <w:r w:rsidRPr="00C732FA">
      <w:rPr>
        <w:rStyle w:val="SidhuvudUtskott"/>
      </w:rPr>
      <w:t>2009/10</w:t>
    </w:r>
    <w:r w:rsidRPr="00C732FA">
      <w:rPr>
        <w:rStyle w:val="SidhuvudUtskott"/>
      </w:rPr>
      <w:fldChar w:fldCharType="end"/>
    </w:r>
    <w:r w:rsidRPr="00C732FA">
      <w:rPr>
        <w:rStyle w:val="SidhuvudUtskott"/>
      </w:rPr>
      <w:t>:</w:t>
    </w:r>
    <w:r w:rsidRPr="00C732FA">
      <w:rPr>
        <w:rStyle w:val="SidhuvudUtskott"/>
      </w:rPr>
      <w:fldChar w:fldCharType="begin" w:fldLock="1"/>
    </w:r>
    <w:r w:rsidRPr="00C732FA">
      <w:rPr>
        <w:rStyle w:val="SidhuvudUtskott"/>
      </w:rPr>
      <w:instrText xml:space="preserve"> DOCPROPERTY</w:instrText>
    </w:r>
    <w:r w:rsidRPr="00C732FA">
      <w:instrText xml:space="preserve"> </w:instrText>
    </w:r>
    <w:r w:rsidRPr="00C732FA">
      <w:rPr>
        <w:rStyle w:val="SidhuvudUtskott"/>
      </w:rPr>
      <w:instrText>Utskott</w:instrText>
    </w:r>
    <w:r w:rsidRPr="00C732FA">
      <w:rPr>
        <w:rStyle w:val="SidhuvudUtskott"/>
      </w:rPr>
      <w:fldChar w:fldCharType="separate"/>
    </w:r>
    <w:r w:rsidRPr="00C732FA">
      <w:rPr>
        <w:rStyle w:val="SidhuvudUtskott"/>
      </w:rPr>
      <w:t>RRS</w: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BetänkandeNr</w:instrText>
    </w:r>
    <w:r w:rsidRPr="00C732FA">
      <w:rPr>
        <w:rStyle w:val="SidhuvudUtskott"/>
      </w:rPr>
      <w:fldChar w:fldCharType="separate"/>
    </w:r>
    <w:r w:rsidRPr="00C732FA">
      <w:rPr>
        <w:rStyle w:val="SidhuvudUtskott"/>
      </w:rPr>
      <w:t>20</w:t>
    </w:r>
    <w:r w:rsidRPr="00C732FA">
      <w:rPr>
        <w:rStyle w:val="SidhuvudUtskott"/>
      </w:rPr>
      <w:fldChar w:fldCharType="end"/>
    </w:r>
  </w:p>
  <w:p w:rsidR="00E456C4" w:rsidRPr="00C732FA" w:rsidRDefault="00E456C4">
    <w:pPr>
      <w:pStyle w:val="SidhuvudKantUdda"/>
      <w:framePr w:w="8732" w:h="567" w:hRule="exact" w:vSpace="0" w:wrap="around" w:vAnchor="page" w:y="341" w:anchorLock="0"/>
    </w:pPr>
    <w:r w:rsidRPr="00C732FA">
      <w:rPr>
        <w:rStyle w:val="SidhuvudUtskott"/>
      </w:rPr>
      <w:fldChar w:fldCharType="begin" w:fldLock="1"/>
    </w:r>
    <w:r w:rsidRPr="00C732FA">
      <w:rPr>
        <w:rStyle w:val="SidhuvudUtskott"/>
      </w:rPr>
      <w:instrText xml:space="preserve"> if </w:instrText>
    </w:r>
    <w:r w:rsidRPr="00C732FA">
      <w:rPr>
        <w:rStyle w:val="SidhuvudUtskott"/>
      </w:rPr>
      <w:fldChar w:fldCharType="begin" w:fldLock="1"/>
    </w:r>
    <w:r w:rsidRPr="00C732FA">
      <w:rPr>
        <w:rStyle w:val="SidhuvudUtskott"/>
      </w:rPr>
      <w:instrText xml:space="preserve"> DOCPROPERTY "UtkastDatum"</w:instrText>
    </w:r>
    <w:r w:rsidRPr="00C732FA">
      <w:rPr>
        <w:rStyle w:val="SidhuvudUtskott"/>
      </w:rPr>
      <w:fldChar w:fldCharType="separate"/>
    </w:r>
    <w:r w:rsidRPr="00C732FA">
      <w:rPr>
        <w:rStyle w:val="SidhuvudUtskott"/>
      </w:rPr>
      <w:instrText>Nej</w:instrText>
    </w:r>
    <w:r w:rsidRPr="00C732FA">
      <w:rPr>
        <w:rStyle w:val="SidhuvudUtskott"/>
      </w:rPr>
      <w:fldChar w:fldCharType="end"/>
    </w:r>
    <w:r w:rsidRPr="00C732FA">
      <w:rPr>
        <w:rStyle w:val="SidhuvudUtskott"/>
      </w:rPr>
      <w:instrText xml:space="preserve"> = "Ja" "</w:instrText>
    </w:r>
    <w:r w:rsidRPr="00C732FA">
      <w:rPr>
        <w:rStyle w:val="SidhuvudUtskott"/>
      </w:rPr>
      <w:fldChar w:fldCharType="begin" w:fldLock="1"/>
    </w:r>
    <w:r w:rsidRPr="00C732FA">
      <w:rPr>
        <w:rStyle w:val="SidhuvudUtskott"/>
      </w:rPr>
      <w:instrText xml:space="preserve"> PRINTDATE \@ "yyyy-MM-dd HH.mm    " </w:instrText>
    </w:r>
    <w:r w:rsidRPr="00C732FA">
      <w:rPr>
        <w:rStyle w:val="SidhuvudUtskott"/>
      </w:rPr>
      <w:fldChar w:fldCharType="separate"/>
    </w:r>
    <w:r w:rsidRPr="00C732FA">
      <w:rPr>
        <w:rStyle w:val="SidhuvudUtskott"/>
      </w:rPr>
      <w:instrText>2000-08-11 16.42</w:instrText>
    </w:r>
    <w:r w:rsidRPr="00C732FA">
      <w:rPr>
        <w:rStyle w:val="SidhuvudUtskott"/>
      </w:rPr>
      <w:fldChar w:fldCharType="end"/>
    </w:r>
    <w:r w:rsidRPr="00C732FA">
      <w:rPr>
        <w:rStyle w:val="SidhuvudUtskott"/>
      </w:rPr>
      <w:instrText xml:space="preserve">" </w:instrText>
    </w:r>
    <w:r w:rsidRPr="00C732FA">
      <w:rPr>
        <w:rStyle w:val="SidhuvudUtskott"/>
      </w:rPr>
      <w:fldChar w:fldCharType="end"/>
    </w:r>
    <w:r w:rsidRPr="00C732FA">
      <w:rPr>
        <w:rStyle w:val="SidhuvudUtskott"/>
      </w:rPr>
      <w:fldChar w:fldCharType="begin" w:fldLock="1"/>
    </w:r>
    <w:r w:rsidRPr="00C732FA">
      <w:rPr>
        <w:rStyle w:val="SidhuvudUtskott"/>
      </w:rPr>
      <w:instrText xml:space="preserve"> DOCPROPERTY Status</w:instrText>
    </w:r>
    <w:r w:rsidRPr="00C732FA">
      <w:rPr>
        <w:rStyle w:val="SidhuvudUtskott"/>
      </w:rPr>
      <w:fldChar w:fldCharType="end"/>
    </w:r>
  </w:p>
  <w:p w:rsidR="00E456C4" w:rsidRPr="00C732FA" w:rsidRDefault="00E456C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1B7" w:rsidRPr="00C732FA" w:rsidRDefault="000F11B7">
    <w:pPr>
      <w:pStyle w:val="SidhuvudKantUdda"/>
      <w:framePr w:w="8732" w:h="567" w:hRule="exact" w:vSpace="0" w:wrap="around" w:vAnchor="page" w:y="341" w:anchorLock="0"/>
    </w:pPr>
    <w:r w:rsidRPr="00C732FA">
      <w:t xml:space="preserve">  </w:t>
    </w:r>
    <w:r w:rsidRPr="00C732FA">
      <w:rPr>
        <w:rStyle w:val="SidhuvudUtskott"/>
      </w:rPr>
      <w:t>2009/10:RRS20</w:t>
    </w:r>
  </w:p>
  <w:p w:rsidR="00E456C4" w:rsidRPr="00C732FA" w:rsidRDefault="00E456C4">
    <w:pPr>
      <w:pStyle w:val="SidhuvudKantUdda"/>
      <w:framePr w:w="8732" w:h="567" w:hRule="exact" w:vSpace="0" w:wrap="around" w:vAnchor="page" w:y="341" w:anchorLock="0"/>
    </w:pPr>
  </w:p>
  <w:p w:rsidR="00E456C4" w:rsidRPr="00C732FA" w:rsidRDefault="00E456C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D6A06E1"/>
    <w:multiLevelType w:val="hybridMultilevel"/>
    <w:tmpl w:val="38D46ABC"/>
    <w:lvl w:ilvl="0" w:tplc="F6E658AE">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0B35EC4"/>
    <w:multiLevelType w:val="hybridMultilevel"/>
    <w:tmpl w:val="95FEB4CA"/>
    <w:lvl w:ilvl="0" w:tplc="F6E658AE">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3432F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AB237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21080113">
    <w:abstractNumId w:val="1"/>
  </w:num>
  <w:num w:numId="2" w16cid:durableId="944116852">
    <w:abstractNumId w:val="6"/>
  </w:num>
  <w:num w:numId="3" w16cid:durableId="1698003153">
    <w:abstractNumId w:val="0"/>
  </w:num>
  <w:num w:numId="4" w16cid:durableId="812914708">
    <w:abstractNumId w:val="7"/>
  </w:num>
  <w:num w:numId="5" w16cid:durableId="2012296570">
    <w:abstractNumId w:val="2"/>
  </w:num>
  <w:num w:numId="6" w16cid:durableId="1245454395">
    <w:abstractNumId w:val="3"/>
  </w:num>
  <w:num w:numId="7" w16cid:durableId="701595284">
    <w:abstractNumId w:val="4"/>
  </w:num>
  <w:num w:numId="8" w16cid:durableId="1365790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001801"/>
    <w:rsid w:val="00001801"/>
    <w:rsid w:val="0000600B"/>
    <w:rsid w:val="00007428"/>
    <w:rsid w:val="00011E78"/>
    <w:rsid w:val="000173D6"/>
    <w:rsid w:val="00017CC4"/>
    <w:rsid w:val="00037057"/>
    <w:rsid w:val="00042497"/>
    <w:rsid w:val="000605BB"/>
    <w:rsid w:val="00064B25"/>
    <w:rsid w:val="00074909"/>
    <w:rsid w:val="000827F1"/>
    <w:rsid w:val="000946E9"/>
    <w:rsid w:val="000957ED"/>
    <w:rsid w:val="000A0F34"/>
    <w:rsid w:val="000A54A1"/>
    <w:rsid w:val="000B264A"/>
    <w:rsid w:val="000C6E9C"/>
    <w:rsid w:val="000D2165"/>
    <w:rsid w:val="000F11B7"/>
    <w:rsid w:val="000F2E14"/>
    <w:rsid w:val="00107341"/>
    <w:rsid w:val="00127E0D"/>
    <w:rsid w:val="001348B2"/>
    <w:rsid w:val="00135E4B"/>
    <w:rsid w:val="001573EE"/>
    <w:rsid w:val="00165D46"/>
    <w:rsid w:val="00167C05"/>
    <w:rsid w:val="001A2830"/>
    <w:rsid w:val="001A3F2A"/>
    <w:rsid w:val="001C5012"/>
    <w:rsid w:val="001E264E"/>
    <w:rsid w:val="0020634B"/>
    <w:rsid w:val="00215556"/>
    <w:rsid w:val="00250D7B"/>
    <w:rsid w:val="00262702"/>
    <w:rsid w:val="00274027"/>
    <w:rsid w:val="002A1381"/>
    <w:rsid w:val="002C5DE9"/>
    <w:rsid w:val="002E2E7A"/>
    <w:rsid w:val="002F0A87"/>
    <w:rsid w:val="002F4D5B"/>
    <w:rsid w:val="002F6EFC"/>
    <w:rsid w:val="00302880"/>
    <w:rsid w:val="00303AFE"/>
    <w:rsid w:val="00315A4F"/>
    <w:rsid w:val="003278A8"/>
    <w:rsid w:val="0033062D"/>
    <w:rsid w:val="00335CE1"/>
    <w:rsid w:val="003473DC"/>
    <w:rsid w:val="00354267"/>
    <w:rsid w:val="00374EA5"/>
    <w:rsid w:val="00390D28"/>
    <w:rsid w:val="003A5C6B"/>
    <w:rsid w:val="003A799F"/>
    <w:rsid w:val="003B4CCD"/>
    <w:rsid w:val="003D58DB"/>
    <w:rsid w:val="003D79D8"/>
    <w:rsid w:val="003E4344"/>
    <w:rsid w:val="003F0BEE"/>
    <w:rsid w:val="003F2CE9"/>
    <w:rsid w:val="004276FE"/>
    <w:rsid w:val="00430AC9"/>
    <w:rsid w:val="0043617E"/>
    <w:rsid w:val="0043658A"/>
    <w:rsid w:val="004413C6"/>
    <w:rsid w:val="00457DCE"/>
    <w:rsid w:val="00471647"/>
    <w:rsid w:val="004A04BD"/>
    <w:rsid w:val="004B09C6"/>
    <w:rsid w:val="004D37EE"/>
    <w:rsid w:val="00502961"/>
    <w:rsid w:val="00512BE8"/>
    <w:rsid w:val="0054091B"/>
    <w:rsid w:val="0056184B"/>
    <w:rsid w:val="005A2C00"/>
    <w:rsid w:val="005A7192"/>
    <w:rsid w:val="005C7E45"/>
    <w:rsid w:val="005E2860"/>
    <w:rsid w:val="005F4B96"/>
    <w:rsid w:val="00606830"/>
    <w:rsid w:val="00607C54"/>
    <w:rsid w:val="00610A95"/>
    <w:rsid w:val="00640FD6"/>
    <w:rsid w:val="00647003"/>
    <w:rsid w:val="00655367"/>
    <w:rsid w:val="006603E1"/>
    <w:rsid w:val="006826BB"/>
    <w:rsid w:val="00686849"/>
    <w:rsid w:val="006B643F"/>
    <w:rsid w:val="006B6CCD"/>
    <w:rsid w:val="006D0187"/>
    <w:rsid w:val="006E7040"/>
    <w:rsid w:val="00701C80"/>
    <w:rsid w:val="007141DE"/>
    <w:rsid w:val="00720DCD"/>
    <w:rsid w:val="00731201"/>
    <w:rsid w:val="00734FFB"/>
    <w:rsid w:val="00764C3D"/>
    <w:rsid w:val="007732C0"/>
    <w:rsid w:val="007904F9"/>
    <w:rsid w:val="007A624F"/>
    <w:rsid w:val="007B7E6B"/>
    <w:rsid w:val="007F1AAF"/>
    <w:rsid w:val="007F3BC7"/>
    <w:rsid w:val="00803EF4"/>
    <w:rsid w:val="00807E98"/>
    <w:rsid w:val="00823904"/>
    <w:rsid w:val="00826B13"/>
    <w:rsid w:val="00836722"/>
    <w:rsid w:val="0083721E"/>
    <w:rsid w:val="00840B75"/>
    <w:rsid w:val="00853C16"/>
    <w:rsid w:val="008562CB"/>
    <w:rsid w:val="008603A2"/>
    <w:rsid w:val="0087428A"/>
    <w:rsid w:val="00874F89"/>
    <w:rsid w:val="008873BE"/>
    <w:rsid w:val="008A1D8E"/>
    <w:rsid w:val="008B2C17"/>
    <w:rsid w:val="008D0D0D"/>
    <w:rsid w:val="009020EC"/>
    <w:rsid w:val="009029E9"/>
    <w:rsid w:val="00917511"/>
    <w:rsid w:val="00925687"/>
    <w:rsid w:val="00931551"/>
    <w:rsid w:val="00972985"/>
    <w:rsid w:val="00984F0C"/>
    <w:rsid w:val="00985CC9"/>
    <w:rsid w:val="009A6069"/>
    <w:rsid w:val="009F0224"/>
    <w:rsid w:val="00A062F9"/>
    <w:rsid w:val="00A44154"/>
    <w:rsid w:val="00A44926"/>
    <w:rsid w:val="00A478F8"/>
    <w:rsid w:val="00A53A17"/>
    <w:rsid w:val="00A660C7"/>
    <w:rsid w:val="00A73A57"/>
    <w:rsid w:val="00A80E09"/>
    <w:rsid w:val="00A84ADB"/>
    <w:rsid w:val="00AA22D8"/>
    <w:rsid w:val="00AC632F"/>
    <w:rsid w:val="00B11FC6"/>
    <w:rsid w:val="00B25262"/>
    <w:rsid w:val="00B421DE"/>
    <w:rsid w:val="00B55C9F"/>
    <w:rsid w:val="00B604F3"/>
    <w:rsid w:val="00B66263"/>
    <w:rsid w:val="00B709AB"/>
    <w:rsid w:val="00B802FE"/>
    <w:rsid w:val="00B8754E"/>
    <w:rsid w:val="00B912E9"/>
    <w:rsid w:val="00BB7EAA"/>
    <w:rsid w:val="00BE4B5C"/>
    <w:rsid w:val="00BF26A9"/>
    <w:rsid w:val="00BF4551"/>
    <w:rsid w:val="00C1366D"/>
    <w:rsid w:val="00C27098"/>
    <w:rsid w:val="00C359AA"/>
    <w:rsid w:val="00C40292"/>
    <w:rsid w:val="00C402EA"/>
    <w:rsid w:val="00C61DED"/>
    <w:rsid w:val="00C6357C"/>
    <w:rsid w:val="00C659B0"/>
    <w:rsid w:val="00C732FA"/>
    <w:rsid w:val="00C94968"/>
    <w:rsid w:val="00CD347C"/>
    <w:rsid w:val="00CE5148"/>
    <w:rsid w:val="00D04C86"/>
    <w:rsid w:val="00D130E4"/>
    <w:rsid w:val="00D32613"/>
    <w:rsid w:val="00D53231"/>
    <w:rsid w:val="00D63318"/>
    <w:rsid w:val="00DB20B0"/>
    <w:rsid w:val="00DC7B60"/>
    <w:rsid w:val="00DD2FCA"/>
    <w:rsid w:val="00DE4913"/>
    <w:rsid w:val="00E370DB"/>
    <w:rsid w:val="00E40A53"/>
    <w:rsid w:val="00E442E6"/>
    <w:rsid w:val="00E456C4"/>
    <w:rsid w:val="00E46740"/>
    <w:rsid w:val="00E838A4"/>
    <w:rsid w:val="00E86A26"/>
    <w:rsid w:val="00EC5736"/>
    <w:rsid w:val="00EE7CA1"/>
    <w:rsid w:val="00F1223B"/>
    <w:rsid w:val="00F159E5"/>
    <w:rsid w:val="00F16521"/>
    <w:rsid w:val="00F44958"/>
    <w:rsid w:val="00F766F5"/>
    <w:rsid w:val="00F76A81"/>
    <w:rsid w:val="00F76C41"/>
    <w:rsid w:val="00F849C8"/>
    <w:rsid w:val="00FA0C3F"/>
    <w:rsid w:val="00FB0E32"/>
    <w:rsid w:val="00FB1984"/>
    <w:rsid w:val="00FC3F66"/>
    <w:rsid w:val="00FE59F5"/>
    <w:rsid w:val="00FF0C82"/>
    <w:rsid w:val="00FF1C0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9F8848-F3A5-4051-B6F2-33D6ED4C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701C80"/>
    <w:pPr>
      <w:spacing w:before="62" w:line="250" w:lineRule="atLeast"/>
      <w:jc w:val="both"/>
    </w:pPr>
    <w:rPr>
      <w:sz w:val="19"/>
      <w:lang w:val="sv-SE" w:eastAsia="sv-SE"/>
    </w:rPr>
  </w:style>
  <w:style w:type="paragraph" w:styleId="Rubrik1">
    <w:name w:val="heading 1"/>
    <w:basedOn w:val="Normal"/>
    <w:next w:val="Normal"/>
    <w:qFormat/>
    <w:rsid w:val="00701C80"/>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701C80"/>
    <w:pPr>
      <w:spacing w:before="500" w:after="62"/>
      <w:outlineLvl w:val="1"/>
    </w:pPr>
    <w:rPr>
      <w:noProof w:val="0"/>
      <w:sz w:val="27"/>
    </w:rPr>
  </w:style>
  <w:style w:type="paragraph" w:styleId="Rubrik3">
    <w:name w:val="heading 3"/>
    <w:basedOn w:val="Rubrik1"/>
    <w:next w:val="Normal"/>
    <w:qFormat/>
    <w:rsid w:val="00701C80"/>
    <w:pPr>
      <w:spacing w:before="360" w:after="0" w:line="250" w:lineRule="exact"/>
      <w:outlineLvl w:val="2"/>
    </w:pPr>
    <w:rPr>
      <w:b/>
      <w:sz w:val="21"/>
    </w:rPr>
  </w:style>
  <w:style w:type="paragraph" w:styleId="Rubrik4">
    <w:name w:val="heading 4"/>
    <w:basedOn w:val="Rubrik3"/>
    <w:next w:val="Normal"/>
    <w:qFormat/>
    <w:rsid w:val="00701C80"/>
    <w:pPr>
      <w:spacing w:before="250"/>
      <w:outlineLvl w:val="3"/>
    </w:pPr>
    <w:rPr>
      <w:b w:val="0"/>
      <w:i/>
    </w:rPr>
  </w:style>
  <w:style w:type="paragraph" w:styleId="Rubrik5">
    <w:name w:val="heading 5"/>
    <w:basedOn w:val="Rubrik3"/>
    <w:next w:val="Normal"/>
    <w:qFormat/>
    <w:rsid w:val="00701C80"/>
    <w:pPr>
      <w:pBdr>
        <w:bottom w:val="single" w:sz="4" w:space="3" w:color="auto"/>
      </w:pBdr>
      <w:outlineLvl w:val="4"/>
    </w:pPr>
    <w:rPr>
      <w:b w:val="0"/>
      <w:sz w:val="19"/>
    </w:rPr>
  </w:style>
  <w:style w:type="paragraph" w:styleId="Rubrik6">
    <w:name w:val="heading 6"/>
    <w:basedOn w:val="Normal"/>
    <w:next w:val="Normal"/>
    <w:qFormat/>
    <w:rsid w:val="00701C80"/>
    <w:pPr>
      <w:keepNext/>
      <w:spacing w:before="250" w:line="200" w:lineRule="atLeast"/>
      <w:jc w:val="left"/>
      <w:outlineLvl w:val="5"/>
    </w:pPr>
    <w:rPr>
      <w:sz w:val="16"/>
    </w:rPr>
  </w:style>
  <w:style w:type="paragraph" w:styleId="Rubrik7">
    <w:name w:val="heading 7"/>
    <w:basedOn w:val="Rubrik6"/>
    <w:next w:val="Normal"/>
    <w:qFormat/>
    <w:rsid w:val="00701C80"/>
    <w:pPr>
      <w:spacing w:line="240" w:lineRule="auto"/>
      <w:outlineLvl w:val="6"/>
    </w:pPr>
    <w:rPr>
      <w:sz w:val="14"/>
    </w:rPr>
  </w:style>
  <w:style w:type="paragraph" w:styleId="Rubrik8">
    <w:name w:val="heading 8"/>
    <w:basedOn w:val="Rubrik7"/>
    <w:next w:val="Normal"/>
    <w:qFormat/>
    <w:rsid w:val="00701C80"/>
    <w:pPr>
      <w:outlineLvl w:val="7"/>
    </w:pPr>
    <w:rPr>
      <w:i/>
    </w:rPr>
  </w:style>
  <w:style w:type="paragraph" w:styleId="Rubrik9">
    <w:name w:val="heading 9"/>
    <w:basedOn w:val="Normal"/>
    <w:next w:val="Normal"/>
    <w:qFormat/>
    <w:rsid w:val="00701C80"/>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01C80"/>
    <w:pPr>
      <w:spacing w:before="0"/>
      <w:ind w:firstLine="227"/>
    </w:pPr>
  </w:style>
  <w:style w:type="paragraph" w:customStyle="1" w:styleId="HuvudRubrik">
    <w:name w:val="HuvudRubrik"/>
    <w:basedOn w:val="Normal"/>
    <w:rsid w:val="00701C80"/>
    <w:pPr>
      <w:keepNext/>
      <w:keepLines/>
      <w:suppressAutoHyphens/>
      <w:spacing w:before="0" w:line="320" w:lineRule="exact"/>
      <w:jc w:val="left"/>
    </w:pPr>
    <w:rPr>
      <w:sz w:val="32"/>
    </w:rPr>
  </w:style>
  <w:style w:type="paragraph" w:customStyle="1" w:styleId="StatusSida1">
    <w:name w:val="Status Sida1"/>
    <w:basedOn w:val="Normal"/>
    <w:rsid w:val="00701C80"/>
    <w:pPr>
      <w:spacing w:before="0" w:line="240" w:lineRule="auto"/>
      <w:jc w:val="center"/>
    </w:pPr>
    <w:rPr>
      <w:sz w:val="24"/>
    </w:rPr>
  </w:style>
  <w:style w:type="paragraph" w:customStyle="1" w:styleId="UtskriftsdatumSida1">
    <w:name w:val="Utskriftsdatum Sida1"/>
    <w:basedOn w:val="SidhuvudKant"/>
    <w:rsid w:val="00701C80"/>
    <w:pPr>
      <w:framePr w:wrap="around"/>
      <w:spacing w:line="240" w:lineRule="auto"/>
      <w:jc w:val="center"/>
    </w:pPr>
  </w:style>
  <w:style w:type="paragraph" w:customStyle="1" w:styleId="SidhuvudKant">
    <w:name w:val="SidhuvudKant"/>
    <w:basedOn w:val="Sidhuvud"/>
    <w:rsid w:val="00701C80"/>
    <w:pPr>
      <w:framePr w:w="8789" w:vSpace="142" w:wrap="around" w:vAnchor="text" w:hAnchor="page" w:xAlign="inside" w:y="1" w:anchorLock="1"/>
      <w:ind w:left="0"/>
    </w:pPr>
  </w:style>
  <w:style w:type="paragraph" w:styleId="Sidhuvud">
    <w:name w:val="header"/>
    <w:basedOn w:val="Normal"/>
    <w:rsid w:val="00701C80"/>
    <w:pPr>
      <w:tabs>
        <w:tab w:val="center" w:pos="4252"/>
        <w:tab w:val="right" w:pos="8504"/>
      </w:tabs>
      <w:spacing w:before="0"/>
      <w:ind w:left="-851"/>
      <w:jc w:val="left"/>
    </w:pPr>
  </w:style>
  <w:style w:type="paragraph" w:customStyle="1" w:styleId="Yrkanden">
    <w:name w:val="Yrkanden"/>
    <w:basedOn w:val="Normal"/>
    <w:rsid w:val="00701C80"/>
    <w:pPr>
      <w:ind w:left="227" w:hanging="227"/>
    </w:pPr>
  </w:style>
  <w:style w:type="paragraph" w:customStyle="1" w:styleId="Tabelltextsiffror">
    <w:name w:val="Tabelltext siffror"/>
    <w:basedOn w:val="Tabelltext"/>
    <w:rsid w:val="00701C80"/>
    <w:pPr>
      <w:jc w:val="right"/>
    </w:pPr>
  </w:style>
  <w:style w:type="paragraph" w:styleId="Citat">
    <w:name w:val="Quote"/>
    <w:basedOn w:val="Normal"/>
    <w:next w:val="CitatIndrag"/>
    <w:qFormat/>
    <w:rsid w:val="00701C80"/>
    <w:pPr>
      <w:spacing w:before="0" w:line="200" w:lineRule="exact"/>
      <w:ind w:left="340"/>
    </w:pPr>
  </w:style>
  <w:style w:type="paragraph" w:customStyle="1" w:styleId="CitatIndrag">
    <w:name w:val="CitatIndrag"/>
    <w:basedOn w:val="Citat"/>
    <w:rsid w:val="00701C80"/>
    <w:pPr>
      <w:ind w:firstLine="227"/>
    </w:pPr>
  </w:style>
  <w:style w:type="paragraph" w:customStyle="1" w:styleId="Deltagare">
    <w:name w:val="Deltagare"/>
    <w:basedOn w:val="Normal"/>
    <w:next w:val="Normal"/>
    <w:rsid w:val="00701C80"/>
    <w:pPr>
      <w:keepLines/>
      <w:spacing w:before="500" w:line="200" w:lineRule="exact"/>
    </w:pPr>
    <w:rPr>
      <w:noProof/>
    </w:rPr>
  </w:style>
  <w:style w:type="paragraph" w:styleId="Fotnotstext">
    <w:name w:val="footnote text"/>
    <w:basedOn w:val="Normal"/>
    <w:next w:val="Fotnotstextindrag"/>
    <w:semiHidden/>
    <w:rsid w:val="00701C80"/>
    <w:pPr>
      <w:spacing w:before="0" w:line="170" w:lineRule="exact"/>
    </w:pPr>
    <w:rPr>
      <w:sz w:val="17"/>
    </w:rPr>
  </w:style>
  <w:style w:type="paragraph" w:customStyle="1" w:styleId="Innehll">
    <w:name w:val="Innehåll"/>
    <w:basedOn w:val="Rubrik1"/>
    <w:next w:val="Normal"/>
    <w:rsid w:val="00701C80"/>
  </w:style>
  <w:style w:type="paragraph" w:styleId="Innehll1">
    <w:name w:val="toc 1"/>
    <w:basedOn w:val="Normal"/>
    <w:uiPriority w:val="39"/>
    <w:rsid w:val="00701C80"/>
    <w:pPr>
      <w:tabs>
        <w:tab w:val="right" w:leader="dot" w:pos="5954"/>
      </w:tabs>
      <w:spacing w:before="0"/>
      <w:ind w:right="567"/>
      <w:jc w:val="left"/>
    </w:pPr>
  </w:style>
  <w:style w:type="paragraph" w:styleId="Innehll2">
    <w:name w:val="toc 2"/>
    <w:basedOn w:val="Innehll1"/>
    <w:uiPriority w:val="39"/>
    <w:rsid w:val="00701C80"/>
    <w:pPr>
      <w:ind w:left="568" w:hanging="284"/>
    </w:pPr>
  </w:style>
  <w:style w:type="paragraph" w:styleId="Innehll3">
    <w:name w:val="toc 3"/>
    <w:basedOn w:val="Innehll1"/>
    <w:uiPriority w:val="39"/>
    <w:rsid w:val="00701C80"/>
    <w:pPr>
      <w:ind w:left="851" w:hanging="284"/>
    </w:pPr>
  </w:style>
  <w:style w:type="paragraph" w:styleId="Innehll4">
    <w:name w:val="toc 4"/>
    <w:basedOn w:val="Innehll1"/>
    <w:semiHidden/>
    <w:rsid w:val="00701C80"/>
    <w:pPr>
      <w:ind w:left="1135" w:hanging="284"/>
    </w:pPr>
  </w:style>
  <w:style w:type="paragraph" w:styleId="Innehll5">
    <w:name w:val="toc 5"/>
    <w:basedOn w:val="Innehll4"/>
    <w:next w:val="Normal"/>
    <w:semiHidden/>
    <w:rsid w:val="00701C80"/>
    <w:pPr>
      <w:ind w:left="907"/>
    </w:pPr>
  </w:style>
  <w:style w:type="paragraph" w:styleId="Innehll6">
    <w:name w:val="toc 6"/>
    <w:basedOn w:val="Innehll5"/>
    <w:next w:val="Normal"/>
    <w:semiHidden/>
    <w:rsid w:val="00701C80"/>
    <w:pPr>
      <w:ind w:left="1134"/>
    </w:pPr>
  </w:style>
  <w:style w:type="paragraph" w:styleId="Innehll7">
    <w:name w:val="toc 7"/>
    <w:basedOn w:val="Innehll6"/>
    <w:next w:val="Normal"/>
    <w:semiHidden/>
    <w:rsid w:val="00701C80"/>
    <w:pPr>
      <w:ind w:left="1361"/>
    </w:pPr>
  </w:style>
  <w:style w:type="paragraph" w:styleId="Innehll8">
    <w:name w:val="toc 8"/>
    <w:basedOn w:val="Innehll7"/>
    <w:next w:val="Normal"/>
    <w:semiHidden/>
    <w:rsid w:val="00701C80"/>
    <w:pPr>
      <w:ind w:left="1588"/>
    </w:pPr>
  </w:style>
  <w:style w:type="paragraph" w:styleId="Innehll9">
    <w:name w:val="toc 9"/>
    <w:basedOn w:val="Normal"/>
    <w:next w:val="Normal"/>
    <w:semiHidden/>
    <w:rsid w:val="00701C80"/>
    <w:pPr>
      <w:tabs>
        <w:tab w:val="right" w:leader="dot" w:pos="5896"/>
      </w:tabs>
      <w:spacing w:before="0"/>
      <w:ind w:left="1814"/>
    </w:pPr>
  </w:style>
  <w:style w:type="character" w:styleId="Kommentarsreferens">
    <w:name w:val="annotation reference"/>
    <w:basedOn w:val="Standardstycketeckensnitt"/>
    <w:semiHidden/>
    <w:rsid w:val="00701C80"/>
    <w:rPr>
      <w:sz w:val="16"/>
    </w:rPr>
  </w:style>
  <w:style w:type="paragraph" w:customStyle="1" w:styleId="Lagtext">
    <w:name w:val="Lagtext"/>
    <w:basedOn w:val="Normal"/>
    <w:rsid w:val="00701C80"/>
    <w:pPr>
      <w:spacing w:before="0" w:line="220" w:lineRule="exact"/>
    </w:pPr>
  </w:style>
  <w:style w:type="paragraph" w:customStyle="1" w:styleId="LagtextIndrag">
    <w:name w:val="LagtextIndrag"/>
    <w:basedOn w:val="Lagtext"/>
    <w:rsid w:val="00701C80"/>
    <w:pPr>
      <w:ind w:firstLine="170"/>
    </w:pPr>
  </w:style>
  <w:style w:type="paragraph" w:styleId="Makrotext">
    <w:name w:val="macro"/>
    <w:semiHidden/>
    <w:rsid w:val="00701C80"/>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701C80"/>
    <w:rPr>
      <w:smallCaps/>
      <w:spacing w:val="14"/>
      <w:sz w:val="16"/>
    </w:rPr>
  </w:style>
  <w:style w:type="character" w:customStyle="1" w:styleId="SidhuvudRubrikReferens">
    <w:name w:val="SidhuvudRubrikReferens"/>
    <w:basedOn w:val="Standardstycketeckensnitt"/>
    <w:rsid w:val="00701C80"/>
    <w:rPr>
      <w:smallCaps/>
      <w:spacing w:val="14"/>
      <w:sz w:val="16"/>
    </w:rPr>
  </w:style>
  <w:style w:type="paragraph" w:customStyle="1" w:styleId="R1">
    <w:name w:val="R1"/>
    <w:basedOn w:val="Normal"/>
    <w:next w:val="Normal"/>
    <w:rsid w:val="00701C80"/>
    <w:pPr>
      <w:keepNext/>
      <w:keepLines/>
      <w:suppressAutoHyphens/>
      <w:spacing w:before="0" w:after="555"/>
      <w:jc w:val="left"/>
    </w:pPr>
    <w:rPr>
      <w:sz w:val="32"/>
    </w:rPr>
  </w:style>
  <w:style w:type="paragraph" w:customStyle="1" w:styleId="R2">
    <w:name w:val="R2"/>
    <w:basedOn w:val="Normal"/>
    <w:next w:val="Normal"/>
    <w:rsid w:val="00701C80"/>
    <w:pPr>
      <w:keepNext/>
      <w:keepLines/>
      <w:suppressAutoHyphens/>
      <w:spacing w:before="500" w:after="62"/>
      <w:jc w:val="left"/>
    </w:pPr>
    <w:rPr>
      <w:sz w:val="27"/>
    </w:rPr>
  </w:style>
  <w:style w:type="paragraph" w:customStyle="1" w:styleId="R3">
    <w:name w:val="R3"/>
    <w:basedOn w:val="Normal"/>
    <w:next w:val="Normal"/>
    <w:rsid w:val="00701C80"/>
    <w:pPr>
      <w:keepNext/>
      <w:keepLines/>
      <w:suppressAutoHyphens/>
      <w:spacing w:before="360" w:line="250" w:lineRule="exact"/>
      <w:jc w:val="left"/>
    </w:pPr>
    <w:rPr>
      <w:b/>
      <w:sz w:val="21"/>
    </w:rPr>
  </w:style>
  <w:style w:type="paragraph" w:customStyle="1" w:styleId="R4">
    <w:name w:val="R4"/>
    <w:basedOn w:val="Normal"/>
    <w:next w:val="Normal"/>
    <w:rsid w:val="00701C80"/>
    <w:pPr>
      <w:keepNext/>
      <w:keepLines/>
      <w:suppressAutoHyphens/>
      <w:spacing w:before="250" w:line="250" w:lineRule="exact"/>
      <w:jc w:val="left"/>
    </w:pPr>
    <w:rPr>
      <w:i/>
      <w:sz w:val="21"/>
    </w:rPr>
  </w:style>
  <w:style w:type="paragraph" w:styleId="Sidfot">
    <w:name w:val="footer"/>
    <w:basedOn w:val="Normal"/>
    <w:rsid w:val="00701C80"/>
    <w:pPr>
      <w:tabs>
        <w:tab w:val="center" w:pos="4703"/>
        <w:tab w:val="right" w:pos="9406"/>
      </w:tabs>
      <w:spacing w:before="0"/>
    </w:pPr>
  </w:style>
  <w:style w:type="paragraph" w:customStyle="1" w:styleId="SidfotH">
    <w:name w:val="SidfotH"/>
    <w:basedOn w:val="Normal"/>
    <w:rsid w:val="00701C80"/>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701C80"/>
    <w:pPr>
      <w:framePr w:wrap="around"/>
      <w:jc w:val="left"/>
    </w:pPr>
  </w:style>
  <w:style w:type="paragraph" w:customStyle="1" w:styleId="Pxx-utskottetsvgnar">
    <w:name w:val="På xx-utskottets vägnar"/>
    <w:basedOn w:val="Normal"/>
    <w:next w:val="Ordfranden"/>
    <w:rsid w:val="00701C80"/>
    <w:pPr>
      <w:keepNext/>
      <w:spacing w:before="250"/>
    </w:pPr>
  </w:style>
  <w:style w:type="paragraph" w:customStyle="1" w:styleId="Ordfranden">
    <w:name w:val="Ordföranden"/>
    <w:basedOn w:val="Normal"/>
    <w:next w:val="Deltagare"/>
    <w:rsid w:val="00701C80"/>
    <w:pPr>
      <w:keepNext/>
      <w:spacing w:before="500"/>
    </w:pPr>
    <w:rPr>
      <w:i/>
      <w:noProof/>
    </w:rPr>
  </w:style>
  <w:style w:type="character" w:styleId="Sidnummer">
    <w:name w:val="page number"/>
    <w:basedOn w:val="Standardstycketeckensnitt"/>
    <w:rsid w:val="00701C80"/>
    <w:rPr>
      <w:rFonts w:ascii="Times New Roman" w:hAnsi="Times New Roman"/>
      <w:sz w:val="19"/>
    </w:rPr>
  </w:style>
  <w:style w:type="paragraph" w:customStyle="1" w:styleId="Tryckort">
    <w:name w:val="Tryckort"/>
    <w:basedOn w:val="Normal"/>
    <w:rsid w:val="00701C80"/>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701C80"/>
  </w:style>
  <w:style w:type="paragraph" w:customStyle="1" w:styleId="LagtextRubrik">
    <w:name w:val="LagtextRubrik"/>
    <w:basedOn w:val="Normal"/>
    <w:next w:val="LagtextIndrag"/>
    <w:rsid w:val="00701C80"/>
    <w:pPr>
      <w:spacing w:before="0" w:after="220" w:line="220" w:lineRule="exact"/>
    </w:pPr>
    <w:rPr>
      <w:i/>
    </w:rPr>
  </w:style>
  <w:style w:type="character" w:styleId="Fotnotsreferens">
    <w:name w:val="footnote reference"/>
    <w:basedOn w:val="Standardstycketeckensnitt"/>
    <w:semiHidden/>
    <w:rsid w:val="00701C80"/>
    <w:rPr>
      <w:vertAlign w:val="superscript"/>
    </w:rPr>
  </w:style>
  <w:style w:type="paragraph" w:customStyle="1" w:styleId="SidhuvudKantJmn">
    <w:name w:val="SidhuvudKantJämn"/>
    <w:basedOn w:val="SidhuvudKant"/>
    <w:rsid w:val="00701C80"/>
    <w:pPr>
      <w:framePr w:wrap="around"/>
    </w:pPr>
  </w:style>
  <w:style w:type="character" w:customStyle="1" w:styleId="SidhuvudUtskott">
    <w:name w:val="SidhuvudUtskott"/>
    <w:basedOn w:val="Standardstycketeckensnitt"/>
    <w:rsid w:val="00701C80"/>
    <w:rPr>
      <w:spacing w:val="14"/>
      <w:sz w:val="16"/>
    </w:rPr>
  </w:style>
  <w:style w:type="paragraph" w:customStyle="1" w:styleId="SidhuvudKantUdda">
    <w:name w:val="SidhuvudKantUdda"/>
    <w:basedOn w:val="SidhuvudKant"/>
    <w:rsid w:val="00701C80"/>
    <w:pPr>
      <w:framePr w:wrap="around"/>
      <w:jc w:val="right"/>
    </w:pPr>
  </w:style>
  <w:style w:type="paragraph" w:styleId="Dokumentversikt">
    <w:name w:val="Document Map"/>
    <w:basedOn w:val="Normal"/>
    <w:semiHidden/>
    <w:rsid w:val="00701C80"/>
    <w:pPr>
      <w:shd w:val="clear" w:color="auto" w:fill="000080"/>
    </w:pPr>
    <w:rPr>
      <w:rFonts w:ascii="Tahoma" w:hAnsi="Tahoma"/>
    </w:rPr>
  </w:style>
  <w:style w:type="paragraph" w:customStyle="1" w:styleId="OrtochDatum">
    <w:name w:val="Ort och Datum"/>
    <w:basedOn w:val="Normal"/>
    <w:next w:val="Normal"/>
    <w:rsid w:val="00701C80"/>
    <w:pPr>
      <w:keepNext/>
      <w:spacing w:before="0"/>
    </w:pPr>
  </w:style>
  <w:style w:type="paragraph" w:customStyle="1" w:styleId="Bilaga">
    <w:name w:val="Bilaga"/>
    <w:basedOn w:val="Rubrik2"/>
    <w:rsid w:val="00701C80"/>
    <w:pPr>
      <w:spacing w:before="0" w:after="40" w:line="190" w:lineRule="exact"/>
      <w:outlineLvl w:val="9"/>
    </w:pPr>
    <w:rPr>
      <w:caps/>
      <w:sz w:val="19"/>
      <w:u w:val="single"/>
    </w:rPr>
  </w:style>
  <w:style w:type="paragraph" w:customStyle="1" w:styleId="DokumentRubrik">
    <w:name w:val="DokumentRubrik"/>
    <w:basedOn w:val="Normal"/>
    <w:rsid w:val="00701C80"/>
    <w:pPr>
      <w:spacing w:before="0" w:after="20" w:line="240" w:lineRule="atLeast"/>
      <w:jc w:val="left"/>
    </w:pPr>
    <w:rPr>
      <w:noProof/>
      <w:sz w:val="40"/>
    </w:rPr>
  </w:style>
  <w:style w:type="paragraph" w:customStyle="1" w:styleId="Frslagspunkt">
    <w:name w:val="Förslagspunkt"/>
    <w:basedOn w:val="Rubrik3"/>
    <w:rsid w:val="00701C80"/>
    <w:pPr>
      <w:spacing w:before="250"/>
      <w:ind w:left="340" w:hanging="340"/>
      <w:outlineLvl w:val="9"/>
    </w:pPr>
  </w:style>
  <w:style w:type="paragraph" w:customStyle="1" w:styleId="Frslagstext">
    <w:name w:val="Förslagstext"/>
    <w:basedOn w:val="Normal"/>
    <w:rsid w:val="00701C80"/>
    <w:pPr>
      <w:spacing w:before="0"/>
      <w:ind w:left="340"/>
    </w:pPr>
  </w:style>
  <w:style w:type="paragraph" w:styleId="Kommentarer">
    <w:name w:val="annotation text"/>
    <w:basedOn w:val="Normal"/>
    <w:semiHidden/>
    <w:rsid w:val="00701C80"/>
    <w:pPr>
      <w:spacing w:before="0"/>
    </w:pPr>
    <w:rPr>
      <w:sz w:val="20"/>
    </w:rPr>
  </w:style>
  <w:style w:type="paragraph" w:customStyle="1" w:styleId="Reservanter">
    <w:name w:val="Reservanter"/>
    <w:basedOn w:val="Normaltindrag"/>
    <w:rsid w:val="00701C80"/>
    <w:pPr>
      <w:ind w:left="340" w:firstLine="0"/>
    </w:pPr>
  </w:style>
  <w:style w:type="paragraph" w:customStyle="1" w:styleId="Reservantfrslag">
    <w:name w:val="Reservantförslag"/>
    <w:basedOn w:val="Normal"/>
    <w:rsid w:val="00701C80"/>
    <w:pPr>
      <w:spacing w:before="0"/>
    </w:pPr>
  </w:style>
  <w:style w:type="paragraph" w:customStyle="1" w:styleId="Reservationshnvisning">
    <w:name w:val="Reservationshänvisning"/>
    <w:basedOn w:val="Normal"/>
    <w:rsid w:val="00701C80"/>
    <w:pPr>
      <w:spacing w:before="0"/>
      <w:jc w:val="right"/>
    </w:pPr>
    <w:rPr>
      <w:i/>
    </w:rPr>
  </w:style>
  <w:style w:type="paragraph" w:customStyle="1" w:styleId="Reservationspunkt">
    <w:name w:val="Reservationspunkt"/>
    <w:basedOn w:val="Frslagspunkt"/>
    <w:next w:val="Reservanter"/>
    <w:rsid w:val="00701C80"/>
    <w:pPr>
      <w:spacing w:before="360"/>
      <w:outlineLvl w:val="1"/>
    </w:pPr>
  </w:style>
  <w:style w:type="paragraph" w:customStyle="1" w:styleId="Rubrik1b">
    <w:name w:val="Rubrik 1b"/>
    <w:basedOn w:val="Rubrik2"/>
    <w:rsid w:val="00701C80"/>
    <w:rPr>
      <w:b/>
    </w:rPr>
  </w:style>
  <w:style w:type="paragraph" w:customStyle="1" w:styleId="Rubrik2b">
    <w:name w:val="Rubrik 2b"/>
    <w:basedOn w:val="Rubrik2"/>
    <w:rsid w:val="00701C80"/>
    <w:pPr>
      <w:spacing w:before="360" w:after="0"/>
    </w:pPr>
    <w:rPr>
      <w:sz w:val="25"/>
    </w:rPr>
  </w:style>
  <w:style w:type="paragraph" w:customStyle="1" w:styleId="Rubrik2c">
    <w:name w:val="Rubrik 2c"/>
    <w:basedOn w:val="Rubrik2b"/>
    <w:rsid w:val="00701C80"/>
    <w:pPr>
      <w:pBdr>
        <w:bottom w:val="single" w:sz="4" w:space="3" w:color="auto"/>
      </w:pBdr>
    </w:pPr>
    <w:rPr>
      <w:i/>
      <w:sz w:val="23"/>
    </w:rPr>
  </w:style>
  <w:style w:type="paragraph" w:customStyle="1" w:styleId="Utskottsfrslagikorthet-Text">
    <w:name w:val="Utskottsförslag i korthet - Text"/>
    <w:basedOn w:val="Normal"/>
    <w:rsid w:val="00701C80"/>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701C80"/>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701C80"/>
    <w:pPr>
      <w:pBdr>
        <w:top w:val="single" w:sz="4" w:space="1" w:color="auto"/>
        <w:bottom w:val="single" w:sz="4" w:space="1" w:color="auto"/>
      </w:pBdr>
    </w:pPr>
  </w:style>
  <w:style w:type="paragraph" w:customStyle="1" w:styleId="Utskriftsdatum">
    <w:name w:val="Utskriftsdatum"/>
    <w:basedOn w:val="Normal"/>
    <w:next w:val="Normal"/>
    <w:rsid w:val="00701C80"/>
    <w:pPr>
      <w:keepNext/>
      <w:spacing w:before="0" w:after="125"/>
    </w:pPr>
  </w:style>
  <w:style w:type="paragraph" w:customStyle="1" w:styleId="Utskottetsvervganden-RubrikFrslagspunkt">
    <w:name w:val="Utskottets överväganden - Rubrik Förslagspunkt"/>
    <w:basedOn w:val="Rubrik2"/>
    <w:next w:val="Utskottsfrslagikorthet-Rubrik"/>
    <w:rsid w:val="00701C80"/>
    <w:pPr>
      <w:spacing w:after="0"/>
    </w:pPr>
  </w:style>
  <w:style w:type="paragraph" w:customStyle="1" w:styleId="Motioner">
    <w:name w:val="Motioner"/>
    <w:basedOn w:val="Normal"/>
    <w:rsid w:val="00701C80"/>
    <w:pPr>
      <w:spacing w:before="188"/>
      <w:jc w:val="left"/>
    </w:pPr>
    <w:rPr>
      <w:i/>
    </w:rPr>
  </w:style>
  <w:style w:type="paragraph" w:customStyle="1" w:styleId="Tabellrubrik">
    <w:name w:val="Tabellrubrik"/>
    <w:basedOn w:val="Normal"/>
    <w:next w:val="Tabelltext"/>
    <w:rsid w:val="00701C80"/>
    <w:pPr>
      <w:spacing w:before="250" w:line="200" w:lineRule="atLeast"/>
      <w:ind w:left="851" w:hanging="851"/>
      <w:jc w:val="left"/>
    </w:pPr>
    <w:rPr>
      <w:caps/>
      <w:spacing w:val="8"/>
      <w:sz w:val="14"/>
    </w:rPr>
  </w:style>
  <w:style w:type="paragraph" w:customStyle="1" w:styleId="Bildrubrik">
    <w:name w:val="Bildrubrik"/>
    <w:basedOn w:val="Tabellrubrik"/>
    <w:next w:val="Normal"/>
    <w:rsid w:val="00701C80"/>
  </w:style>
  <w:style w:type="paragraph" w:customStyle="1" w:styleId="Diagramrubrik">
    <w:name w:val="Diagramrubrik"/>
    <w:basedOn w:val="Tabellrubrik"/>
    <w:next w:val="Normal"/>
    <w:rsid w:val="00701C80"/>
  </w:style>
  <w:style w:type="paragraph" w:styleId="Figurfrteckning">
    <w:name w:val="table of figures"/>
    <w:basedOn w:val="Normal"/>
    <w:next w:val="Normal"/>
    <w:semiHidden/>
    <w:rsid w:val="00701C80"/>
    <w:pPr>
      <w:ind w:left="380" w:hanging="380"/>
    </w:pPr>
  </w:style>
  <w:style w:type="paragraph" w:styleId="Oformateradtext">
    <w:name w:val="Plain Text"/>
    <w:basedOn w:val="Normal"/>
    <w:rsid w:val="00701C80"/>
    <w:pPr>
      <w:widowControl w:val="0"/>
      <w:spacing w:line="240" w:lineRule="auto"/>
      <w:jc w:val="left"/>
    </w:pPr>
    <w:rPr>
      <w:rFonts w:ascii="Courier New" w:hAnsi="Courier New"/>
      <w:sz w:val="20"/>
    </w:rPr>
  </w:style>
  <w:style w:type="character" w:styleId="Radnummer">
    <w:name w:val="line number"/>
    <w:basedOn w:val="Standardstycketeckensnitt"/>
    <w:rsid w:val="00701C80"/>
  </w:style>
  <w:style w:type="paragraph" w:customStyle="1" w:styleId="RubrikBetNrDeldokument">
    <w:name w:val="Rubrik BetNr Deldokument"/>
    <w:basedOn w:val="Normal"/>
    <w:rsid w:val="00701C80"/>
    <w:pPr>
      <w:spacing w:before="0" w:line="240" w:lineRule="auto"/>
      <w:jc w:val="left"/>
    </w:pPr>
    <w:rPr>
      <w:sz w:val="28"/>
    </w:rPr>
  </w:style>
  <w:style w:type="paragraph" w:customStyle="1" w:styleId="Tabelltext">
    <w:name w:val="Tabelltext"/>
    <w:basedOn w:val="Normal"/>
    <w:rsid w:val="00701C80"/>
    <w:pPr>
      <w:spacing w:before="0" w:line="200" w:lineRule="exact"/>
      <w:jc w:val="left"/>
    </w:pPr>
    <w:rPr>
      <w:sz w:val="16"/>
    </w:rPr>
  </w:style>
  <w:style w:type="paragraph" w:customStyle="1" w:styleId="TabellNot">
    <w:name w:val="TabellNot"/>
    <w:basedOn w:val="Tabelltext"/>
    <w:rsid w:val="00701C80"/>
    <w:rPr>
      <w:sz w:val="12"/>
    </w:rPr>
  </w:style>
  <w:style w:type="paragraph" w:customStyle="1" w:styleId="Formatmall1">
    <w:name w:val="Formatmall1"/>
    <w:basedOn w:val="Reservationspunkt"/>
    <w:next w:val="Reservanter"/>
    <w:rsid w:val="00701C80"/>
  </w:style>
  <w:style w:type="paragraph" w:customStyle="1" w:styleId="Fotnotstextindrag">
    <w:name w:val="Fotnotstext indrag"/>
    <w:basedOn w:val="Fotnotstext"/>
    <w:rsid w:val="00701C80"/>
    <w:pPr>
      <w:ind w:left="113"/>
    </w:pPr>
  </w:style>
  <w:style w:type="paragraph" w:customStyle="1" w:styleId="Yttrandepunkt">
    <w:name w:val="Yttrandepunkt"/>
    <w:basedOn w:val="Reservationspunkt"/>
    <w:next w:val="Reservanter"/>
    <w:rsid w:val="00701C80"/>
  </w:style>
  <w:style w:type="table" w:styleId="Tabellrutnt">
    <w:name w:val="Table Grid"/>
    <w:basedOn w:val="Normaltabell"/>
    <w:uiPriority w:val="59"/>
    <w:rsid w:val="002C5DE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stycke">
    <w:name w:val="List Paragraph"/>
    <w:basedOn w:val="Normal"/>
    <w:uiPriority w:val="34"/>
    <w:qFormat/>
    <w:rsid w:val="003E4344"/>
    <w:pPr>
      <w:ind w:left="720"/>
      <w:contextualSpacing/>
    </w:pPr>
  </w:style>
  <w:style w:type="paragraph" w:styleId="Ballongtext">
    <w:name w:val="Balloon Text"/>
    <w:basedOn w:val="Normal"/>
    <w:link w:val="BallongtextChar"/>
    <w:uiPriority w:val="99"/>
    <w:semiHidden/>
    <w:unhideWhenUsed/>
    <w:rsid w:val="00512BE8"/>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12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2987</Words>
  <Characters>19542</Characters>
  <Application>Microsoft Office Word</Application>
  <DocSecurity>4</DocSecurity>
  <Lines>424</Lines>
  <Paragraphs>156</Paragraphs>
  <ScaleCrop>false</ScaleCrop>
  <HeadingPairs>
    <vt:vector size="6" baseType="variant">
      <vt:variant>
        <vt:lpstr>Rubrik</vt:lpstr>
      </vt:variant>
      <vt:variant>
        <vt:i4>1</vt:i4>
      </vt:variant>
      <vt:variant>
        <vt:lpstr>Rubriker</vt:lpstr>
      </vt:variant>
      <vt:variant>
        <vt:i4>21</vt:i4>
      </vt:variant>
      <vt:variant>
        <vt:lpstr>Title</vt:lpstr>
      </vt:variant>
      <vt:variant>
        <vt:i4>1</vt:i4>
      </vt:variant>
    </vt:vector>
  </HeadingPairs>
  <TitlesOfParts>
    <vt:vector size="23" baseType="lpstr">
      <vt:lpstr>1999/2000:T1</vt:lpstr>
      <vt:lpstr>Sammanfattning</vt:lpstr>
      <vt:lpstr>Innehållsförteckning</vt:lpstr>
      <vt:lpstr>Styrelsens förslag</vt:lpstr>
      <vt:lpstr>Riksrevisionens granskning</vt:lpstr>
      <vt:lpstr>    Bakgrund </vt:lpstr>
      <vt:lpstr>    Revisionsfrågor och avgränsningar</vt:lpstr>
      <vt:lpstr>        Bankgarantin </vt:lpstr>
      <vt:lpstr>        Insättningsgarantin</vt:lpstr>
      <vt:lpstr>        Exportkreditgarantier </vt:lpstr>
      <vt:lpstr>        Exportkrediter</vt:lpstr>
      <vt:lpstr>        Garantier och garantirisker</vt:lpstr>
      <vt:lpstr>    Riksrevisionens iakttagelser och slutsatser</vt:lpstr>
      <vt:lpstr>        Garantivillkoren</vt:lpstr>
      <vt:lpstr>        Underlag för bedömning av statens risk för framtida kostnader</vt:lpstr>
      <vt:lpstr>        Statens långsiktiga kostnader för stödet ska hållas låga </vt:lpstr>
      <vt:lpstr>        Återrapportering till riksdagen</vt:lpstr>
      <vt:lpstr>    Riksrevisionens rekommendationer</vt:lpstr>
      <vt:lpstr>Styrelsens överväganden</vt:lpstr>
      <vt:lpstr>        Regleringsbrev för budgetåret 2010 avseende Riksgäldskontoret</vt:lpstr>
      <vt:lpstr>    Samlad redovisning av de ekonomiska riskerna</vt:lpstr>
      <vt:lpstr>    Styrelsens förslag</vt:lpstr>
      <vt:lpstr/>
    </vt:vector>
  </TitlesOfParts>
  <Company>Riksdagen</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2010-02-18T13:33:00Z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