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0C3A57">
        <w:tblPrEx>
          <w:tblCellMar>
            <w:top w:w="0" w:type="dxa"/>
            <w:bottom w:w="0" w:type="dxa"/>
          </w:tblCellMar>
        </w:tblPrEx>
        <w:trPr>
          <w:cantSplit/>
          <w:trHeight w:val="1720"/>
        </w:trPr>
        <w:tc>
          <w:tcPr>
            <w:tcW w:w="6024" w:type="dxa"/>
            <w:gridSpan w:val="2"/>
          </w:tcPr>
          <w:p w:rsidR="00F53A97" w:rsidRPr="000C3A57" w:rsidRDefault="00C728A1">
            <w:pPr>
              <w:pStyle w:val="HuvudRubrik"/>
            </w:pPr>
            <w:r w:rsidRPr="000C3A57">
              <w:t xml:space="preserve">EU-nämndens </w:t>
            </w:r>
            <w:r w:rsidR="00284C15" w:rsidRPr="000C3A57">
              <w:t>yttrande</w:t>
            </w:r>
          </w:p>
          <w:p w:rsidR="00F53A97" w:rsidRPr="000C3A57" w:rsidRDefault="0054517A">
            <w:pPr>
              <w:pStyle w:val="HuvudRubrikRad2"/>
            </w:pPr>
            <w:bookmarkStart w:id="0" w:name="BetänkandeNr"/>
            <w:bookmarkEnd w:id="0"/>
            <w:r w:rsidRPr="000C3A57">
              <w:t>2005/06</w:t>
            </w:r>
            <w:r w:rsidR="00F53A97" w:rsidRPr="000C3A57">
              <w:t>:</w:t>
            </w:r>
            <w:r w:rsidRPr="000C3A57">
              <w:t>EUN</w:t>
            </w:r>
            <w:r w:rsidR="00284C15" w:rsidRPr="000C3A57">
              <w:t>1y</w:t>
            </w:r>
          </w:p>
        </w:tc>
        <w:tc>
          <w:tcPr>
            <w:tcW w:w="1418" w:type="dxa"/>
            <w:tcBorders>
              <w:bottom w:val="nil"/>
            </w:tcBorders>
          </w:tcPr>
          <w:p w:rsidR="00F53A97" w:rsidRPr="000C3A57" w:rsidRDefault="000C3A57">
            <w:pPr>
              <w:spacing w:line="230" w:lineRule="auto"/>
              <w:jc w:val="center"/>
            </w:pPr>
            <w:r w:rsidRPr="000C3A5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0C3A57" w:rsidRDefault="00F53A97">
            <w:pPr>
              <w:pStyle w:val="Normaltindrag"/>
              <w:jc w:val="center"/>
            </w:pPr>
          </w:p>
          <w:p w:rsidR="00F53A97" w:rsidRPr="000C3A57" w:rsidRDefault="0089664A">
            <w:pPr>
              <w:pStyle w:val="StatusSida1"/>
            </w:pPr>
            <w:r w:rsidRPr="000C3A57">
              <w:t xml:space="preserve"> </w:t>
            </w:r>
          </w:p>
          <w:p w:rsidR="00F53A97" w:rsidRPr="000C3A57" w:rsidRDefault="00F53A97">
            <w:pPr>
              <w:pStyle w:val="UtskriftsdatumSida1"/>
              <w:framePr w:wrap="around"/>
            </w:pPr>
          </w:p>
        </w:tc>
      </w:tr>
      <w:tr w:rsidR="00F53A97" w:rsidRPr="000C3A57">
        <w:tblPrEx>
          <w:tblCellMar>
            <w:top w:w="0" w:type="dxa"/>
            <w:bottom w:w="0" w:type="dxa"/>
          </w:tblCellMar>
        </w:tblPrEx>
        <w:trPr>
          <w:cantSplit/>
        </w:trPr>
        <w:tc>
          <w:tcPr>
            <w:tcW w:w="6024" w:type="dxa"/>
            <w:gridSpan w:val="2"/>
            <w:tcBorders>
              <w:bottom w:val="single" w:sz="4" w:space="0" w:color="auto"/>
            </w:tcBorders>
          </w:tcPr>
          <w:p w:rsidR="00F53A97" w:rsidRPr="000C3A57" w:rsidRDefault="00904469">
            <w:pPr>
              <w:pStyle w:val="DokumentRubrik"/>
              <w:rPr>
                <w:noProof w:val="0"/>
              </w:rPr>
            </w:pPr>
            <w:bookmarkStart w:id="1" w:name="Huvudrubrik"/>
            <w:bookmarkEnd w:id="1"/>
            <w:r w:rsidRPr="000C3A57">
              <w:rPr>
                <w:noProof w:val="0"/>
              </w:rPr>
              <w:t xml:space="preserve">Riksdagen i en ny tid </w:t>
            </w:r>
          </w:p>
        </w:tc>
        <w:tc>
          <w:tcPr>
            <w:tcW w:w="1418" w:type="dxa"/>
            <w:tcBorders>
              <w:bottom w:val="nil"/>
            </w:tcBorders>
          </w:tcPr>
          <w:p w:rsidR="00F53A97" w:rsidRPr="000C3A57" w:rsidRDefault="00F53A97"/>
        </w:tc>
      </w:tr>
      <w:tr w:rsidR="00F53A97" w:rsidRPr="000C3A57">
        <w:tblPrEx>
          <w:tblCellMar>
            <w:top w:w="0" w:type="dxa"/>
            <w:bottom w:w="0" w:type="dxa"/>
          </w:tblCellMar>
        </w:tblPrEx>
        <w:trPr>
          <w:cantSplit/>
          <w:trHeight w:hRule="exact" w:val="360"/>
        </w:trPr>
        <w:tc>
          <w:tcPr>
            <w:tcW w:w="3012" w:type="dxa"/>
          </w:tcPr>
          <w:p w:rsidR="00F53A97" w:rsidRPr="000C3A57" w:rsidRDefault="00F53A97"/>
        </w:tc>
        <w:tc>
          <w:tcPr>
            <w:tcW w:w="3012" w:type="dxa"/>
          </w:tcPr>
          <w:p w:rsidR="00F53A97" w:rsidRPr="000C3A57" w:rsidRDefault="00F53A97"/>
        </w:tc>
        <w:tc>
          <w:tcPr>
            <w:tcW w:w="1418" w:type="dxa"/>
          </w:tcPr>
          <w:p w:rsidR="00F53A97" w:rsidRPr="000C3A57" w:rsidRDefault="00F53A97"/>
        </w:tc>
      </w:tr>
    </w:tbl>
    <w:p w:rsidR="00C728A1" w:rsidRPr="000C3A57" w:rsidRDefault="00C728A1" w:rsidP="00A210F6">
      <w:pPr>
        <w:pStyle w:val="Rubrik1"/>
        <w:spacing w:before="125" w:after="180"/>
        <w:rPr>
          <w:noProof w:val="0"/>
        </w:rPr>
      </w:pPr>
      <w:bookmarkStart w:id="2" w:name="_Toc130636137"/>
      <w:bookmarkStart w:id="3" w:name="_Toc130983961"/>
      <w:bookmarkStart w:id="4" w:name="_Toc131556644"/>
      <w:bookmarkStart w:id="5" w:name="_Toc131556679"/>
      <w:bookmarkStart w:id="6" w:name="_Toc131556827"/>
      <w:bookmarkStart w:id="7" w:name="_Toc131556881"/>
      <w:bookmarkStart w:id="8" w:name="_Toc131574130"/>
      <w:r w:rsidRPr="000C3A57">
        <w:rPr>
          <w:noProof w:val="0"/>
        </w:rPr>
        <w:t>Sammanfattning</w:t>
      </w:r>
      <w:bookmarkEnd w:id="2"/>
      <w:bookmarkEnd w:id="3"/>
      <w:bookmarkEnd w:id="4"/>
      <w:bookmarkEnd w:id="5"/>
      <w:bookmarkEnd w:id="6"/>
      <w:bookmarkEnd w:id="7"/>
      <w:bookmarkEnd w:id="8"/>
    </w:p>
    <w:p w:rsidR="00B07B1F" w:rsidRPr="000C3A57" w:rsidRDefault="00B07B1F" w:rsidP="00B07B1F">
      <w:r w:rsidRPr="000C3A57">
        <w:t>I detta yttrande redovisar EU-nämnden sina synpunkter på riksdagsstyre</w:t>
      </w:r>
      <w:r w:rsidRPr="000C3A57">
        <w:t>l</w:t>
      </w:r>
      <w:r w:rsidRPr="000C3A57">
        <w:t>sens framställning 2005/06:RS3 Riksdagen i en ny tid, so</w:t>
      </w:r>
      <w:r w:rsidR="008B6EDF" w:rsidRPr="000C3A57">
        <w:t>m i sin tur bygger på 2002 års r</w:t>
      </w:r>
      <w:r w:rsidRPr="000C3A57">
        <w:t xml:space="preserve">iksdagskommittés </w:t>
      </w:r>
      <w:r w:rsidR="000B76C7" w:rsidRPr="000C3A57">
        <w:t>betänkande i</w:t>
      </w:r>
      <w:r w:rsidRPr="000C3A57">
        <w:t xml:space="preserve"> samma ämne. EU-nämnden ko</w:t>
      </w:r>
      <w:r w:rsidRPr="000C3A57">
        <w:t>n</w:t>
      </w:r>
      <w:r w:rsidRPr="000C3A57">
        <w:t>centrerar huvudsakligen sitt yttrande till de delar av betänkandet som gäller rik</w:t>
      </w:r>
      <w:r w:rsidRPr="000C3A57">
        <w:t>s</w:t>
      </w:r>
      <w:r w:rsidRPr="000C3A57">
        <w:t xml:space="preserve">dagens arbete med EU-frågor. </w:t>
      </w:r>
    </w:p>
    <w:p w:rsidR="002C1B26" w:rsidRPr="000C3A57" w:rsidRDefault="00B07B1F" w:rsidP="00BE5B41">
      <w:pPr>
        <w:pStyle w:val="Normaltindrag"/>
      </w:pPr>
      <w:r w:rsidRPr="000C3A57">
        <w:t>EU-nämnden, som välkomnar att förslag har lagts fram om hur riksd</w:t>
      </w:r>
      <w:r w:rsidRPr="000C3A57">
        <w:t>a</w:t>
      </w:r>
      <w:r w:rsidRPr="000C3A57">
        <w:t>gens arbete med EU-frågor skall kunna förändras och förstärkas, konstat</w:t>
      </w:r>
      <w:r w:rsidRPr="000C3A57">
        <w:t>e</w:t>
      </w:r>
      <w:r w:rsidRPr="000C3A57">
        <w:t xml:space="preserve">rar dock att förslagen i vissa delar väcker konstitutionella frågor och därför behöver beredas ytterligare. Det gäller </w:t>
      </w:r>
      <w:r w:rsidR="0025268B" w:rsidRPr="000C3A57">
        <w:t xml:space="preserve">t.ex. </w:t>
      </w:r>
      <w:r w:rsidR="002C1B26" w:rsidRPr="000C3A57">
        <w:t xml:space="preserve">betydelsen av </w:t>
      </w:r>
      <w:r w:rsidRPr="000C3A57">
        <w:t>det för</w:t>
      </w:r>
      <w:r w:rsidRPr="000C3A57">
        <w:t>e</w:t>
      </w:r>
      <w:r w:rsidRPr="000C3A57">
        <w:t xml:space="preserve">slagna saksamrådet som utskotten enligt förslaget </w:t>
      </w:r>
      <w:r w:rsidR="002C1B26" w:rsidRPr="000C3A57">
        <w:t>s</w:t>
      </w:r>
      <w:r w:rsidRPr="000C3A57">
        <w:t>kall ansvara för</w:t>
      </w:r>
      <w:r w:rsidR="0025268B" w:rsidRPr="000C3A57">
        <w:t>. Den föresla</w:t>
      </w:r>
      <w:r w:rsidR="0025268B" w:rsidRPr="000C3A57">
        <w:t>g</w:t>
      </w:r>
      <w:r w:rsidR="0025268B" w:rsidRPr="000C3A57">
        <w:t>na uppdelningen av regeringens samrådsskyldighet mellan utsko</w:t>
      </w:r>
      <w:r w:rsidR="0025268B" w:rsidRPr="000C3A57">
        <w:t>t</w:t>
      </w:r>
      <w:r w:rsidR="0025268B" w:rsidRPr="000C3A57">
        <w:t>ten å ena och EU-nämnden å andra sidan behöver också utredas ytterl</w:t>
      </w:r>
      <w:r w:rsidR="0025268B" w:rsidRPr="000C3A57">
        <w:t>i</w:t>
      </w:r>
      <w:r w:rsidR="0025268B" w:rsidRPr="000C3A57">
        <w:t xml:space="preserve">gare. </w:t>
      </w:r>
    </w:p>
    <w:p w:rsidR="002C1B26" w:rsidRPr="000C3A57" w:rsidRDefault="002C1B26" w:rsidP="00BE5B41">
      <w:pPr>
        <w:pStyle w:val="Normaltindrag"/>
      </w:pPr>
      <w:r w:rsidRPr="000C3A57">
        <w:t>I fråga om förslaget om behandlingen av grön- och vitböcker och andra strategiska EU-dokument delar EU-nämnden kommitténs bedö</w:t>
      </w:r>
      <w:r w:rsidRPr="000C3A57">
        <w:t>m</w:t>
      </w:r>
      <w:r w:rsidRPr="000C3A57">
        <w:t xml:space="preserve">ningar. EU-nämnden </w:t>
      </w:r>
      <w:r w:rsidR="0025268B" w:rsidRPr="000C3A57">
        <w:t xml:space="preserve">anser att </w:t>
      </w:r>
      <w:r w:rsidR="005A1686" w:rsidRPr="000C3A57">
        <w:t xml:space="preserve">behandlingen av </w:t>
      </w:r>
      <w:r w:rsidRPr="000C3A57">
        <w:t xml:space="preserve">dessa dokument inte </w:t>
      </w:r>
      <w:r w:rsidR="0025268B" w:rsidRPr="000C3A57">
        <w:t xml:space="preserve">kan </w:t>
      </w:r>
      <w:r w:rsidRPr="000C3A57">
        <w:t>innebär</w:t>
      </w:r>
      <w:r w:rsidR="0025268B" w:rsidRPr="000C3A57">
        <w:t>a</w:t>
      </w:r>
      <w:r w:rsidRPr="000C3A57">
        <w:t xml:space="preserve"> någon bu</w:t>
      </w:r>
      <w:r w:rsidRPr="000C3A57">
        <w:t>n</w:t>
      </w:r>
      <w:r w:rsidRPr="000C3A57">
        <w:t>denhet vid en viss ståndpunkt för vare sig regeringen eller utskott och EU-nämnd i senare förhandlingssk</w:t>
      </w:r>
      <w:r w:rsidRPr="000C3A57">
        <w:t>e</w:t>
      </w:r>
      <w:r w:rsidRPr="000C3A57">
        <w:t>den.</w:t>
      </w:r>
    </w:p>
    <w:p w:rsidR="00BE5B41" w:rsidRPr="000C3A57" w:rsidRDefault="004B15F8" w:rsidP="004B15F8">
      <w:pPr>
        <w:pStyle w:val="Normaltindrag"/>
      </w:pPr>
      <w:r w:rsidRPr="000C3A57">
        <w:t>E</w:t>
      </w:r>
      <w:r w:rsidR="004D14E0" w:rsidRPr="000C3A57">
        <w:t>U</w:t>
      </w:r>
      <w:r w:rsidRPr="000C3A57">
        <w:t>-nämnden avstyr</w:t>
      </w:r>
      <w:r w:rsidR="004D14E0" w:rsidRPr="000C3A57">
        <w:t>ker</w:t>
      </w:r>
      <w:r w:rsidRPr="000C3A57">
        <w:t xml:space="preserve"> förslage</w:t>
      </w:r>
      <w:r w:rsidR="004D14E0" w:rsidRPr="000C3A57">
        <w:t>t</w:t>
      </w:r>
      <w:r w:rsidRPr="000C3A57">
        <w:t xml:space="preserve"> om att begränsa regeri</w:t>
      </w:r>
      <w:r w:rsidR="004D14E0" w:rsidRPr="000C3A57">
        <w:t>n</w:t>
      </w:r>
      <w:r w:rsidRPr="000C3A57">
        <w:t>gens inform</w:t>
      </w:r>
      <w:r w:rsidRPr="000C3A57">
        <w:t>a</w:t>
      </w:r>
      <w:r w:rsidRPr="000C3A57">
        <w:t xml:space="preserve">tionsskyldighet gentemot EU-nämnden men </w:t>
      </w:r>
      <w:r w:rsidR="005A1686" w:rsidRPr="000C3A57">
        <w:t>tillsty</w:t>
      </w:r>
      <w:r w:rsidR="005A1686" w:rsidRPr="000C3A57">
        <w:t>r</w:t>
      </w:r>
      <w:r w:rsidR="005A1686" w:rsidRPr="000C3A57">
        <w:t>ker</w:t>
      </w:r>
      <w:r w:rsidRPr="000C3A57">
        <w:t xml:space="preserve"> förslaget att ta bort </w:t>
      </w:r>
      <w:r w:rsidR="004D14E0" w:rsidRPr="000C3A57">
        <w:t>informationsskyldigheten för andra statliga myndigheter än regerin</w:t>
      </w:r>
      <w:r w:rsidR="004D14E0" w:rsidRPr="000C3A57">
        <w:t>g</w:t>
      </w:r>
      <w:r w:rsidR="004D14E0" w:rsidRPr="000C3A57">
        <w:t>en. Enligt EU-nämnden bör också regeringens samrådsskyldighet liksom i dag</w:t>
      </w:r>
      <w:r w:rsidR="00BE5B41" w:rsidRPr="000C3A57">
        <w:t xml:space="preserve"> koncen</w:t>
      </w:r>
      <w:r w:rsidR="008B6EDF" w:rsidRPr="000C3A57">
        <w:softHyphen/>
      </w:r>
      <w:r w:rsidR="00BE5B41" w:rsidRPr="000C3A57">
        <w:t>t</w:t>
      </w:r>
      <w:r w:rsidR="00BE5B41" w:rsidRPr="000C3A57">
        <w:t>reras till</w:t>
      </w:r>
      <w:r w:rsidR="004D14E0" w:rsidRPr="000C3A57">
        <w:t xml:space="preserve"> betydelsefulla frågor och inte </w:t>
      </w:r>
      <w:r w:rsidR="00BE5B41" w:rsidRPr="000C3A57">
        <w:t xml:space="preserve">omfatta </w:t>
      </w:r>
      <w:r w:rsidR="004D14E0" w:rsidRPr="000C3A57">
        <w:t>alla beslut som skall fattas av ministerrådet</w:t>
      </w:r>
      <w:r w:rsidR="005A1686" w:rsidRPr="000C3A57">
        <w:t>, varför kommitténs förslag i denna del a</w:t>
      </w:r>
      <w:r w:rsidR="005A1686" w:rsidRPr="000C3A57">
        <w:t>v</w:t>
      </w:r>
      <w:r w:rsidR="005A1686" w:rsidRPr="000C3A57">
        <w:t>styrks.</w:t>
      </w:r>
    </w:p>
    <w:p w:rsidR="00BE5B41" w:rsidRPr="000C3A57" w:rsidRDefault="00BE5B41" w:rsidP="004B15F8">
      <w:pPr>
        <w:pStyle w:val="Normaltindrag"/>
      </w:pPr>
      <w:r w:rsidRPr="000C3A57">
        <w:t xml:space="preserve">Förslaget om att partierna </w:t>
      </w:r>
      <w:r w:rsidR="00D80249" w:rsidRPr="000C3A57">
        <w:t xml:space="preserve">skall </w:t>
      </w:r>
      <w:r w:rsidR="008B6EDF" w:rsidRPr="000C3A57">
        <w:t xml:space="preserve">tillfälligt </w:t>
      </w:r>
      <w:r w:rsidR="00D80249" w:rsidRPr="000C3A57">
        <w:t>k</w:t>
      </w:r>
      <w:r w:rsidRPr="000C3A57">
        <w:t>unna sätta in ersättare från b</w:t>
      </w:r>
      <w:r w:rsidRPr="000C3A57">
        <w:t>e</w:t>
      </w:r>
      <w:r w:rsidRPr="000C3A57">
        <w:t>rörda utskott i EU-nämnden vållar</w:t>
      </w:r>
      <w:r w:rsidR="006A5BD4" w:rsidRPr="000C3A57">
        <w:t xml:space="preserve"> </w:t>
      </w:r>
      <w:r w:rsidR="00962785" w:rsidRPr="000C3A57">
        <w:t>p</w:t>
      </w:r>
      <w:r w:rsidRPr="000C3A57">
        <w:t>roblem av framför allt praktisk natur</w:t>
      </w:r>
      <w:r w:rsidR="005A1686" w:rsidRPr="000C3A57">
        <w:t>.</w:t>
      </w:r>
      <w:r w:rsidR="00962785" w:rsidRPr="000C3A57">
        <w:t xml:space="preserve"> </w:t>
      </w:r>
      <w:r w:rsidRPr="000C3A57">
        <w:t xml:space="preserve">EU-nämnden avstyrker </w:t>
      </w:r>
      <w:r w:rsidR="005A1686" w:rsidRPr="000C3A57">
        <w:t xml:space="preserve">därför </w:t>
      </w:r>
      <w:r w:rsidRPr="000C3A57">
        <w:t>förslaget.</w:t>
      </w:r>
    </w:p>
    <w:p w:rsidR="00962785" w:rsidRPr="000C3A57" w:rsidRDefault="00962785" w:rsidP="004B15F8">
      <w:pPr>
        <w:pStyle w:val="Normaltindrag"/>
      </w:pPr>
      <w:r w:rsidRPr="000C3A57">
        <w:t>EU-nämnden, som framhåller att öppenheten är grundläggande för en d</w:t>
      </w:r>
      <w:r w:rsidRPr="000C3A57">
        <w:t>e</w:t>
      </w:r>
      <w:r w:rsidRPr="000C3A57">
        <w:t xml:space="preserve">mokratisk förankring av EU-frågorna, </w:t>
      </w:r>
      <w:r w:rsidR="006A5BD4" w:rsidRPr="000C3A57">
        <w:t>välko</w:t>
      </w:r>
      <w:r w:rsidR="006A5BD4" w:rsidRPr="000C3A57">
        <w:t>m</w:t>
      </w:r>
      <w:r w:rsidR="006A5BD4" w:rsidRPr="000C3A57">
        <w:t>nar</w:t>
      </w:r>
      <w:r w:rsidRPr="000C3A57">
        <w:t xml:space="preserve"> förslaget om att EU-nämnden och utskotten skall kunna besluta om offentliga sammantr</w:t>
      </w:r>
      <w:r w:rsidRPr="000C3A57">
        <w:t>ä</w:t>
      </w:r>
      <w:r w:rsidRPr="000C3A57">
        <w:t>den.</w:t>
      </w:r>
    </w:p>
    <w:p w:rsidR="004B15F8" w:rsidRPr="000C3A57" w:rsidRDefault="00F329EB" w:rsidP="004B15F8">
      <w:pPr>
        <w:pStyle w:val="Normaltindrag"/>
      </w:pPr>
      <w:r w:rsidRPr="000C3A57">
        <w:t>Till yttrandet har fogats en avvikande mening.</w:t>
      </w:r>
    </w:p>
    <w:p w:rsidR="00B07B1F" w:rsidRPr="000C3A57" w:rsidRDefault="00B07B1F" w:rsidP="00B07B1F">
      <w:r w:rsidRPr="000C3A57">
        <w:t xml:space="preserve"> </w:t>
      </w:r>
    </w:p>
    <w:p w:rsidR="00E13C2F" w:rsidRPr="000C3A57" w:rsidRDefault="00E13C2F" w:rsidP="00E13C2F">
      <w:bookmarkStart w:id="9" w:name="TextStart"/>
      <w:bookmarkStart w:id="10" w:name="_Toc130983962"/>
      <w:bookmarkEnd w:id="9"/>
    </w:p>
    <w:p w:rsidR="00E13C2F" w:rsidRPr="000C3A57" w:rsidRDefault="00E13C2F" w:rsidP="00284C15">
      <w:pPr>
        <w:pStyle w:val="Rubrik1"/>
        <w:rPr>
          <w:noProof w:val="0"/>
        </w:rPr>
        <w:sectPr w:rsidR="00E13C2F" w:rsidRPr="000C3A57" w:rsidSect="003E30D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84C15" w:rsidRPr="000C3A57" w:rsidRDefault="00284C15" w:rsidP="00284C15">
      <w:pPr>
        <w:pStyle w:val="Rubrik1"/>
        <w:rPr>
          <w:noProof w:val="0"/>
        </w:rPr>
      </w:pPr>
      <w:bookmarkStart w:id="11" w:name="_Toc131556645"/>
      <w:bookmarkStart w:id="12" w:name="_Toc131556680"/>
      <w:bookmarkStart w:id="13" w:name="_Toc131556828"/>
      <w:bookmarkStart w:id="14" w:name="_Toc131556882"/>
      <w:bookmarkStart w:id="15" w:name="_Toc131574131"/>
      <w:r w:rsidRPr="000C3A57">
        <w:rPr>
          <w:noProof w:val="0"/>
        </w:rPr>
        <w:lastRenderedPageBreak/>
        <w:t>Till konstitutionsutskottet</w:t>
      </w:r>
      <w:bookmarkEnd w:id="10"/>
      <w:bookmarkEnd w:id="11"/>
      <w:bookmarkEnd w:id="12"/>
      <w:bookmarkEnd w:id="13"/>
      <w:bookmarkEnd w:id="14"/>
      <w:bookmarkEnd w:id="15"/>
    </w:p>
    <w:p w:rsidR="00284C15" w:rsidRPr="000C3A57" w:rsidRDefault="00284C15" w:rsidP="00F7048C">
      <w:pPr>
        <w:spacing w:before="0"/>
      </w:pPr>
      <w:r w:rsidRPr="000C3A57">
        <w:t>Konstitutionsutskottet har berett övriga utskott och EU-nämnden tillfälle att avge yttrande över riksdagsstyrelsens framstäl</w:t>
      </w:r>
      <w:r w:rsidRPr="000C3A57">
        <w:t>l</w:t>
      </w:r>
      <w:r w:rsidRPr="000C3A57">
        <w:t xml:space="preserve">ning till riksdagen 2005/06:RS3 </w:t>
      </w:r>
      <w:r w:rsidRPr="000C3A57">
        <w:rPr>
          <w:i/>
        </w:rPr>
        <w:t>Riksdagen i en ny tid</w:t>
      </w:r>
      <w:r w:rsidRPr="000C3A57">
        <w:t xml:space="preserve"> jämte motionerna 2005/06:K4</w:t>
      </w:r>
      <w:r w:rsidR="00904D2A" w:rsidRPr="000C3A57">
        <w:t>–</w:t>
      </w:r>
      <w:r w:rsidRPr="000C3A57">
        <w:t>K10. G</w:t>
      </w:r>
      <w:r w:rsidRPr="000C3A57">
        <w:t>e</w:t>
      </w:r>
      <w:r w:rsidRPr="000C3A57">
        <w:t>nom framställningen har riksdagsstyrelsen överlämnat 2002 års Riksdag</w:t>
      </w:r>
      <w:r w:rsidRPr="000C3A57">
        <w:t>s</w:t>
      </w:r>
      <w:r w:rsidRPr="000C3A57">
        <w:t xml:space="preserve">kommittés huvudbetänkande </w:t>
      </w:r>
      <w:r w:rsidRPr="000C3A57">
        <w:rPr>
          <w:i/>
        </w:rPr>
        <w:t xml:space="preserve">Riksdagen i en ny tid </w:t>
      </w:r>
      <w:r w:rsidRPr="000C3A57">
        <w:t>för riksdagens b</w:t>
      </w:r>
      <w:r w:rsidRPr="000C3A57">
        <w:t>e</w:t>
      </w:r>
      <w:r w:rsidRPr="000C3A57">
        <w:t xml:space="preserve">dömning och beslut.  </w:t>
      </w:r>
    </w:p>
    <w:p w:rsidR="00284C15" w:rsidRPr="000C3A57" w:rsidRDefault="00284C15" w:rsidP="00DA15CE">
      <w:pPr>
        <w:pStyle w:val="Normaltindrag"/>
      </w:pPr>
      <w:r w:rsidRPr="000C3A57">
        <w:t>EU-nämnden koncentrerar huvudsakligen sitt yttrande till de delar av Riksdagskommitténs huvudbetänkande som gäller riksdagens arbete med EU-frågor. EU-nämnden avstår från att i detta sammanhang lämna sy</w:t>
      </w:r>
      <w:r w:rsidRPr="000C3A57">
        <w:t>n</w:t>
      </w:r>
      <w:r w:rsidR="0000675D" w:rsidRPr="000C3A57">
        <w:t>punkter på den del</w:t>
      </w:r>
      <w:r w:rsidRPr="000C3A57">
        <w:t xml:space="preserve"> i betänkandet som avser konsekvenserna för riksd</w:t>
      </w:r>
      <w:r w:rsidRPr="000C3A57">
        <w:t>a</w:t>
      </w:r>
      <w:r w:rsidRPr="000C3A57">
        <w:t>gens arbete om det s.k. konstitutionella fördraget skulle antas. Om ett ikraftträdande av det fö</w:t>
      </w:r>
      <w:r w:rsidRPr="000C3A57">
        <w:t>r</w:t>
      </w:r>
      <w:r w:rsidRPr="000C3A57">
        <w:t xml:space="preserve">draget skulle bli aktuellt utgår </w:t>
      </w:r>
      <w:r w:rsidR="008256D1" w:rsidRPr="000C3A57">
        <w:t>EU-</w:t>
      </w:r>
      <w:r w:rsidRPr="000C3A57">
        <w:t>nämnden från möjligh</w:t>
      </w:r>
      <w:r w:rsidRPr="000C3A57">
        <w:t>e</w:t>
      </w:r>
      <w:r w:rsidRPr="000C3A57">
        <w:t>ten att då yttra sig i det ärendet.</w:t>
      </w:r>
    </w:p>
    <w:p w:rsidR="0054517A" w:rsidRPr="000C3A57" w:rsidRDefault="0054517A" w:rsidP="00143521">
      <w:bookmarkStart w:id="16" w:name="_Toc130983963"/>
    </w:p>
    <w:p w:rsidR="0054517A" w:rsidRPr="000C3A57" w:rsidRDefault="0054517A" w:rsidP="008D1663">
      <w:pPr>
        <w:pStyle w:val="Rubrik1"/>
        <w:spacing w:before="375"/>
        <w:rPr>
          <w:noProof w:val="0"/>
        </w:rPr>
        <w:sectPr w:rsidR="0054517A" w:rsidRPr="000C3A57" w:rsidSect="003E30D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15CE" w:rsidRPr="000C3A57" w:rsidRDefault="00284C15" w:rsidP="0054517A">
      <w:pPr>
        <w:pStyle w:val="Rubrik1"/>
        <w:rPr>
          <w:noProof w:val="0"/>
        </w:rPr>
      </w:pPr>
      <w:bookmarkStart w:id="17" w:name="_Toc131556646"/>
      <w:bookmarkStart w:id="18" w:name="_Toc131556681"/>
      <w:bookmarkStart w:id="19" w:name="_Toc131556829"/>
      <w:bookmarkStart w:id="20" w:name="_Toc131556883"/>
      <w:bookmarkStart w:id="21" w:name="_Toc131574132"/>
      <w:r w:rsidRPr="000C3A57">
        <w:rPr>
          <w:noProof w:val="0"/>
        </w:rPr>
        <w:t>EU-nämndens överväganden</w:t>
      </w:r>
      <w:bookmarkEnd w:id="16"/>
      <w:bookmarkEnd w:id="17"/>
      <w:bookmarkEnd w:id="18"/>
      <w:bookmarkEnd w:id="19"/>
      <w:bookmarkEnd w:id="20"/>
      <w:bookmarkEnd w:id="21"/>
    </w:p>
    <w:p w:rsidR="00284C15" w:rsidRPr="000C3A57" w:rsidRDefault="00284C15" w:rsidP="0054517A">
      <w:pPr>
        <w:pStyle w:val="Rubrik2"/>
        <w:spacing w:before="0"/>
        <w:rPr>
          <w:szCs w:val="32"/>
        </w:rPr>
      </w:pPr>
      <w:bookmarkStart w:id="22" w:name="_Toc131556647"/>
      <w:bookmarkStart w:id="23" w:name="_Toc131556682"/>
      <w:bookmarkStart w:id="24" w:name="_Toc131556830"/>
      <w:bookmarkStart w:id="25" w:name="_Toc131556884"/>
      <w:bookmarkStart w:id="26" w:name="_Toc131574133"/>
      <w:r w:rsidRPr="000C3A57">
        <w:t>Riksdagens arbete med EU-frågor (avsnitt 3)</w:t>
      </w:r>
      <w:bookmarkEnd w:id="22"/>
      <w:bookmarkEnd w:id="23"/>
      <w:bookmarkEnd w:id="24"/>
      <w:bookmarkEnd w:id="25"/>
      <w:bookmarkEnd w:id="26"/>
      <w:r w:rsidRPr="000C3A57">
        <w:rPr>
          <w:szCs w:val="32"/>
        </w:rPr>
        <w:t xml:space="preserve"> </w:t>
      </w:r>
    </w:p>
    <w:p w:rsidR="00284C15" w:rsidRPr="000C3A57" w:rsidRDefault="00284C15" w:rsidP="004F62C6">
      <w:pPr>
        <w:pStyle w:val="Rubrik3"/>
        <w:rPr>
          <w:noProof w:val="0"/>
        </w:rPr>
      </w:pPr>
      <w:bookmarkStart w:id="27" w:name="_Toc130983964"/>
      <w:bookmarkStart w:id="28" w:name="_Toc131556648"/>
      <w:bookmarkStart w:id="29" w:name="_Toc131556683"/>
      <w:bookmarkStart w:id="30" w:name="_Toc131556831"/>
      <w:bookmarkStart w:id="31" w:name="_Toc131574134"/>
      <w:r w:rsidRPr="000C3A57">
        <w:rPr>
          <w:noProof w:val="0"/>
        </w:rPr>
        <w:t>Inledning (avsnitt 3.1)</w:t>
      </w:r>
      <w:bookmarkEnd w:id="27"/>
      <w:bookmarkEnd w:id="28"/>
      <w:bookmarkEnd w:id="29"/>
      <w:bookmarkEnd w:id="30"/>
      <w:bookmarkEnd w:id="31"/>
    </w:p>
    <w:p w:rsidR="00284C15" w:rsidRPr="000C3A57" w:rsidRDefault="00284C15" w:rsidP="00905CB4">
      <w:pPr>
        <w:spacing w:before="125"/>
      </w:pPr>
      <w:r w:rsidRPr="000C3A57">
        <w:t>Sverige har nu varit medlem i EU i drygt 1</w:t>
      </w:r>
      <w:r w:rsidR="0031614E" w:rsidRPr="000C3A57">
        <w:t>1</w:t>
      </w:r>
      <w:r w:rsidRPr="000C3A57">
        <w:t xml:space="preserve"> år</w:t>
      </w:r>
      <w:r w:rsidR="008D1663" w:rsidRPr="000C3A57">
        <w:t>,</w:t>
      </w:r>
      <w:r w:rsidRPr="000C3A57">
        <w:t xml:space="preserve"> och erfarenheter har vu</w:t>
      </w:r>
      <w:r w:rsidRPr="000C3A57">
        <w:t>n</w:t>
      </w:r>
      <w:r w:rsidRPr="000C3A57">
        <w:t>nits av riksdagens hittillsvarande arbete med EU-frågor. EU-nämnden välko</w:t>
      </w:r>
      <w:r w:rsidRPr="000C3A57">
        <w:t>m</w:t>
      </w:r>
      <w:r w:rsidRPr="000C3A57">
        <w:t xml:space="preserve">nar att Riksdagskommittén har lagt </w:t>
      </w:r>
      <w:r w:rsidR="008D1663" w:rsidRPr="000C3A57">
        <w:t xml:space="preserve">fram </w:t>
      </w:r>
      <w:r w:rsidRPr="000C3A57">
        <w:t>förslag om hur riksd</w:t>
      </w:r>
      <w:r w:rsidRPr="000C3A57">
        <w:t>a</w:t>
      </w:r>
      <w:r w:rsidRPr="000C3A57">
        <w:t xml:space="preserve">gens arbete med EU-frågorna skall kunna förändras och förstärkas. </w:t>
      </w:r>
    </w:p>
    <w:p w:rsidR="00284C15" w:rsidRPr="000C3A57" w:rsidRDefault="00284C15" w:rsidP="00DA15CE">
      <w:pPr>
        <w:pStyle w:val="Normaltindrag"/>
      </w:pPr>
      <w:r w:rsidRPr="000C3A57">
        <w:t xml:space="preserve">I kommitténs uppdrag har bl.a. ingått att pröva formerna för riksdagens kontakter med regeringen. </w:t>
      </w:r>
      <w:r w:rsidR="002B6F63" w:rsidRPr="000C3A57">
        <w:t>Kommitténs förslag i vissa delar reser enligt EU-nämndens mening frågor av konstitutionell karaktär som behöver öve</w:t>
      </w:r>
      <w:r w:rsidR="002B6F63" w:rsidRPr="000C3A57">
        <w:t>r</w:t>
      </w:r>
      <w:r w:rsidR="002B6F63" w:rsidRPr="000C3A57">
        <w:t xml:space="preserve">vägas ytterligare. </w:t>
      </w:r>
      <w:r w:rsidR="0023664C" w:rsidRPr="000C3A57">
        <w:t>I den sittande Grundlagsutredningens uppdrag ingår  visserligen att i stort se över regeringens förhållande till riksd</w:t>
      </w:r>
      <w:r w:rsidR="0023664C" w:rsidRPr="000C3A57">
        <w:t>a</w:t>
      </w:r>
      <w:r w:rsidR="0023664C" w:rsidRPr="000C3A57">
        <w:t>gen men inte frågor som rör regeringsformens bestämmelser om förhållandet till andra stater och me</w:t>
      </w:r>
      <w:r w:rsidR="0023664C" w:rsidRPr="000C3A57">
        <w:t>l</w:t>
      </w:r>
      <w:r w:rsidR="0023664C" w:rsidRPr="000C3A57">
        <w:t xml:space="preserve">lanfolkliga organisationer. I direktiven hänvisas i denna </w:t>
      </w:r>
      <w:r w:rsidR="008256D1" w:rsidRPr="000C3A57">
        <w:t xml:space="preserve">senare </w:t>
      </w:r>
      <w:r w:rsidR="0023664C" w:rsidRPr="000C3A57">
        <w:t>del till Rik</w:t>
      </w:r>
      <w:r w:rsidR="0023664C" w:rsidRPr="000C3A57">
        <w:t>s</w:t>
      </w:r>
      <w:r w:rsidR="0023664C" w:rsidRPr="000C3A57">
        <w:t>dagskommittén</w:t>
      </w:r>
      <w:r w:rsidR="008D1663" w:rsidRPr="000C3A57">
        <w:t>s arbete (dir</w:t>
      </w:r>
      <w:r w:rsidR="00D80249" w:rsidRPr="000C3A57">
        <w:t xml:space="preserve">. </w:t>
      </w:r>
      <w:r w:rsidR="0023664C" w:rsidRPr="000C3A57">
        <w:t xml:space="preserve">2004:96). </w:t>
      </w:r>
      <w:r w:rsidR="000B76C7" w:rsidRPr="000C3A57">
        <w:t>Frågorna behöver emelle</w:t>
      </w:r>
      <w:r w:rsidR="000B76C7" w:rsidRPr="000C3A57">
        <w:t>r</w:t>
      </w:r>
      <w:r w:rsidR="000B76C7" w:rsidRPr="000C3A57">
        <w:t>tid enligt vad som framgår nedan belysas ytterl</w:t>
      </w:r>
      <w:r w:rsidR="000B76C7" w:rsidRPr="000C3A57">
        <w:t>i</w:t>
      </w:r>
      <w:r w:rsidR="000B76C7" w:rsidRPr="000C3A57">
        <w:t xml:space="preserve">gare. </w:t>
      </w:r>
      <w:r w:rsidRPr="000C3A57">
        <w:t>Detta kan ske antingen genom att Grundlags</w:t>
      </w:r>
      <w:r w:rsidR="00466F87" w:rsidRPr="000C3A57">
        <w:t xml:space="preserve">utredningen </w:t>
      </w:r>
      <w:r w:rsidRPr="000C3A57">
        <w:t>får tillägg</w:t>
      </w:r>
      <w:r w:rsidRPr="000C3A57">
        <w:t>s</w:t>
      </w:r>
      <w:r w:rsidRPr="000C3A57">
        <w:t>direktiv eller genom fortsatt beredning av Riksdag</w:t>
      </w:r>
      <w:r w:rsidRPr="000C3A57">
        <w:t>s</w:t>
      </w:r>
      <w:r w:rsidRPr="000C3A57">
        <w:t xml:space="preserve">kommittén. </w:t>
      </w:r>
    </w:p>
    <w:p w:rsidR="002316D8" w:rsidRPr="000C3A57" w:rsidRDefault="00284C15" w:rsidP="00DA15CE">
      <w:pPr>
        <w:pStyle w:val="Normaltindrag"/>
      </w:pPr>
      <w:r w:rsidRPr="000C3A57">
        <w:t>EU-nämnden kan i stort sett instämma i kommitténs inledande beskri</w:t>
      </w:r>
      <w:r w:rsidRPr="000C3A57">
        <w:t>v</w:t>
      </w:r>
      <w:r w:rsidRPr="000C3A57">
        <w:t>ning av riksdagens hantering av EU-frågorna och vad som bör utgöra utgång</w:t>
      </w:r>
      <w:r w:rsidRPr="000C3A57">
        <w:t>s</w:t>
      </w:r>
      <w:r w:rsidRPr="000C3A57">
        <w:t>punkterna för de framtida formerna för denna hantering. Samt</w:t>
      </w:r>
      <w:r w:rsidRPr="000C3A57">
        <w:t>i</w:t>
      </w:r>
      <w:r w:rsidRPr="000C3A57">
        <w:t>digt måste det konstateras att dessa utgångspun</w:t>
      </w:r>
      <w:r w:rsidRPr="000C3A57">
        <w:t>k</w:t>
      </w:r>
      <w:r w:rsidRPr="000C3A57">
        <w:t xml:space="preserve">ter är desamma som rådde i riksdagen inför Sveriges inträde i EU </w:t>
      </w:r>
      <w:r w:rsidR="00273E98" w:rsidRPr="000C3A57">
        <w:t xml:space="preserve">år </w:t>
      </w:r>
      <w:r w:rsidRPr="000C3A57">
        <w:t>1995. Som en markering av att inte bara nämnden utan också utsko</w:t>
      </w:r>
      <w:r w:rsidRPr="000C3A57">
        <w:t>t</w:t>
      </w:r>
      <w:r w:rsidRPr="000C3A57">
        <w:t>ten har en viktig roll att fylla i samspelet mellan regeringen och riksdagen fick utskotten rätt att inom sina beredningsområden begära info</w:t>
      </w:r>
      <w:r w:rsidRPr="000C3A57">
        <w:t>r</w:t>
      </w:r>
      <w:r w:rsidRPr="000C3A57">
        <w:t>mation i EU-frågor från regeringen och andra statliga myndigheter. Senare har utskotten därutöver ålagts att följa EU-arbetet inom sina bere</w:t>
      </w:r>
      <w:r w:rsidRPr="000C3A57">
        <w:t>d</w:t>
      </w:r>
      <w:r w:rsidRPr="000C3A57">
        <w:t>ningsomr</w:t>
      </w:r>
      <w:r w:rsidRPr="000C3A57">
        <w:t>å</w:t>
      </w:r>
      <w:r w:rsidRPr="000C3A57">
        <w:t xml:space="preserve">den. Inga hinder finns för att utskotten med dagens regelverk skall aktivera sig i EU-frågorna. </w:t>
      </w:r>
    </w:p>
    <w:p w:rsidR="002316D8" w:rsidRPr="000C3A57" w:rsidRDefault="002316D8" w:rsidP="00DA15CE">
      <w:pPr>
        <w:pStyle w:val="Normaltindrag"/>
      </w:pPr>
      <w:r w:rsidRPr="000C3A57">
        <w:t>Ett allmänt intryck av kommitténs betänkande är att det i olika hänsee</w:t>
      </w:r>
      <w:r w:rsidRPr="000C3A57">
        <w:t>n</w:t>
      </w:r>
      <w:r w:rsidRPr="000C3A57">
        <w:t>den görs en större å</w:t>
      </w:r>
      <w:r w:rsidRPr="000C3A57">
        <w:t>t</w:t>
      </w:r>
      <w:r w:rsidRPr="000C3A57">
        <w:t>skillnad mellan utskotten å ena och EU-nämnden å andra sidan än vad som är motiverat. EU-nämnden vill redan inledningsvis framhå</w:t>
      </w:r>
      <w:r w:rsidRPr="000C3A57">
        <w:t>l</w:t>
      </w:r>
      <w:r w:rsidRPr="000C3A57">
        <w:t>la att det i stor utsträckning råder personalunion mellan utsko</w:t>
      </w:r>
      <w:r w:rsidRPr="000C3A57">
        <w:t>t</w:t>
      </w:r>
      <w:r w:rsidRPr="000C3A57">
        <w:t xml:space="preserve">ten och EU-nämnden och att samtliga utskott är representerade i EU-nämnden. </w:t>
      </w:r>
    </w:p>
    <w:p w:rsidR="00284C15" w:rsidRPr="000C3A57" w:rsidRDefault="004F3AC3" w:rsidP="00DA15CE">
      <w:pPr>
        <w:pStyle w:val="Normaltindrag"/>
      </w:pPr>
      <w:r w:rsidRPr="000C3A57">
        <w:t xml:space="preserve">Många utskott arbetar </w:t>
      </w:r>
      <w:r w:rsidR="0023664C" w:rsidRPr="000C3A57">
        <w:t>aktivt med EU-frågorna, vilket får stor betyde</w:t>
      </w:r>
      <w:r w:rsidR="0023664C" w:rsidRPr="000C3A57">
        <w:t>l</w:t>
      </w:r>
      <w:r w:rsidR="0023664C" w:rsidRPr="000C3A57">
        <w:t>se för samrådsförfarandet i EU-nämnden som då kan koncentreras på vilken hål</w:t>
      </w:r>
      <w:r w:rsidR="0023664C" w:rsidRPr="000C3A57">
        <w:t>l</w:t>
      </w:r>
      <w:r w:rsidR="0023664C" w:rsidRPr="000C3A57">
        <w:t xml:space="preserve">ning Sverige bör inta inför förhandlingarna i ministerrådet. </w:t>
      </w:r>
    </w:p>
    <w:p w:rsidR="00284C15" w:rsidRPr="000C3A57" w:rsidRDefault="00284C15" w:rsidP="00DA15CE">
      <w:pPr>
        <w:pStyle w:val="Normaltindrag"/>
      </w:pPr>
      <w:r w:rsidRPr="000C3A57">
        <w:t>EU-nämnden uttalar sig inte om kommitténs förslag i fråga om arbetet i riksdagens utskott</w:t>
      </w:r>
      <w:r w:rsidR="00AB6C05" w:rsidRPr="000C3A57">
        <w:t xml:space="preserve"> (avsnitt 5)</w:t>
      </w:r>
      <w:r w:rsidRPr="000C3A57">
        <w:t xml:space="preserve">. </w:t>
      </w:r>
      <w:r w:rsidR="0023664C" w:rsidRPr="000C3A57">
        <w:t>EU-nämnden hyser dock en förhoppning om att  en reell förenkling av motionshanteringen och en förändring av utsko</w:t>
      </w:r>
      <w:r w:rsidR="0023664C" w:rsidRPr="000C3A57">
        <w:t>t</w:t>
      </w:r>
      <w:r w:rsidR="0023664C" w:rsidRPr="000C3A57">
        <w:t>tens sammanträdesplan</w:t>
      </w:r>
      <w:r w:rsidR="0023664C" w:rsidRPr="000C3A57">
        <w:t>e</w:t>
      </w:r>
      <w:r w:rsidR="0023664C" w:rsidRPr="000C3A57">
        <w:t>ring</w:t>
      </w:r>
      <w:r w:rsidR="00985D67" w:rsidRPr="000C3A57">
        <w:t xml:space="preserve">  </w:t>
      </w:r>
      <w:r w:rsidR="0023664C" w:rsidRPr="000C3A57">
        <w:t>skall</w:t>
      </w:r>
      <w:r w:rsidR="00985D67" w:rsidRPr="000C3A57">
        <w:t xml:space="preserve"> </w:t>
      </w:r>
      <w:r w:rsidR="0023664C" w:rsidRPr="000C3A57">
        <w:t xml:space="preserve"> underlätta  för utskotten att fullgöra den stärkta roll i EU-arbetet som ko</w:t>
      </w:r>
      <w:r w:rsidR="0023664C" w:rsidRPr="000C3A57">
        <w:t>m</w:t>
      </w:r>
      <w:r w:rsidR="0023664C" w:rsidRPr="000C3A57">
        <w:t xml:space="preserve">mittén föreslår. </w:t>
      </w:r>
    </w:p>
    <w:p w:rsidR="00284C15" w:rsidRPr="000C3A57" w:rsidRDefault="00284C15" w:rsidP="00DA15CE">
      <w:pPr>
        <w:pStyle w:val="Normaltindrag"/>
        <w:rPr>
          <w:i/>
        </w:rPr>
      </w:pPr>
      <w:r w:rsidRPr="000C3A57">
        <w:t>Enligt EU-nämndens mening måste det viktigaste målet nu som vid intr</w:t>
      </w:r>
      <w:r w:rsidRPr="000C3A57">
        <w:t>ä</w:t>
      </w:r>
      <w:r w:rsidRPr="000C3A57">
        <w:t>det i EU vara att skapa de rättsliga och organisatoriska möjligheter som b</w:t>
      </w:r>
      <w:r w:rsidRPr="000C3A57">
        <w:t>e</w:t>
      </w:r>
      <w:r w:rsidRPr="000C3A57">
        <w:t xml:space="preserve">hövs för att riksdagen genom sina organ skall – innan besluten fattas i EU – </w:t>
      </w:r>
      <w:r w:rsidRPr="000C3A57">
        <w:rPr>
          <w:i/>
        </w:rPr>
        <w:t>kunna utöva ett reellt inflytande på och kontroll av regeringens arbete såsom för</w:t>
      </w:r>
      <w:r w:rsidRPr="000C3A57">
        <w:rPr>
          <w:i/>
        </w:rPr>
        <w:t>e</w:t>
      </w:r>
      <w:r w:rsidRPr="000C3A57">
        <w:rPr>
          <w:i/>
        </w:rPr>
        <w:t xml:space="preserve">trädare för Sverige i EU. </w:t>
      </w:r>
    </w:p>
    <w:p w:rsidR="00284C15" w:rsidRPr="000C3A57" w:rsidRDefault="00284C15" w:rsidP="00DA15CE">
      <w:pPr>
        <w:pStyle w:val="Normaltindrag"/>
      </w:pPr>
      <w:r w:rsidRPr="000C3A57">
        <w:t>Vikten av detta har kommit till uttryck i den år 2003 införda nya bestä</w:t>
      </w:r>
      <w:r w:rsidRPr="000C3A57">
        <w:t>m</w:t>
      </w:r>
      <w:r w:rsidRPr="000C3A57">
        <w:t>melsen i 10 kap. 6 § första stycket regeringsformen. I bestämmelsen för</w:t>
      </w:r>
      <w:r w:rsidRPr="000C3A57">
        <w:t>e</w:t>
      </w:r>
      <w:r w:rsidRPr="000C3A57">
        <w:t xml:space="preserve">skrivs att regeringen </w:t>
      </w:r>
      <w:r w:rsidR="00D80249" w:rsidRPr="000C3A57">
        <w:t xml:space="preserve">skall </w:t>
      </w:r>
      <w:r w:rsidR="004F3AC3" w:rsidRPr="000C3A57">
        <w:t xml:space="preserve">fortlöpande </w:t>
      </w:r>
      <w:r w:rsidRPr="000C3A57">
        <w:t>informera riksdagen och sa</w:t>
      </w:r>
      <w:r w:rsidRPr="000C3A57">
        <w:t>m</w:t>
      </w:r>
      <w:r w:rsidRPr="000C3A57">
        <w:t>råda med organ som utses av riksdagen om vad som sker inom ramen för samarb</w:t>
      </w:r>
      <w:r w:rsidRPr="000C3A57">
        <w:t>e</w:t>
      </w:r>
      <w:r w:rsidRPr="000C3A57">
        <w:t>tet i Europeiska unionen, och att närmare bestämmelser om inform</w:t>
      </w:r>
      <w:r w:rsidRPr="000C3A57">
        <w:t>a</w:t>
      </w:r>
      <w:r w:rsidRPr="000C3A57">
        <w:t>tions- och samrådsskyldigheten meddelas i riksdagsordningen. Enligt föra</w:t>
      </w:r>
      <w:r w:rsidRPr="000C3A57">
        <w:t>r</w:t>
      </w:r>
      <w:r w:rsidRPr="000C3A57">
        <w:t xml:space="preserve">betena till grundlagsändringen avsågs </w:t>
      </w:r>
      <w:r w:rsidR="00875F54" w:rsidRPr="000C3A57">
        <w:t xml:space="preserve">denna </w:t>
      </w:r>
      <w:r w:rsidRPr="000C3A57">
        <w:t>inte åstadkomma någon än</w:t>
      </w:r>
      <w:r w:rsidRPr="000C3A57">
        <w:t>d</w:t>
      </w:r>
      <w:r w:rsidRPr="000C3A57">
        <w:t>ring av den gällande ordningen för information och samråd utan i stället att markera fr</w:t>
      </w:r>
      <w:r w:rsidRPr="000C3A57">
        <w:t>å</w:t>
      </w:r>
      <w:r w:rsidRPr="000C3A57">
        <w:t>gans vikt (</w:t>
      </w:r>
      <w:r w:rsidR="00E454ED" w:rsidRPr="000C3A57">
        <w:t>bet.</w:t>
      </w:r>
      <w:r w:rsidR="00EA7FB3" w:rsidRPr="000C3A57">
        <w:t xml:space="preserve"> </w:t>
      </w:r>
      <w:r w:rsidR="00E454ED" w:rsidRPr="000C3A57">
        <w:t>2001/02:KU18 s</w:t>
      </w:r>
      <w:r w:rsidR="00D80249" w:rsidRPr="000C3A57">
        <w:t>.</w:t>
      </w:r>
      <w:r w:rsidRPr="000C3A57">
        <w:t xml:space="preserve"> 49).  </w:t>
      </w:r>
    </w:p>
    <w:p w:rsidR="00284C15" w:rsidRPr="000C3A57" w:rsidRDefault="0023664C" w:rsidP="00DA15CE">
      <w:pPr>
        <w:pStyle w:val="Normaltindrag"/>
      </w:pPr>
      <w:r w:rsidRPr="000C3A57">
        <w:t>I Riksdagskommitténs betänkande sägs (avsnitt 3.1</w:t>
      </w:r>
      <w:r w:rsidR="00E454ED" w:rsidRPr="000C3A57">
        <w:t xml:space="preserve"> s</w:t>
      </w:r>
      <w:r w:rsidR="00EA7FB3" w:rsidRPr="000C3A57">
        <w:t>.</w:t>
      </w:r>
      <w:r w:rsidRPr="000C3A57">
        <w:t xml:space="preserve"> 39) att riksdagen skall spela en central roll i hanteringen av EU-frågorna, att EU-frågorna är en viktig del av den politiska verkligheten, vilket bör avspeglas i riksd</w:t>
      </w:r>
      <w:r w:rsidRPr="000C3A57">
        <w:t>a</w:t>
      </w:r>
      <w:r w:rsidRPr="000C3A57">
        <w:t>gens arbete, att det är viktigt att riksdagen kommer in tidigt, att samtliga riksdag</w:t>
      </w:r>
      <w:r w:rsidRPr="000C3A57">
        <w:t>s</w:t>
      </w:r>
      <w:r w:rsidRPr="000C3A57">
        <w:t>ledamöter involveras och att riksdagens normala arbetsformer i så stor u</w:t>
      </w:r>
      <w:r w:rsidRPr="000C3A57">
        <w:t>t</w:t>
      </w:r>
      <w:r w:rsidRPr="000C3A57">
        <w:t>sträckning som mö</w:t>
      </w:r>
      <w:r w:rsidRPr="000C3A57">
        <w:t>j</w:t>
      </w:r>
      <w:r w:rsidRPr="000C3A57">
        <w:t>ligt bör tillämpas också för EU-frågorna</w:t>
      </w:r>
      <w:r w:rsidR="008256D1" w:rsidRPr="000C3A57">
        <w:t xml:space="preserve"> samt att</w:t>
      </w:r>
      <w:r w:rsidRPr="000C3A57">
        <w:t xml:space="preserve"> en aktiv behandling av EU-frågorna i riksdagen bidrar till att EU-frågorna kan föran</w:t>
      </w:r>
      <w:r w:rsidRPr="000C3A57">
        <w:t>k</w:t>
      </w:r>
      <w:r w:rsidRPr="000C3A57">
        <w:t>ras bättre i samhället.</w:t>
      </w:r>
    </w:p>
    <w:p w:rsidR="00284C15" w:rsidRPr="000C3A57" w:rsidRDefault="00284C15" w:rsidP="00DA15CE">
      <w:pPr>
        <w:pStyle w:val="Normaltindrag"/>
      </w:pPr>
      <w:r w:rsidRPr="000C3A57">
        <w:t>Som kommittén framhåller är det enligt EU-nämnden givetvis en styrka för regeringen om de svenska ståndpunkterna har en så bred föran</w:t>
      </w:r>
      <w:r w:rsidRPr="000C3A57">
        <w:t>k</w:t>
      </w:r>
      <w:r w:rsidRPr="000C3A57">
        <w:t>ring i riksdagen som möjligt. I uppdraget till kommittén ingår emellertid också att tydli</w:t>
      </w:r>
      <w:r w:rsidRPr="000C3A57">
        <w:t>g</w:t>
      </w:r>
      <w:r w:rsidRPr="000C3A57">
        <w:t>göra riksdagens roll och stärka riksdagens inflytande i EU-samarbetet.</w:t>
      </w:r>
      <w:r w:rsidRPr="000C3A57">
        <w:rPr>
          <w:i/>
        </w:rPr>
        <w:t xml:space="preserve"> Något resonemang om och i vad mån riksdagens inflytande i detta samarb</w:t>
      </w:r>
      <w:r w:rsidRPr="000C3A57">
        <w:rPr>
          <w:i/>
        </w:rPr>
        <w:t>e</w:t>
      </w:r>
      <w:r w:rsidRPr="000C3A57">
        <w:rPr>
          <w:i/>
        </w:rPr>
        <w:t>te stärks genom kommitténs samlade förslag återfinns emellertid inte i betä</w:t>
      </w:r>
      <w:r w:rsidRPr="000C3A57">
        <w:rPr>
          <w:i/>
        </w:rPr>
        <w:t>n</w:t>
      </w:r>
      <w:r w:rsidRPr="000C3A57">
        <w:rPr>
          <w:i/>
        </w:rPr>
        <w:t>kandet.</w:t>
      </w:r>
      <w:r w:rsidRPr="000C3A57">
        <w:t xml:space="preserve"> </w:t>
      </w:r>
    </w:p>
    <w:p w:rsidR="00284C15" w:rsidRPr="000C3A57" w:rsidRDefault="00284C15" w:rsidP="00DA15CE">
      <w:pPr>
        <w:pStyle w:val="Normaltindrag"/>
        <w:rPr>
          <w:szCs w:val="24"/>
        </w:rPr>
      </w:pPr>
      <w:r w:rsidRPr="000C3A57">
        <w:t>Riksdagens inflytande kan ske i de olika faser som föregår ett lagstif</w:t>
      </w:r>
      <w:r w:rsidRPr="000C3A57">
        <w:t>t</w:t>
      </w:r>
      <w:r w:rsidRPr="000C3A57">
        <w:t>nings</w:t>
      </w:r>
      <w:r w:rsidR="004D1B60" w:rsidRPr="000C3A57">
        <w:t>beslut</w:t>
      </w:r>
      <w:r w:rsidRPr="000C3A57">
        <w:t xml:space="preserve"> eller annat beslut i EU. Med detta som utgångspunkt har kommi</w:t>
      </w:r>
      <w:r w:rsidRPr="000C3A57">
        <w:t>t</w:t>
      </w:r>
      <w:r w:rsidRPr="000C3A57">
        <w:t xml:space="preserve">tén lagt fram sina förslag. Kommitténs beskrivning av </w:t>
      </w:r>
      <w:r w:rsidRPr="000C3A57">
        <w:rPr>
          <w:szCs w:val="24"/>
        </w:rPr>
        <w:t>EU:s beslutspr</w:t>
      </w:r>
      <w:r w:rsidRPr="000C3A57">
        <w:rPr>
          <w:szCs w:val="24"/>
        </w:rPr>
        <w:t>o</w:t>
      </w:r>
      <w:r w:rsidRPr="000C3A57">
        <w:rPr>
          <w:szCs w:val="24"/>
        </w:rPr>
        <w:t>cess (av</w:t>
      </w:r>
      <w:r w:rsidR="00F2096A" w:rsidRPr="000C3A57">
        <w:rPr>
          <w:szCs w:val="24"/>
        </w:rPr>
        <w:t>snitt 3.1 s</w:t>
      </w:r>
      <w:r w:rsidR="00D80249" w:rsidRPr="000C3A57">
        <w:rPr>
          <w:szCs w:val="24"/>
        </w:rPr>
        <w:t>.</w:t>
      </w:r>
      <w:r w:rsidR="00F2096A" w:rsidRPr="000C3A57">
        <w:rPr>
          <w:szCs w:val="24"/>
        </w:rPr>
        <w:t xml:space="preserve"> </w:t>
      </w:r>
      <w:r w:rsidRPr="000C3A57">
        <w:rPr>
          <w:szCs w:val="24"/>
        </w:rPr>
        <w:t>40) är emellertid alltför kortfa</w:t>
      </w:r>
      <w:r w:rsidRPr="000C3A57">
        <w:rPr>
          <w:szCs w:val="24"/>
        </w:rPr>
        <w:t>t</w:t>
      </w:r>
      <w:r w:rsidRPr="000C3A57">
        <w:rPr>
          <w:szCs w:val="24"/>
        </w:rPr>
        <w:t>tad för att ge en förståelse av det komplicerade beslut</w:t>
      </w:r>
      <w:r w:rsidR="004D1B60" w:rsidRPr="000C3A57">
        <w:rPr>
          <w:szCs w:val="24"/>
        </w:rPr>
        <w:t>s</w:t>
      </w:r>
      <w:r w:rsidRPr="000C3A57">
        <w:rPr>
          <w:szCs w:val="24"/>
        </w:rPr>
        <w:t>- och förhandlingsmaskineri som äger rum i EU. Efte</w:t>
      </w:r>
      <w:r w:rsidRPr="000C3A57">
        <w:rPr>
          <w:szCs w:val="24"/>
        </w:rPr>
        <w:t>r</w:t>
      </w:r>
      <w:r w:rsidRPr="000C3A57">
        <w:rPr>
          <w:szCs w:val="24"/>
        </w:rPr>
        <w:t>som kommittén lämnar förslag beträffande en uppdelning av det n</w:t>
      </w:r>
      <w:r w:rsidRPr="000C3A57">
        <w:rPr>
          <w:szCs w:val="24"/>
        </w:rPr>
        <w:t>u</w:t>
      </w:r>
      <w:r w:rsidRPr="000C3A57">
        <w:rPr>
          <w:szCs w:val="24"/>
        </w:rPr>
        <w:t>varande samrådsförfarandet, som föreslås äga rum såväl i utsko</w:t>
      </w:r>
      <w:r w:rsidRPr="000C3A57">
        <w:rPr>
          <w:szCs w:val="24"/>
        </w:rPr>
        <w:t>t</w:t>
      </w:r>
      <w:r w:rsidRPr="000C3A57">
        <w:rPr>
          <w:szCs w:val="24"/>
        </w:rPr>
        <w:t>ten som i EU-nämnden, hade en mera utförlig beskrivning av denna beslutsprocess varit önskvärd.</w:t>
      </w:r>
      <w:r w:rsidR="00323314" w:rsidRPr="000C3A57">
        <w:rPr>
          <w:szCs w:val="24"/>
        </w:rPr>
        <w:t xml:space="preserve"> En sådan beskrivning och noggranna öve</w:t>
      </w:r>
      <w:r w:rsidR="00323314" w:rsidRPr="000C3A57">
        <w:rPr>
          <w:szCs w:val="24"/>
        </w:rPr>
        <w:t>r</w:t>
      </w:r>
      <w:r w:rsidR="00323314" w:rsidRPr="000C3A57">
        <w:rPr>
          <w:szCs w:val="24"/>
        </w:rPr>
        <w:t xml:space="preserve">väganden om följderna för riksdagen </w:t>
      </w:r>
      <w:r w:rsidR="00985D67" w:rsidRPr="000C3A57">
        <w:rPr>
          <w:szCs w:val="24"/>
        </w:rPr>
        <w:t xml:space="preserve">av denna beslutsprocess </w:t>
      </w:r>
      <w:r w:rsidR="00C07A82" w:rsidRPr="000C3A57">
        <w:rPr>
          <w:szCs w:val="24"/>
        </w:rPr>
        <w:t xml:space="preserve">bör </w:t>
      </w:r>
      <w:r w:rsidR="00D80249" w:rsidRPr="000C3A57">
        <w:rPr>
          <w:szCs w:val="24"/>
        </w:rPr>
        <w:t>ske</w:t>
      </w:r>
      <w:r w:rsidR="00323314" w:rsidRPr="000C3A57">
        <w:rPr>
          <w:szCs w:val="24"/>
        </w:rPr>
        <w:t xml:space="preserve"> i ett fortsatt utre</w:t>
      </w:r>
      <w:r w:rsidR="00323314" w:rsidRPr="000C3A57">
        <w:rPr>
          <w:szCs w:val="24"/>
        </w:rPr>
        <w:t>d</w:t>
      </w:r>
      <w:r w:rsidR="00323314" w:rsidRPr="000C3A57">
        <w:rPr>
          <w:szCs w:val="24"/>
        </w:rPr>
        <w:t>ningsarbete.</w:t>
      </w:r>
    </w:p>
    <w:p w:rsidR="00284C15" w:rsidRPr="000C3A57" w:rsidRDefault="00284C15" w:rsidP="00267AE0">
      <w:pPr>
        <w:pStyle w:val="Rubrik3"/>
        <w:rPr>
          <w:noProof w:val="0"/>
        </w:rPr>
      </w:pPr>
      <w:bookmarkStart w:id="32" w:name="_Toc131556649"/>
      <w:bookmarkStart w:id="33" w:name="_Toc131556684"/>
      <w:bookmarkStart w:id="34" w:name="_Toc131556832"/>
      <w:bookmarkStart w:id="35" w:name="_Toc131574135"/>
      <w:r w:rsidRPr="000C3A57">
        <w:rPr>
          <w:noProof w:val="0"/>
        </w:rPr>
        <w:t>Grön- och vitböcker och andra strategiska EU-dokument (avsnitt 3.2)</w:t>
      </w:r>
      <w:bookmarkEnd w:id="32"/>
      <w:bookmarkEnd w:id="33"/>
      <w:bookmarkEnd w:id="34"/>
      <w:bookmarkEnd w:id="35"/>
    </w:p>
    <w:p w:rsidR="00284C15" w:rsidRPr="000C3A57" w:rsidRDefault="00284C15" w:rsidP="00905CB4">
      <w:pPr>
        <w:spacing w:before="125"/>
      </w:pPr>
      <w:r w:rsidRPr="000C3A57">
        <w:t>EU-nämnden kan i huvudsak dela de bedömningar som kommittén gör och instämma i förslagen</w:t>
      </w:r>
      <w:r w:rsidR="00675C4B" w:rsidRPr="000C3A57">
        <w:t xml:space="preserve"> när det gäller grön- och vitböcker och medd</w:t>
      </w:r>
      <w:r w:rsidR="00675C4B" w:rsidRPr="000C3A57">
        <w:t>e</w:t>
      </w:r>
      <w:r w:rsidR="00675C4B" w:rsidRPr="000C3A57">
        <w:t>landen.</w:t>
      </w:r>
      <w:r w:rsidR="00881DE2" w:rsidRPr="000C3A57">
        <w:t xml:space="preserve"> </w:t>
      </w:r>
      <w:r w:rsidRPr="000C3A57">
        <w:t>Viss oklarhet råder dock om vilka typer av dokument som berörs av försl</w:t>
      </w:r>
      <w:r w:rsidRPr="000C3A57">
        <w:t>a</w:t>
      </w:r>
      <w:r w:rsidRPr="000C3A57">
        <w:t xml:space="preserve">get. </w:t>
      </w:r>
      <w:r w:rsidR="0023664C" w:rsidRPr="000C3A57">
        <w:t>En sådan fråga är t.ex. om kommissionens konsekvensanalyser (impact asse</w:t>
      </w:r>
      <w:r w:rsidR="0023664C" w:rsidRPr="000C3A57">
        <w:t>s</w:t>
      </w:r>
      <w:r w:rsidR="0023664C" w:rsidRPr="000C3A57">
        <w:t xml:space="preserve">sements) berörs. </w:t>
      </w:r>
      <w:r w:rsidRPr="000C3A57">
        <w:t>Det undantag för förslag från Europeiska kommissi</w:t>
      </w:r>
      <w:r w:rsidRPr="000C3A57">
        <w:t>o</w:t>
      </w:r>
      <w:r w:rsidRPr="000C3A57">
        <w:t>nen som nämns i den föreslagna lagtexten i riksdagsor</w:t>
      </w:r>
      <w:r w:rsidRPr="000C3A57">
        <w:t>d</w:t>
      </w:r>
      <w:r w:rsidRPr="000C3A57">
        <w:t>ningen (nya 10 kap. 4 §)  avse</w:t>
      </w:r>
      <w:r w:rsidR="008256D1" w:rsidRPr="000C3A57">
        <w:t>r</w:t>
      </w:r>
      <w:r w:rsidRPr="000C3A57">
        <w:t xml:space="preserve"> kommissionens förslag till </w:t>
      </w:r>
      <w:r w:rsidRPr="000C3A57">
        <w:rPr>
          <w:i/>
        </w:rPr>
        <w:t>lagstiftning</w:t>
      </w:r>
      <w:r w:rsidRPr="000C3A57">
        <w:t>, vilket bör klargöras. A</w:t>
      </w:r>
      <w:r w:rsidRPr="000C3A57">
        <w:t>n</w:t>
      </w:r>
      <w:r w:rsidRPr="000C3A57">
        <w:t xml:space="preserve">ledningen till att dessa lagförslag undantagits </w:t>
      </w:r>
      <w:r w:rsidR="00A95378" w:rsidRPr="000C3A57">
        <w:t xml:space="preserve"> torde vara </w:t>
      </w:r>
      <w:r w:rsidRPr="000C3A57">
        <w:t>att dessa enligt kommittén skulle omfattas av den subsidiar</w:t>
      </w:r>
      <w:r w:rsidRPr="000C3A57">
        <w:t>i</w:t>
      </w:r>
      <w:r w:rsidRPr="000C3A57">
        <w:t>tetsprövning som kommittén föreslår i anledning av det konstitutionella fördraget. I nuvarande situation med rådande osäkerhet om det konstit</w:t>
      </w:r>
      <w:r w:rsidRPr="000C3A57">
        <w:t>u</w:t>
      </w:r>
      <w:r w:rsidRPr="000C3A57">
        <w:t>tionella fördraget kan det övervägas om även lagförslag borde omfa</w:t>
      </w:r>
      <w:r w:rsidRPr="000C3A57">
        <w:t>t</w:t>
      </w:r>
      <w:r w:rsidRPr="000C3A57">
        <w:t>tas av den föreslagna behandlingen av EU-dokument. För närvarande förefaller dock detta inte lämpligt. Riksdagsbehan</w:t>
      </w:r>
      <w:r w:rsidRPr="000C3A57">
        <w:t>d</w:t>
      </w:r>
      <w:r w:rsidRPr="000C3A57">
        <w:t>lingen av de EU-dokument som nu är aktuella bör först – om för</w:t>
      </w:r>
      <w:r w:rsidR="00DD4E70" w:rsidRPr="000C3A57">
        <w:t xml:space="preserve">slaget genomförs – utvärderas. </w:t>
      </w:r>
      <w:r w:rsidRPr="000C3A57">
        <w:t>Beträ</w:t>
      </w:r>
      <w:r w:rsidRPr="000C3A57">
        <w:t>f</w:t>
      </w:r>
      <w:r w:rsidRPr="000C3A57">
        <w:t>fande frågan om subsidiaritetskontroll återkommer EU-nämnden i det följa</w:t>
      </w:r>
      <w:r w:rsidRPr="000C3A57">
        <w:t>n</w:t>
      </w:r>
      <w:r w:rsidRPr="000C3A57">
        <w:t xml:space="preserve">de. </w:t>
      </w:r>
    </w:p>
    <w:p w:rsidR="00284C15" w:rsidRPr="000C3A57" w:rsidRDefault="00284C15" w:rsidP="00DA15CE">
      <w:pPr>
        <w:pStyle w:val="Normaltindrag"/>
      </w:pPr>
      <w:r w:rsidRPr="000C3A57">
        <w:t>I avsnittet talas enbart om utskotten. Det bör emellertid framhållas att ha</w:t>
      </w:r>
      <w:r w:rsidRPr="000C3A57">
        <w:t>n</w:t>
      </w:r>
      <w:r w:rsidRPr="000C3A57">
        <w:t>teringen av nu aktuella dokument och det samrådsförf</w:t>
      </w:r>
      <w:r w:rsidRPr="000C3A57">
        <w:t>a</w:t>
      </w:r>
      <w:r w:rsidRPr="000C3A57">
        <w:t>rande som enligt kommitténs förslag skall ske i EU-nämnden inför beslut i EU inte kan ses isolerade från varandra. Flera av de dok</w:t>
      </w:r>
      <w:r w:rsidRPr="000C3A57">
        <w:t>u</w:t>
      </w:r>
      <w:r w:rsidRPr="000C3A57">
        <w:t>ment som kommittén synes mena uteslutande skall behandlas av berörda utskott har ett sådant samband med besluten i ministerrådet att de naturligtvis inte kan förbigås av EU-nämnden. Som exempel kan nämnas de operativa rådsarbetspr</w:t>
      </w:r>
      <w:r w:rsidRPr="000C3A57">
        <w:t>o</w:t>
      </w:r>
      <w:r w:rsidRPr="000C3A57">
        <w:t>grammen. Vidare kan en grön- eller vitbok eller ett meddelande från kommissionen ha ett sådant sa</w:t>
      </w:r>
      <w:r w:rsidRPr="000C3A57">
        <w:t>m</w:t>
      </w:r>
      <w:r w:rsidRPr="000C3A57">
        <w:t>band med en beslutsfråga på ministerrådets dagordning att dokumentet natu</w:t>
      </w:r>
      <w:r w:rsidRPr="000C3A57">
        <w:t>r</w:t>
      </w:r>
      <w:r w:rsidRPr="000C3A57">
        <w:t>ligen blir föremål för en diskussion på EU-nämndens sammanträde. Ett sådant exempel från mars innevarande år är grönboken om energi som prese</w:t>
      </w:r>
      <w:r w:rsidRPr="000C3A57">
        <w:t>n</w:t>
      </w:r>
      <w:r w:rsidRPr="000C3A57">
        <w:t>tera</w:t>
      </w:r>
      <w:r w:rsidR="008256D1" w:rsidRPr="000C3A57">
        <w:t>des</w:t>
      </w:r>
      <w:r w:rsidRPr="000C3A57">
        <w:t xml:space="preserve"> två dagar före EU-nämndens sammanträde och som hade starkt samband med slutsatser på samma område som skulle beslutas av ministerrådet</w:t>
      </w:r>
      <w:r w:rsidR="00323314" w:rsidRPr="000C3A57">
        <w:t xml:space="preserve"> på det akt</w:t>
      </w:r>
      <w:r w:rsidR="00323314" w:rsidRPr="000C3A57">
        <w:t>u</w:t>
      </w:r>
      <w:r w:rsidR="00323314" w:rsidRPr="000C3A57">
        <w:t>ella rådsmötet</w:t>
      </w:r>
      <w:r w:rsidRPr="000C3A57">
        <w:t xml:space="preserve">. </w:t>
      </w:r>
    </w:p>
    <w:p w:rsidR="00284C15" w:rsidRPr="000C3A57" w:rsidRDefault="00284C15" w:rsidP="00DA15CE">
      <w:pPr>
        <w:pStyle w:val="Normaltindrag"/>
      </w:pPr>
      <w:r w:rsidRPr="000C3A57">
        <w:t>Kommittén framhåller att behandlingen av de aktuella dokumenten inte skall leda till att riksdagen på ett tidigt stadium binder r</w:t>
      </w:r>
      <w:r w:rsidRPr="000C3A57">
        <w:t>e</w:t>
      </w:r>
      <w:r w:rsidRPr="000C3A57">
        <w:t>geringen vid en viss ståndpunkt utan att syftet är att skapa utrymme för en deba</w:t>
      </w:r>
      <w:r w:rsidR="001D61C9" w:rsidRPr="000C3A57">
        <w:t xml:space="preserve">tt som visar på olika synsätt </w:t>
      </w:r>
      <w:r w:rsidR="00D80249" w:rsidRPr="000C3A57">
        <w:t>på</w:t>
      </w:r>
      <w:r w:rsidRPr="000C3A57">
        <w:t xml:space="preserve"> de aktuella frågorna. Viktigt är emellertid också enligt EU-nämndens mening att det görs tydligt att någon bundenhet inte heller kan förekomma i förhå</w:t>
      </w:r>
      <w:r w:rsidRPr="000C3A57">
        <w:t>l</w:t>
      </w:r>
      <w:r w:rsidRPr="000C3A57">
        <w:t xml:space="preserve">lande till riksdagens egna organ, dvs. utskott och EU-nämnd. I det sammansatta konstitutions- och utrikesutskottets betänkande 2003/04:KUU1 Europeiska konventet om EU:s framtid tas frågan </w:t>
      </w:r>
      <w:r w:rsidR="00D80249" w:rsidRPr="000C3A57">
        <w:t>upp o</w:t>
      </w:r>
      <w:r w:rsidRPr="000C3A57">
        <w:t xml:space="preserve">m det mandat som regeringen får genom riksdagens beslut på </w:t>
      </w:r>
      <w:r w:rsidR="00A95378" w:rsidRPr="000C3A57">
        <w:t>basis</w:t>
      </w:r>
      <w:r w:rsidRPr="000C3A57">
        <w:t xml:space="preserve"> av betänka</w:t>
      </w:r>
      <w:r w:rsidRPr="000C3A57">
        <w:t>n</w:t>
      </w:r>
      <w:r w:rsidRPr="000C3A57">
        <w:t>det. Utskottet</w:t>
      </w:r>
      <w:r w:rsidR="00540B4E" w:rsidRPr="000C3A57">
        <w:t xml:space="preserve"> uttalar i detta sammanhang (s</w:t>
      </w:r>
      <w:r w:rsidR="00D80249" w:rsidRPr="000C3A57">
        <w:t>.</w:t>
      </w:r>
      <w:r w:rsidRPr="000C3A57">
        <w:t xml:space="preserve"> 43) att riksdagens beslut med anle</w:t>
      </w:r>
      <w:r w:rsidRPr="000C3A57">
        <w:t>d</w:t>
      </w:r>
      <w:r w:rsidRPr="000C3A57">
        <w:t>ning av betänkandet skall vara styrande för regeringens förhandlingsa</w:t>
      </w:r>
      <w:r w:rsidRPr="000C3A57">
        <w:t>r</w:t>
      </w:r>
      <w:r w:rsidRPr="000C3A57">
        <w:t>bete men att fortsatta förhan</w:t>
      </w:r>
      <w:r w:rsidRPr="000C3A57">
        <w:t>d</w:t>
      </w:r>
      <w:r w:rsidRPr="000C3A57">
        <w:t>lingar kräver kompromisser som får förankras i de former för samråd som gäller. Motsvarande synsätt måste också gälla behan</w:t>
      </w:r>
      <w:r w:rsidRPr="000C3A57">
        <w:t>d</w:t>
      </w:r>
      <w:r w:rsidRPr="000C3A57">
        <w:t>lingen av de samrådsdokument som det nu är fråga om. Det förhålla</w:t>
      </w:r>
      <w:r w:rsidRPr="000C3A57">
        <w:t>n</w:t>
      </w:r>
      <w:r w:rsidRPr="000C3A57">
        <w:t>det att de skall behandlas av kammaren på sätt som föreslås av kommittén kan inte innebära att riksdagens organ i fortsatta förhandlingar är bundna av kamma</w:t>
      </w:r>
      <w:r w:rsidRPr="000C3A57">
        <w:t>r</w:t>
      </w:r>
      <w:r w:rsidRPr="000C3A57">
        <w:t>behandlin</w:t>
      </w:r>
      <w:r w:rsidRPr="000C3A57">
        <w:t>g</w:t>
      </w:r>
      <w:r w:rsidRPr="000C3A57">
        <w:t xml:space="preserve">en.    </w:t>
      </w:r>
    </w:p>
    <w:p w:rsidR="00284C15" w:rsidRPr="000C3A57" w:rsidRDefault="00284C15" w:rsidP="00267AE0">
      <w:pPr>
        <w:pStyle w:val="Rubrik3"/>
        <w:rPr>
          <w:noProof w:val="0"/>
        </w:rPr>
      </w:pPr>
      <w:bookmarkStart w:id="36" w:name="_Toc131556650"/>
      <w:bookmarkStart w:id="37" w:name="_Toc131556685"/>
      <w:bookmarkStart w:id="38" w:name="_Toc131556833"/>
      <w:bookmarkStart w:id="39" w:name="_Toc131574136"/>
      <w:r w:rsidRPr="000C3A57">
        <w:rPr>
          <w:noProof w:val="0"/>
        </w:rPr>
        <w:t>Samråd mellan regering och riksdag (avsnitt 3.3)</w:t>
      </w:r>
      <w:bookmarkEnd w:id="36"/>
      <w:bookmarkEnd w:id="37"/>
      <w:bookmarkEnd w:id="38"/>
      <w:bookmarkEnd w:id="39"/>
    </w:p>
    <w:p w:rsidR="00284C15" w:rsidRPr="000C3A57" w:rsidRDefault="00284C15" w:rsidP="00905CB4">
      <w:pPr>
        <w:spacing w:before="125"/>
      </w:pPr>
      <w:r w:rsidRPr="000C3A57">
        <w:t>Som en allmän bakgrund vill nämnden först redovisa sin principiella instäl</w:t>
      </w:r>
      <w:r w:rsidRPr="000C3A57">
        <w:t>l</w:t>
      </w:r>
      <w:r w:rsidRPr="000C3A57">
        <w:t>ning när det gäller riksdagens ansvar för och behandling av EU-frågorna, såvitt gäller förhandlingarna i EU:s ministerråd.</w:t>
      </w:r>
    </w:p>
    <w:p w:rsidR="00284C15" w:rsidRPr="000C3A57" w:rsidRDefault="00284C15" w:rsidP="00DA15CE">
      <w:pPr>
        <w:pStyle w:val="Normaltindrag"/>
      </w:pPr>
      <w:r w:rsidRPr="000C3A57">
        <w:t>Enligt regeringsformen ankommer det på regeringen att svara för frågor som rör Sveriges förhållande till andra länder och mellanfolkliga organisati</w:t>
      </w:r>
      <w:r w:rsidRPr="000C3A57">
        <w:t>o</w:t>
      </w:r>
      <w:r w:rsidRPr="000C3A57">
        <w:t>ner. Medlemskapet i EU har i och för sig inte medfört någon förän</w:t>
      </w:r>
      <w:r w:rsidRPr="000C3A57">
        <w:t>d</w:t>
      </w:r>
      <w:r w:rsidRPr="000C3A57">
        <w:t>ring av regeringens rättigheter och skyldigheter i detta avseende. Primärt til</w:t>
      </w:r>
      <w:r w:rsidRPr="000C3A57">
        <w:t>l</w:t>
      </w:r>
      <w:r w:rsidRPr="000C3A57">
        <w:t>kommer det således regeringen att avgöra hur förhandlingar inom r</w:t>
      </w:r>
      <w:r w:rsidRPr="000C3A57">
        <w:t>a</w:t>
      </w:r>
      <w:r w:rsidRPr="000C3A57">
        <w:t>men för EU-samarbetet skall föras och bestämma Sveriges positioner vid beslutsfa</w:t>
      </w:r>
      <w:r w:rsidRPr="000C3A57">
        <w:t>t</w:t>
      </w:r>
      <w:r w:rsidRPr="000C3A57">
        <w:t xml:space="preserve">tandet. </w:t>
      </w:r>
    </w:p>
    <w:p w:rsidR="00284C15" w:rsidRPr="000C3A57" w:rsidRDefault="00284C15" w:rsidP="00CF3BA9">
      <w:pPr>
        <w:pStyle w:val="Normaltindrag"/>
      </w:pPr>
      <w:r w:rsidRPr="000C3A57">
        <w:t>Verksamheten vid EU-nämnden och riksdagens behandling i övrigt av EU-frågor måste ses mot denna bakgrund. Ansv</w:t>
      </w:r>
      <w:r w:rsidRPr="000C3A57">
        <w:t>a</w:t>
      </w:r>
      <w:r w:rsidRPr="000C3A57">
        <w:t>ret för Sveriges agerande vid förhandlingar och beslut i EU måste ytterst vila på regeringen och detta oa</w:t>
      </w:r>
      <w:r w:rsidRPr="000C3A57">
        <w:t>v</w:t>
      </w:r>
      <w:r w:rsidRPr="000C3A57">
        <w:t>sett vilket mandat regeringen har fått i EU-nämnden. Riksdagen måste eme</w:t>
      </w:r>
      <w:r w:rsidRPr="000C3A57">
        <w:t>l</w:t>
      </w:r>
      <w:r w:rsidRPr="000C3A57">
        <w:t>lertid ha insyn i EU-frågorna och möjlighet att utöva ett infl</w:t>
      </w:r>
      <w:r w:rsidRPr="000C3A57">
        <w:t>y</w:t>
      </w:r>
      <w:r w:rsidRPr="000C3A57">
        <w:t>tande på och ge mandat till regeringens agerande i EU samt utöva kontroll av detta agerande.</w:t>
      </w:r>
    </w:p>
    <w:p w:rsidR="00284C15" w:rsidRPr="000C3A57" w:rsidRDefault="00284C15" w:rsidP="00CF3BA9">
      <w:pPr>
        <w:pStyle w:val="Normaltindrag"/>
      </w:pPr>
      <w:r w:rsidRPr="000C3A57">
        <w:t>Enligt EU-nämndens uppfattning har regeringens samråd med riksd</w:t>
      </w:r>
      <w:r w:rsidRPr="000C3A57">
        <w:t>a</w:t>
      </w:r>
      <w:r w:rsidRPr="000C3A57">
        <w:t>gen rörande EU-frågorna i stort sett fungerat väl. Ett ökat engagemang har succe</w:t>
      </w:r>
      <w:r w:rsidRPr="000C3A57">
        <w:t>s</w:t>
      </w:r>
      <w:r w:rsidRPr="000C3A57">
        <w:t>sivt skapats för EU-frågorna i riksdagen, och riksdagen har fått inblick i ett stort antal frågor som tidigare inte varit öppna för insyn och delaktighet från riksdagens sida. Ett antal utskott har, som nämnts, blivit alltmer aktiva i EU-frågor även om utskottens verksamhet i denna del skulle behöva akt</w:t>
      </w:r>
      <w:r w:rsidRPr="000C3A57">
        <w:t>i</w:t>
      </w:r>
      <w:r w:rsidRPr="000C3A57">
        <w:t>veras än mer.</w:t>
      </w:r>
      <w:r w:rsidR="00CF3BA9" w:rsidRPr="000C3A57">
        <w:t xml:space="preserve"> </w:t>
      </w:r>
    </w:p>
    <w:p w:rsidR="00284C15" w:rsidRPr="000C3A57" w:rsidRDefault="00284C15" w:rsidP="00CF3BA9">
      <w:pPr>
        <w:pStyle w:val="Normaltindrag"/>
      </w:pPr>
      <w:r w:rsidRPr="000C3A57">
        <w:t>Utvecklingen har främjats av att det inrättats ett särskilt organ i riksd</w:t>
      </w:r>
      <w:r w:rsidRPr="000C3A57">
        <w:t>a</w:t>
      </w:r>
      <w:r w:rsidRPr="000C3A57">
        <w:t>gen för behandlingen av EU-frågor. Regeringen har fått entydiga besked också i horisontella frågor</w:t>
      </w:r>
      <w:r w:rsidR="00FB1160" w:rsidRPr="000C3A57">
        <w:t>,</w:t>
      </w:r>
      <w:r w:rsidRPr="000C3A57">
        <w:t xml:space="preserve"> och nämnden har kunnat fullgöra en koordinerande fun</w:t>
      </w:r>
      <w:r w:rsidRPr="000C3A57">
        <w:t>k</w:t>
      </w:r>
      <w:r w:rsidRPr="000C3A57">
        <w:t>tion. För riksdagen har det också varit en fördel att det i EU-nämnden finns samlade erfarenheter från EU-arbetet</w:t>
      </w:r>
      <w:r w:rsidR="00FB1160" w:rsidRPr="000C3A57">
        <w:t xml:space="preserve"> och </w:t>
      </w:r>
      <w:r w:rsidRPr="000C3A57">
        <w:t>att nämnden har en bred öve</w:t>
      </w:r>
      <w:r w:rsidRPr="000C3A57">
        <w:t>r</w:t>
      </w:r>
      <w:r w:rsidRPr="000C3A57">
        <w:t>blick över EU-frågorna</w:t>
      </w:r>
      <w:r w:rsidR="00CB2CE0" w:rsidRPr="000C3A57">
        <w:t xml:space="preserve"> med möjlighet att hantera och ge sin syn på utskottsöve</w:t>
      </w:r>
      <w:r w:rsidR="00CB2CE0" w:rsidRPr="000C3A57">
        <w:t>r</w:t>
      </w:r>
      <w:r w:rsidR="00CB2CE0" w:rsidRPr="000C3A57">
        <w:t>gripande frågor</w:t>
      </w:r>
      <w:r w:rsidRPr="000C3A57">
        <w:t>. Om det inte skapats ett särskilt riksdagsorgan för EU-frågorna är det troligt att möjligheterna till inflyta</w:t>
      </w:r>
      <w:r w:rsidRPr="000C3A57">
        <w:t>n</w:t>
      </w:r>
      <w:r w:rsidRPr="000C3A57">
        <w:t>de på regeringens agerande hade varit betydligt mindre än de är i dag. Belysande är att samtl</w:t>
      </w:r>
      <w:r w:rsidRPr="000C3A57">
        <w:t>i</w:t>
      </w:r>
      <w:r w:rsidRPr="000C3A57">
        <w:t>ga parlament i EU:s övriga medlemsländer funnit det befogat att inrä</w:t>
      </w:r>
      <w:r w:rsidRPr="000C3A57">
        <w:t>t</w:t>
      </w:r>
      <w:r w:rsidRPr="000C3A57">
        <w:t xml:space="preserve">ta särskilda organ för EU-frågorna. EU-nämnden har </w:t>
      </w:r>
      <w:r w:rsidR="00A95378" w:rsidRPr="000C3A57">
        <w:t xml:space="preserve">därmed också </w:t>
      </w:r>
      <w:r w:rsidRPr="000C3A57">
        <w:t>naturliga samarbetsparter i andra medlemsländers parl</w:t>
      </w:r>
      <w:r w:rsidRPr="000C3A57">
        <w:t>a</w:t>
      </w:r>
      <w:r w:rsidRPr="000C3A57">
        <w:t>ment. Belysande är också att samordningen av EU-frågor inom Regeringskansliet flyttats till Statsrådsberedningen. Anle</w:t>
      </w:r>
      <w:r w:rsidRPr="000C3A57">
        <w:t>d</w:t>
      </w:r>
      <w:r w:rsidRPr="000C3A57">
        <w:t xml:space="preserve">ningen härtill är insikten om att – även om EU-frågorna </w:t>
      </w:r>
      <w:r w:rsidR="00323314" w:rsidRPr="000C3A57">
        <w:t xml:space="preserve">ses som </w:t>
      </w:r>
      <w:r w:rsidRPr="000C3A57">
        <w:t xml:space="preserve"> inrikespol</w:t>
      </w:r>
      <w:r w:rsidRPr="000C3A57">
        <w:t>i</w:t>
      </w:r>
      <w:r w:rsidRPr="000C3A57">
        <w:t>tiska frågor och normalt skall behandlas som sådana – EU-arbetet i ministe</w:t>
      </w:r>
      <w:r w:rsidRPr="000C3A57">
        <w:t>r</w:t>
      </w:r>
      <w:r w:rsidRPr="000C3A57">
        <w:t>rådet utgör en ständigt pågående förhandling där Sverige för att få gehör beh</w:t>
      </w:r>
      <w:r w:rsidRPr="000C3A57">
        <w:t>ö</w:t>
      </w:r>
      <w:r w:rsidRPr="000C3A57">
        <w:t xml:space="preserve">ver tala med en röst. </w:t>
      </w:r>
    </w:p>
    <w:p w:rsidR="00284C15" w:rsidRPr="000C3A57" w:rsidRDefault="00CF3BA9" w:rsidP="00CF3BA9">
      <w:pPr>
        <w:pStyle w:val="Normaltindrag"/>
      </w:pPr>
      <w:r w:rsidRPr="000C3A57">
        <w:t>D</w:t>
      </w:r>
      <w:r w:rsidR="00284C15" w:rsidRPr="000C3A57">
        <w:t>en nu angivna utvecklingen och nämnda förhållanden berörs inte i ko</w:t>
      </w:r>
      <w:r w:rsidR="00284C15" w:rsidRPr="000C3A57">
        <w:t>m</w:t>
      </w:r>
      <w:r w:rsidR="00284C15" w:rsidRPr="000C3A57">
        <w:t>mitténs betänkande. Det sägs visserligen inle</w:t>
      </w:r>
      <w:r w:rsidR="00284C15" w:rsidRPr="000C3A57">
        <w:t>d</w:t>
      </w:r>
      <w:r w:rsidR="00CC7756" w:rsidRPr="000C3A57">
        <w:t>ningsvis (s</w:t>
      </w:r>
      <w:r w:rsidR="00D80249" w:rsidRPr="000C3A57">
        <w:t>.</w:t>
      </w:r>
      <w:r w:rsidR="00284C15" w:rsidRPr="000C3A57">
        <w:t xml:space="preserve"> 39) att det finns många goda erfarenheter av riksdagens arbete med EU-frågorna</w:t>
      </w:r>
      <w:r w:rsidR="00CC7756" w:rsidRPr="000C3A57">
        <w:t>,</w:t>
      </w:r>
      <w:r w:rsidR="00284C15" w:rsidRPr="000C3A57">
        <w:t xml:space="preserve"> men de ansträngningar som gjorts under åren och den utveckling i bl.a. konstit</w:t>
      </w:r>
      <w:r w:rsidR="00284C15" w:rsidRPr="000C3A57">
        <w:t>u</w:t>
      </w:r>
      <w:r w:rsidR="00284C15" w:rsidRPr="000C3A57">
        <w:t xml:space="preserve">tionell praxis som har skett sedan </w:t>
      </w:r>
      <w:r w:rsidR="00A95378" w:rsidRPr="000C3A57">
        <w:t xml:space="preserve">år </w:t>
      </w:r>
      <w:r w:rsidR="00284C15" w:rsidRPr="000C3A57">
        <w:t>1995 tas inte upp annat än i en beskrivande ba</w:t>
      </w:r>
      <w:r w:rsidR="00284C15" w:rsidRPr="000C3A57">
        <w:t>k</w:t>
      </w:r>
      <w:r w:rsidR="00284C15" w:rsidRPr="000C3A57">
        <w:t>grund.</w:t>
      </w:r>
    </w:p>
    <w:p w:rsidR="00284C15" w:rsidRPr="000C3A57" w:rsidRDefault="00284C15" w:rsidP="00267AE0">
      <w:pPr>
        <w:pStyle w:val="Rubrik4"/>
        <w:rPr>
          <w:noProof w:val="0"/>
        </w:rPr>
      </w:pPr>
      <w:r w:rsidRPr="000C3A57">
        <w:rPr>
          <w:noProof w:val="0"/>
        </w:rPr>
        <w:t>Stärkt roll för utskotten (avsnitt 3.3.2)</w:t>
      </w:r>
      <w:r w:rsidR="00D80249" w:rsidRPr="000C3A57">
        <w:rPr>
          <w:noProof w:val="0"/>
        </w:rPr>
        <w:t xml:space="preserve">, </w:t>
      </w:r>
      <w:r w:rsidRPr="000C3A57">
        <w:rPr>
          <w:noProof w:val="0"/>
        </w:rPr>
        <w:t>EU-nämnden (avsnitt 3.3.3)</w:t>
      </w:r>
    </w:p>
    <w:p w:rsidR="00284C15" w:rsidRPr="000C3A57" w:rsidRDefault="00284C15" w:rsidP="000C5C70">
      <w:r w:rsidRPr="000C3A57">
        <w:t>EU-nämnden delar kommitténs uppfattning att det nu – trots att ingenting i dagens regelverk lägger hinder i vägen – finns skäl att ytterligare stärka u</w:t>
      </w:r>
      <w:r w:rsidRPr="000C3A57">
        <w:t>t</w:t>
      </w:r>
      <w:r w:rsidRPr="000C3A57">
        <w:rPr>
          <w:spacing w:val="-2"/>
          <w:szCs w:val="19"/>
        </w:rPr>
        <w:t>skottens arbete med EU-frågor. EU-nämnden uttalade tidigt (</w:t>
      </w:r>
      <w:r w:rsidR="00926BE0" w:rsidRPr="000C3A57">
        <w:rPr>
          <w:spacing w:val="-2"/>
          <w:szCs w:val="19"/>
        </w:rPr>
        <w:t>bet.</w:t>
      </w:r>
      <w:r w:rsidRPr="000C3A57">
        <w:rPr>
          <w:spacing w:val="-2"/>
          <w:szCs w:val="19"/>
        </w:rPr>
        <w:t>1996/97</w:t>
      </w:r>
      <w:r w:rsidR="00926BE0" w:rsidRPr="000C3A57">
        <w:rPr>
          <w:spacing w:val="-2"/>
          <w:szCs w:val="19"/>
        </w:rPr>
        <w:t>:KU2</w:t>
      </w:r>
      <w:r w:rsidRPr="000C3A57">
        <w:rPr>
          <w:spacing w:val="-2"/>
          <w:szCs w:val="19"/>
        </w:rPr>
        <w:t xml:space="preserve"> bilaga 3</w:t>
      </w:r>
      <w:r w:rsidR="00CC7756" w:rsidRPr="000C3A57">
        <w:rPr>
          <w:spacing w:val="-2"/>
          <w:szCs w:val="19"/>
        </w:rPr>
        <w:t xml:space="preserve"> s</w:t>
      </w:r>
      <w:r w:rsidR="00D80249" w:rsidRPr="000C3A57">
        <w:rPr>
          <w:spacing w:val="-2"/>
          <w:szCs w:val="19"/>
        </w:rPr>
        <w:t>.</w:t>
      </w:r>
      <w:r w:rsidR="00985D67" w:rsidRPr="000C3A57">
        <w:rPr>
          <w:spacing w:val="-2"/>
          <w:szCs w:val="19"/>
        </w:rPr>
        <w:t xml:space="preserve"> </w:t>
      </w:r>
      <w:smartTag w:uri="urn:schemas-microsoft-com:office:smarttags" w:element="metricconverter">
        <w:smartTagPr>
          <w:attr w:name="ProductID" w:val="59 f"/>
        </w:smartTagPr>
        <w:r w:rsidRPr="000C3A57">
          <w:rPr>
            <w:spacing w:val="-2"/>
            <w:szCs w:val="19"/>
          </w:rPr>
          <w:t>59</w:t>
        </w:r>
        <w:r w:rsidR="00985D67" w:rsidRPr="000C3A57">
          <w:rPr>
            <w:spacing w:val="-2"/>
            <w:szCs w:val="19"/>
          </w:rPr>
          <w:t xml:space="preserve"> </w:t>
        </w:r>
        <w:r w:rsidRPr="000C3A57">
          <w:rPr>
            <w:spacing w:val="-2"/>
            <w:szCs w:val="19"/>
          </w:rPr>
          <w:t>f</w:t>
        </w:r>
      </w:smartTag>
      <w:r w:rsidR="00CC7756" w:rsidRPr="000C3A57">
        <w:rPr>
          <w:spacing w:val="-2"/>
          <w:szCs w:val="19"/>
        </w:rPr>
        <w:t>.</w:t>
      </w:r>
      <w:r w:rsidRPr="000C3A57">
        <w:t>) att det för att riksdagen skall kunna u</w:t>
      </w:r>
      <w:r w:rsidRPr="000C3A57">
        <w:t>t</w:t>
      </w:r>
      <w:r w:rsidRPr="000C3A57">
        <w:t xml:space="preserve">öva ett inflytande på EU-frågorna </w:t>
      </w:r>
      <w:r w:rsidRPr="000C3A57">
        <w:rPr>
          <w:i/>
        </w:rPr>
        <w:t>inte är tillräckligt</w:t>
      </w:r>
      <w:r w:rsidRPr="000C3A57">
        <w:t xml:space="preserve"> med ett samrådsförf</w:t>
      </w:r>
      <w:r w:rsidRPr="000C3A57">
        <w:t>a</w:t>
      </w:r>
      <w:r w:rsidRPr="000C3A57">
        <w:t>rande i EU-nämnden. Nämnden uttalade i detta hänseende bl.a. följande:</w:t>
      </w:r>
    </w:p>
    <w:p w:rsidR="00D80249" w:rsidRPr="000C3A57" w:rsidRDefault="00284C15" w:rsidP="0054517A">
      <w:pPr>
        <w:pStyle w:val="Citat"/>
      </w:pPr>
      <w:r w:rsidRPr="000C3A57">
        <w:t>Nämnden ser det som angeläget att också utskotten tar aktiv del. I utsko</w:t>
      </w:r>
      <w:r w:rsidRPr="000C3A57">
        <w:t>t</w:t>
      </w:r>
      <w:r w:rsidRPr="000C3A57">
        <w:t>ten finns den sakkunskap som behövs för en fördjupad bedömning av olika EU-frågor. När dessa frågor blir aktuella för samråd med regerin</w:t>
      </w:r>
      <w:r w:rsidRPr="000C3A57">
        <w:t>g</w:t>
      </w:r>
      <w:r w:rsidRPr="000C3A57">
        <w:t>en inför rådets ställningstaganden är det en stor fördel om de tidigare v</w:t>
      </w:r>
      <w:r w:rsidRPr="000C3A57">
        <w:t>a</w:t>
      </w:r>
      <w:r w:rsidRPr="000C3A57">
        <w:t>rit föremål för utskottens bedömningar. Utskottens medve</w:t>
      </w:r>
      <w:r w:rsidRPr="000C3A57">
        <w:t>r</w:t>
      </w:r>
      <w:r w:rsidRPr="000C3A57">
        <w:t>kan är särskilt viktig med hänsyn till att möjligheterna till inflytande är större under ett tidigt stadium av b</w:t>
      </w:r>
      <w:r w:rsidRPr="000C3A57">
        <w:t>e</w:t>
      </w:r>
      <w:r w:rsidRPr="000C3A57">
        <w:t>slutsprocessen inom EU än i omedelbar anslutning till de slutliga förhandlingarna på själva ministerrådsmötena. Ett ytterl</w:t>
      </w:r>
      <w:r w:rsidRPr="000C3A57">
        <w:t>i</w:t>
      </w:r>
      <w:r w:rsidRPr="000C3A57">
        <w:t>gare skäl för utskottens engagemang har samband med behovet av sty</w:t>
      </w:r>
      <w:r w:rsidRPr="000C3A57">
        <w:t>r</w:t>
      </w:r>
      <w:r w:rsidRPr="000C3A57">
        <w:t>ning under förberedelserna för rådsbeslut</w:t>
      </w:r>
      <w:r w:rsidR="00D80249" w:rsidRPr="000C3A57">
        <w:t>. Innan</w:t>
      </w:r>
      <w:r w:rsidRPr="000C3A57">
        <w:t xml:space="preserve"> de slutliga ställningst</w:t>
      </w:r>
      <w:r w:rsidRPr="000C3A57">
        <w:t>a</w:t>
      </w:r>
      <w:r w:rsidRPr="000C3A57">
        <w:t>gandena sker i ministerrådet behandlas frågorna i rådets arbet</w:t>
      </w:r>
      <w:r w:rsidRPr="000C3A57">
        <w:t>s</w:t>
      </w:r>
      <w:r w:rsidRPr="000C3A57">
        <w:t>grupper, i vissa kommittéer och i Coreper, allt under medverkan av tjänstemann</w:t>
      </w:r>
      <w:r w:rsidRPr="000C3A57">
        <w:t>a</w:t>
      </w:r>
      <w:r w:rsidRPr="000C3A57">
        <w:t>representanter från medlemsländerna. I praktiken avgörs en stor mängd frågor under detta beredningsarbete och endast frågor som inte kunnat l</w:t>
      </w:r>
      <w:r w:rsidRPr="000C3A57">
        <w:t>ö</w:t>
      </w:r>
      <w:r w:rsidRPr="000C3A57">
        <w:t>sas på tjänstemannaplanet blir föremål för reella diskussioner och öve</w:t>
      </w:r>
      <w:r w:rsidRPr="000C3A57">
        <w:t>r</w:t>
      </w:r>
      <w:r w:rsidRPr="000C3A57">
        <w:t>väganden i rådet. För regeringen är det självfallet en angelägen uppgift att övervaka och styra det beredningsarbete som föregår rådsbesluten. Också riksdagen bör emellertid utöva ett infl</w:t>
      </w:r>
      <w:r w:rsidRPr="000C3A57">
        <w:t>y</w:t>
      </w:r>
      <w:r w:rsidRPr="000C3A57">
        <w:t>tande härvidlag. Denna uppgift måste vila på utskotten. Samrådet mellan regeringen och EU-nämnden äger rum omedelbart före rådsmötena, och det ligger i sakens natur att samr</w:t>
      </w:r>
      <w:r w:rsidRPr="000C3A57">
        <w:t>å</w:t>
      </w:r>
      <w:r w:rsidRPr="000C3A57">
        <w:t>det främst tar sikte på de frågor som skall realbehandlas på mötena. De uppgörelser som träffats dessförinnan torde nämnden inte annat än undantagsvis ha</w:t>
      </w:r>
      <w:r w:rsidR="00926BE0" w:rsidRPr="000C3A57">
        <w:t xml:space="preserve"> några möjligheter att påverka.</w:t>
      </w:r>
    </w:p>
    <w:p w:rsidR="00284C15" w:rsidRPr="000C3A57" w:rsidRDefault="00CF3BA9" w:rsidP="00D80249">
      <w:r w:rsidRPr="000C3A57">
        <w:t>N</w:t>
      </w:r>
      <w:r w:rsidR="00284C15" w:rsidRPr="000C3A57">
        <w:t>är det gäller samspelet mellan utskotten och EU-nämnden har detta i vi</w:t>
      </w:r>
      <w:r w:rsidR="00284C15" w:rsidRPr="000C3A57">
        <w:t>s</w:t>
      </w:r>
      <w:r w:rsidR="00284C15" w:rsidRPr="000C3A57">
        <w:t>sa frågor medfört att utskotten avgett yttranden till EU-nämnden. Mö</w:t>
      </w:r>
      <w:r w:rsidR="00284C15" w:rsidRPr="000C3A57">
        <w:t>j</w:t>
      </w:r>
      <w:r w:rsidR="00284C15" w:rsidRPr="000C3A57">
        <w:t>ligheten till detta förutsattes redan vid tiden för inrättandet av samrådsfö</w:t>
      </w:r>
      <w:r w:rsidR="00284C15" w:rsidRPr="000C3A57">
        <w:t>r</w:t>
      </w:r>
      <w:r w:rsidR="00284C15" w:rsidRPr="000C3A57">
        <w:t>farandet (</w:t>
      </w:r>
      <w:r w:rsidR="00926BE0" w:rsidRPr="000C3A57">
        <w:t>bet.</w:t>
      </w:r>
      <w:r w:rsidR="00284C15" w:rsidRPr="000C3A57">
        <w:t>1994/95:KU22). Detta har varit till fördel för EU-nämnden i det fortsatta samrådsförfarandet där utskottens synpunkter tagits till vara.</w:t>
      </w:r>
      <w:r w:rsidR="00CB2CE0" w:rsidRPr="000C3A57">
        <w:t xml:space="preserve"> Även i övrigt har utskottens alltmer ökade engagemang i EU-frågorna varit värdefullt inför det formella samrådsförfarandet i EU-nämnden.</w:t>
      </w:r>
    </w:p>
    <w:p w:rsidR="00284C15" w:rsidRPr="000C3A57" w:rsidRDefault="00284C15" w:rsidP="00CF3BA9">
      <w:pPr>
        <w:pStyle w:val="Normaltindrag"/>
        <w:rPr>
          <w:sz w:val="20"/>
        </w:rPr>
      </w:pPr>
      <w:r w:rsidRPr="000C3A57">
        <w:t xml:space="preserve">Beträffande </w:t>
      </w:r>
      <w:r w:rsidRPr="000C3A57">
        <w:rPr>
          <w:i/>
        </w:rPr>
        <w:t>utskottens planering och internationella kontakter samt rel</w:t>
      </w:r>
      <w:r w:rsidRPr="000C3A57">
        <w:rPr>
          <w:i/>
        </w:rPr>
        <w:t>a</w:t>
      </w:r>
      <w:r w:rsidRPr="000C3A57">
        <w:rPr>
          <w:i/>
        </w:rPr>
        <w:t>tioner till regeringen</w:t>
      </w:r>
      <w:r w:rsidRPr="000C3A57">
        <w:t xml:space="preserve"> kan EU-nämnden i huvudsak instämma med kommi</w:t>
      </w:r>
      <w:r w:rsidRPr="000C3A57">
        <w:t>t</w:t>
      </w:r>
      <w:r w:rsidRPr="000C3A57">
        <w:t>téns överväganden och förslag. Att regeringen skall vara skyldig att öve</w:t>
      </w:r>
      <w:r w:rsidRPr="000C3A57">
        <w:t>r</w:t>
      </w:r>
      <w:r w:rsidRPr="000C3A57">
        <w:t>lägga med utskotten i de frågor rörande arbetet i EU som utskottet bestämmer vä</w:t>
      </w:r>
      <w:r w:rsidRPr="000C3A57">
        <w:t>l</w:t>
      </w:r>
      <w:r w:rsidRPr="000C3A57">
        <w:t>komnas av EU-nämnden. Däremot råder oklarhet om den konstit</w:t>
      </w:r>
      <w:r w:rsidRPr="000C3A57">
        <w:t>u</w:t>
      </w:r>
      <w:r w:rsidRPr="000C3A57">
        <w:t>tionella betydelsen av detta</w:t>
      </w:r>
      <w:r w:rsidRPr="000C3A57">
        <w:rPr>
          <w:sz w:val="20"/>
        </w:rPr>
        <w:t xml:space="preserve"> </w:t>
      </w:r>
      <w:r w:rsidRPr="000C3A57">
        <w:t>s.k. saksamråd som sägs skilja sig från det förhan</w:t>
      </w:r>
      <w:r w:rsidRPr="000C3A57">
        <w:t>d</w:t>
      </w:r>
      <w:r w:rsidRPr="000C3A57">
        <w:t>lings/beslutssamråd som skall ske i EU-nämnden.</w:t>
      </w:r>
      <w:r w:rsidRPr="000C3A57">
        <w:rPr>
          <w:sz w:val="20"/>
        </w:rPr>
        <w:t xml:space="preserve"> </w:t>
      </w:r>
    </w:p>
    <w:p w:rsidR="00284C15" w:rsidRPr="000C3A57" w:rsidRDefault="00284C15" w:rsidP="00CF3BA9">
      <w:pPr>
        <w:pStyle w:val="Normaltindrag"/>
      </w:pPr>
      <w:r w:rsidRPr="000C3A57">
        <w:t>Enligt EU-nämnden är det mycket viktigt att regeringen, som enligt vad som fram</w:t>
      </w:r>
      <w:r w:rsidR="00BE4B82" w:rsidRPr="000C3A57">
        <w:t>h</w:t>
      </w:r>
      <w:r w:rsidRPr="000C3A57">
        <w:t>ållits i det föregående är huvudansvarig för de förhandlingar som förs inom ramen för arbetet i EU:s ministerråd och kommittéer och arbet</w:t>
      </w:r>
      <w:r w:rsidRPr="000C3A57">
        <w:t>s</w:t>
      </w:r>
      <w:r w:rsidRPr="000C3A57">
        <w:t>grupper under rådet, under beredningen av frågorna i riksdagen får entydiga och klara besked om vad som bör vara Sveriges förhandlingsli</w:t>
      </w:r>
      <w:r w:rsidRPr="000C3A57">
        <w:t>n</w:t>
      </w:r>
      <w:r w:rsidRPr="000C3A57">
        <w:t>je. Detta kräver ytterligare noggranna överväganden om innebörden och verkan av det s.k. saksamrådet. Detta s.k. saksamråd kommer för övrigt inte till u</w:t>
      </w:r>
      <w:r w:rsidRPr="000C3A57">
        <w:t>t</w:t>
      </w:r>
      <w:r w:rsidRPr="000C3A57">
        <w:t xml:space="preserve">tryck i den föreslagna lagtexten där det endast talas om att regeringen skall </w:t>
      </w:r>
      <w:r w:rsidRPr="000C3A57">
        <w:rPr>
          <w:i/>
        </w:rPr>
        <w:t>överlä</w:t>
      </w:r>
      <w:r w:rsidRPr="000C3A57">
        <w:rPr>
          <w:i/>
        </w:rPr>
        <w:t>g</w:t>
      </w:r>
      <w:r w:rsidRPr="000C3A57">
        <w:rPr>
          <w:i/>
        </w:rPr>
        <w:t>ga</w:t>
      </w:r>
      <w:r w:rsidRPr="000C3A57">
        <w:t xml:space="preserve"> med utsko</w:t>
      </w:r>
      <w:r w:rsidRPr="000C3A57">
        <w:t>t</w:t>
      </w:r>
      <w:r w:rsidRPr="000C3A57">
        <w:t xml:space="preserve">ten. </w:t>
      </w:r>
    </w:p>
    <w:p w:rsidR="00284C15" w:rsidRPr="000C3A57" w:rsidRDefault="00284C15" w:rsidP="00CF3BA9">
      <w:pPr>
        <w:pStyle w:val="Normaltindrag"/>
      </w:pPr>
      <w:r w:rsidRPr="000C3A57">
        <w:t xml:space="preserve">Beträffande </w:t>
      </w:r>
      <w:r w:rsidRPr="000C3A57">
        <w:rPr>
          <w:i/>
        </w:rPr>
        <w:t>tidpunkten för överläggningarna</w:t>
      </w:r>
      <w:r w:rsidRPr="000C3A57">
        <w:t xml:space="preserve"> med utskotten framhåller kommittén att dessa inte behöver ske just inför rådsmötena utan sn</w:t>
      </w:r>
      <w:r w:rsidRPr="000C3A57">
        <w:t>a</w:t>
      </w:r>
      <w:r w:rsidRPr="000C3A57">
        <w:t xml:space="preserve">rare </w:t>
      </w:r>
      <w:r w:rsidRPr="000C3A57">
        <w:rPr>
          <w:i/>
        </w:rPr>
        <w:t>innan</w:t>
      </w:r>
      <w:r w:rsidRPr="000C3A57">
        <w:t xml:space="preserve"> frågorna kommer upp på ministerrådets dagordning. EU-nämnden vill eme</w:t>
      </w:r>
      <w:r w:rsidRPr="000C3A57">
        <w:t>l</w:t>
      </w:r>
      <w:r w:rsidRPr="000C3A57">
        <w:t>lertid framhålla att åtskilliga frågor som befinner sig i ett tidigt skede av b</w:t>
      </w:r>
      <w:r w:rsidRPr="000C3A57">
        <w:t>e</w:t>
      </w:r>
      <w:r w:rsidRPr="000C3A57">
        <w:t>slutsprocessen kommer upp på ministerrådets dagordning i form av present</w:t>
      </w:r>
      <w:r w:rsidRPr="000C3A57">
        <w:t>a</w:t>
      </w:r>
      <w:r w:rsidRPr="000C3A57">
        <w:t>tioner, informationer eller lägesrapporter etc. Det finns alltså skäl för utsko</w:t>
      </w:r>
      <w:r w:rsidRPr="000C3A57">
        <w:t>t</w:t>
      </w:r>
      <w:r w:rsidRPr="000C3A57">
        <w:t>ten att beakta dessa dagordningar.</w:t>
      </w:r>
    </w:p>
    <w:p w:rsidR="00284C15" w:rsidRPr="000C3A57" w:rsidRDefault="00284C15" w:rsidP="00CF3BA9">
      <w:pPr>
        <w:pStyle w:val="Normaltindrag"/>
      </w:pPr>
      <w:r w:rsidRPr="000C3A57">
        <w:t>Vidare måste det också – även om utskottens främsta uppgift är att b</w:t>
      </w:r>
      <w:r w:rsidRPr="000C3A57">
        <w:t>e</w:t>
      </w:r>
      <w:r w:rsidRPr="000C3A57">
        <w:t>handla EU-frågorna i början av beslutsprocessen – finnas utrymme för utsko</w:t>
      </w:r>
      <w:r w:rsidRPr="000C3A57">
        <w:t>t</w:t>
      </w:r>
      <w:r w:rsidRPr="000C3A57">
        <w:t xml:space="preserve">ten att anlägga synpunkter </w:t>
      </w:r>
      <w:r w:rsidRPr="000C3A57">
        <w:rPr>
          <w:i/>
        </w:rPr>
        <w:t>under slutfasen</w:t>
      </w:r>
      <w:r w:rsidRPr="000C3A57">
        <w:t>. Erfarenheten har visat att det i vissa frågor kan vara motiverat att sakkunskapen i utskotten kommer till uttryck då frågor tas upp på ministerrådets dagordning</w:t>
      </w:r>
      <w:r w:rsidR="00567D72" w:rsidRPr="000C3A57">
        <w:t xml:space="preserve"> </w:t>
      </w:r>
      <w:r w:rsidR="00985D67" w:rsidRPr="000C3A57">
        <w:t>vare sig</w:t>
      </w:r>
      <w:r w:rsidR="00567D72" w:rsidRPr="000C3A57">
        <w:t xml:space="preserve"> de </w:t>
      </w:r>
      <w:r w:rsidR="00985D67" w:rsidRPr="000C3A57">
        <w:t xml:space="preserve">då </w:t>
      </w:r>
      <w:r w:rsidR="00567D72" w:rsidRPr="000C3A57">
        <w:t>befi</w:t>
      </w:r>
      <w:r w:rsidR="00567D72" w:rsidRPr="000C3A57">
        <w:t>n</w:t>
      </w:r>
      <w:r w:rsidR="00567D72" w:rsidRPr="000C3A57">
        <w:t xml:space="preserve">ner sig i beslutsstadiet eller på ett tidigare stadium. </w:t>
      </w:r>
      <w:r w:rsidR="000B76C7" w:rsidRPr="000C3A57">
        <w:t>I detta sammanhang bör fra</w:t>
      </w:r>
      <w:r w:rsidR="000B76C7" w:rsidRPr="000C3A57">
        <w:t>m</w:t>
      </w:r>
      <w:r w:rsidR="000B76C7" w:rsidRPr="000C3A57">
        <w:t>hållas att i de fall utskotten skall ansvara för b</w:t>
      </w:r>
      <w:r w:rsidR="000B76C7" w:rsidRPr="000C3A57">
        <w:t>e</w:t>
      </w:r>
      <w:r w:rsidR="000B76C7" w:rsidRPr="000C3A57">
        <w:t>handling av frågor som står på ministerrådets dagor</w:t>
      </w:r>
      <w:r w:rsidR="000B76C7" w:rsidRPr="000C3A57">
        <w:t>d</w:t>
      </w:r>
      <w:r w:rsidR="000B76C7" w:rsidRPr="000C3A57">
        <w:t xml:space="preserve">ning, dvs. icke-beslutsfrågor, bör detta ske när frågorna har behandlats av Coreper. </w:t>
      </w:r>
      <w:r w:rsidR="00E20D56" w:rsidRPr="000C3A57">
        <w:t>Detta innebär</w:t>
      </w:r>
      <w:r w:rsidR="00C57F01" w:rsidRPr="000C3A57">
        <w:t xml:space="preserve"> </w:t>
      </w:r>
      <w:r w:rsidR="00E20D56" w:rsidRPr="000C3A57">
        <w:t>att utskotten i många fall skul</w:t>
      </w:r>
      <w:r w:rsidR="00C57F01" w:rsidRPr="000C3A57">
        <w:t>le</w:t>
      </w:r>
      <w:r w:rsidR="00E20D56" w:rsidRPr="000C3A57">
        <w:t xml:space="preserve"> behöva sam</w:t>
      </w:r>
      <w:r w:rsidR="00C57F01" w:rsidRPr="000C3A57">
        <w:t>man</w:t>
      </w:r>
      <w:r w:rsidR="00E20D56" w:rsidRPr="000C3A57">
        <w:t>träda</w:t>
      </w:r>
      <w:r w:rsidR="00C57F01" w:rsidRPr="000C3A57">
        <w:t xml:space="preserve"> </w:t>
      </w:r>
      <w:r w:rsidR="00E20D56" w:rsidRPr="000C3A57">
        <w:t>på</w:t>
      </w:r>
      <w:r w:rsidR="00C57F01" w:rsidRPr="000C3A57">
        <w:t xml:space="preserve"> </w:t>
      </w:r>
      <w:r w:rsidR="00E20D56" w:rsidRPr="000C3A57">
        <w:t>fred</w:t>
      </w:r>
      <w:r w:rsidR="00C57F01" w:rsidRPr="000C3A57">
        <w:t>a</w:t>
      </w:r>
      <w:r w:rsidR="00C57F01" w:rsidRPr="000C3A57">
        <w:t>gar</w:t>
      </w:r>
      <w:r w:rsidR="008256D1" w:rsidRPr="000C3A57">
        <w:t xml:space="preserve"> och under kammarens sommaruppehåll,</w:t>
      </w:r>
      <w:r w:rsidR="00C57F01" w:rsidRPr="000C3A57">
        <w:t xml:space="preserve"> vilket får följder för riksdagens planering i ö</w:t>
      </w:r>
      <w:r w:rsidR="00C57F01" w:rsidRPr="000C3A57">
        <w:t>v</w:t>
      </w:r>
      <w:r w:rsidR="00C57F01" w:rsidRPr="000C3A57">
        <w:t>rigt.</w:t>
      </w:r>
      <w:r w:rsidR="00567D72" w:rsidRPr="000C3A57">
        <w:t xml:space="preserve">  </w:t>
      </w:r>
      <w:r w:rsidRPr="000C3A57">
        <w:t xml:space="preserve"> </w:t>
      </w:r>
    </w:p>
    <w:p w:rsidR="00284C15" w:rsidRPr="000C3A57" w:rsidRDefault="00284C15" w:rsidP="00CF3BA9">
      <w:pPr>
        <w:pStyle w:val="Normaltindrag"/>
      </w:pPr>
      <w:r w:rsidRPr="000C3A57">
        <w:t>Att både utskotten och EU-nämnden är aktiva på samrådsstadiet beh</w:t>
      </w:r>
      <w:r w:rsidRPr="000C3A57">
        <w:t>ö</w:t>
      </w:r>
      <w:r w:rsidRPr="000C3A57">
        <w:t>ver inte innebära en onödig dubblering och kan medverka till att okla</w:t>
      </w:r>
      <w:r w:rsidRPr="000C3A57">
        <w:t>r</w:t>
      </w:r>
      <w:r w:rsidRPr="000C3A57">
        <w:t>heter klaras ut inför ministerrådets frågor.</w:t>
      </w:r>
      <w:r w:rsidRPr="000C3A57">
        <w:rPr>
          <w:b/>
        </w:rPr>
        <w:t xml:space="preserve"> </w:t>
      </w:r>
      <w:r w:rsidRPr="000C3A57">
        <w:t>Detta gäller inte minst när det under EU:s b</w:t>
      </w:r>
      <w:r w:rsidRPr="000C3A57">
        <w:t>e</w:t>
      </w:r>
      <w:r w:rsidRPr="000C3A57">
        <w:t>slutsprocess – som ofta sker – i slutskedet läggs fram förslag till än</w:t>
      </w:r>
      <w:r w:rsidRPr="000C3A57">
        <w:t>d</w:t>
      </w:r>
      <w:r w:rsidRPr="000C3A57">
        <w:t>rade lösningar. När sådana fall inträffat i nämnden har nämnden uppmanat det ansvariga statsrådet att också höra berört utskott. Näm</w:t>
      </w:r>
      <w:r w:rsidRPr="000C3A57">
        <w:t>n</w:t>
      </w:r>
      <w:r w:rsidRPr="000C3A57">
        <w:t>den har sett det som angeläget att regeringen vid samrådet inför ministerrådsmötena har ko</w:t>
      </w:r>
      <w:r w:rsidRPr="000C3A57">
        <w:t>n</w:t>
      </w:r>
      <w:r w:rsidRPr="000C3A57">
        <w:t>takter också med utskotten när frågorna är av den arten att de mera utskottsspecifika synpun</w:t>
      </w:r>
      <w:r w:rsidRPr="000C3A57">
        <w:t>k</w:t>
      </w:r>
      <w:r w:rsidRPr="000C3A57">
        <w:t>terna bör tas till vara.</w:t>
      </w:r>
    </w:p>
    <w:p w:rsidR="006A5BD4" w:rsidRPr="000C3A57" w:rsidRDefault="00E0078A" w:rsidP="00CF3BA9">
      <w:pPr>
        <w:pStyle w:val="Normaltindrag"/>
      </w:pPr>
      <w:r w:rsidRPr="000C3A57">
        <w:t>En särskild fråga är hur uppföljningen av regeringens förhandlingar i m</w:t>
      </w:r>
      <w:r w:rsidRPr="000C3A57">
        <w:t>i</w:t>
      </w:r>
      <w:r w:rsidRPr="000C3A57">
        <w:t>nisterrådet skall ske i de fall då utskotten enligt förslaget skall ansvara för behandlingen av frågor på min</w:t>
      </w:r>
      <w:r w:rsidR="00C57F01" w:rsidRPr="000C3A57">
        <w:t>i</w:t>
      </w:r>
      <w:r w:rsidRPr="000C3A57">
        <w:t>sterrådets dagordning. För närvarande återra</w:t>
      </w:r>
      <w:r w:rsidRPr="000C3A57">
        <w:t>p</w:t>
      </w:r>
      <w:r w:rsidRPr="000C3A57">
        <w:t>porterar ansvarig minister från för</w:t>
      </w:r>
      <w:r w:rsidRPr="000C3A57">
        <w:t>e</w:t>
      </w:r>
      <w:r w:rsidRPr="000C3A57">
        <w:t>gående ministerrådsmöte i samband med samrådet i EU-nämnden inför kommande ministerrådsmöte. Ledam</w:t>
      </w:r>
      <w:r w:rsidRPr="000C3A57">
        <w:t>ö</w:t>
      </w:r>
      <w:r w:rsidRPr="000C3A57">
        <w:t>terna har då möjlighet att ställa frågor i anledning av återra</w:t>
      </w:r>
      <w:r w:rsidRPr="000C3A57">
        <w:t>p</w:t>
      </w:r>
      <w:r w:rsidRPr="000C3A57">
        <w:t>porten och följa upp det tidigare samrådet, bl.a. mot bakgrund av stenografiska up</w:t>
      </w:r>
      <w:r w:rsidRPr="000C3A57">
        <w:t>p</w:t>
      </w:r>
      <w:r w:rsidRPr="000C3A57">
        <w:t>teckningar från de tidigare samråden.</w:t>
      </w:r>
      <w:r w:rsidR="0059656E" w:rsidRPr="000C3A57">
        <w:t xml:space="preserve"> Utskottens över</w:t>
      </w:r>
      <w:r w:rsidR="00292890" w:rsidRPr="000C3A57">
        <w:t>läggningar med regeringen, dvs.</w:t>
      </w:r>
      <w:r w:rsidR="0059656E" w:rsidRPr="000C3A57">
        <w:t xml:space="preserve"> </w:t>
      </w:r>
      <w:r w:rsidR="002B6F63" w:rsidRPr="000C3A57">
        <w:t xml:space="preserve"> saksa</w:t>
      </w:r>
      <w:r w:rsidR="002B6F63" w:rsidRPr="000C3A57">
        <w:t>m</w:t>
      </w:r>
      <w:r w:rsidR="002B6F63" w:rsidRPr="000C3A57">
        <w:t>rådet</w:t>
      </w:r>
      <w:r w:rsidR="00292890" w:rsidRPr="000C3A57">
        <w:t>,</w:t>
      </w:r>
      <w:r w:rsidR="0059656E" w:rsidRPr="000C3A57">
        <w:t xml:space="preserve"> är dock inte tänkt att dokumenteras med stenogr</w:t>
      </w:r>
      <w:r w:rsidR="0059656E" w:rsidRPr="000C3A57">
        <w:t>a</w:t>
      </w:r>
      <w:r w:rsidR="0059656E" w:rsidRPr="000C3A57">
        <w:t>fiska uppteckningar utan enbart i form av redovisning i utskottets samma</w:t>
      </w:r>
      <w:r w:rsidR="0059656E" w:rsidRPr="000C3A57">
        <w:t>n</w:t>
      </w:r>
      <w:r w:rsidR="0059656E" w:rsidRPr="000C3A57">
        <w:t xml:space="preserve">trädesprotokoll. </w:t>
      </w:r>
    </w:p>
    <w:p w:rsidR="00E0078A" w:rsidRPr="000C3A57" w:rsidRDefault="006A5BD4" w:rsidP="00CF3BA9">
      <w:pPr>
        <w:pStyle w:val="Normaltindrag"/>
      </w:pPr>
      <w:r w:rsidRPr="000C3A57">
        <w:t>Om kommitténs förslag i denna del skall kunna fungera utan att den ö</w:t>
      </w:r>
      <w:r w:rsidRPr="000C3A57">
        <w:t>p</w:t>
      </w:r>
      <w:r w:rsidRPr="000C3A57">
        <w:t>penhet som hittills funnits när det gäller samråd</w:t>
      </w:r>
      <w:r w:rsidRPr="000C3A57">
        <w:t>s</w:t>
      </w:r>
      <w:r w:rsidRPr="000C3A57">
        <w:t>förfarandet i EU-nämnden förl</w:t>
      </w:r>
      <w:r w:rsidRPr="000C3A57">
        <w:t>o</w:t>
      </w:r>
      <w:r w:rsidRPr="000C3A57">
        <w:t>ras, krävs att utskottens överläggningar dokumenteras utförligt, helst i form av stenografiska uppteckningar. Eftersom detta inte är praktiskt mö</w:t>
      </w:r>
      <w:r w:rsidRPr="000C3A57">
        <w:t>j</w:t>
      </w:r>
      <w:r w:rsidRPr="000C3A57">
        <w:t>ligt för utskotten talar förslaget om redovisning i utskottsprotokoll emot att sa</w:t>
      </w:r>
      <w:r w:rsidRPr="000C3A57">
        <w:t>m</w:t>
      </w:r>
      <w:r w:rsidRPr="000C3A57">
        <w:t>rådsförfarandet inför ministerrådsmöten delas upp mellan utskotten och EU-nämnden.</w:t>
      </w:r>
      <w:r w:rsidR="0059656E" w:rsidRPr="000C3A57">
        <w:t xml:space="preserve"> </w:t>
      </w:r>
    </w:p>
    <w:p w:rsidR="00284C15" w:rsidRPr="000C3A57" w:rsidRDefault="00284C15" w:rsidP="00CF3BA9">
      <w:pPr>
        <w:pStyle w:val="Normaltindrag"/>
      </w:pPr>
      <w:r w:rsidRPr="000C3A57">
        <w:t xml:space="preserve">Beträffande kommitténs bedömning av </w:t>
      </w:r>
      <w:r w:rsidRPr="000C3A57">
        <w:rPr>
          <w:i/>
        </w:rPr>
        <w:t>konsekvenserna för EU-nämnden</w:t>
      </w:r>
      <w:r w:rsidRPr="000C3A57">
        <w:t xml:space="preserve"> av kommitténs förslag om en stärkt roll för utskotten har EU-nämnden i</w:t>
      </w:r>
      <w:r w:rsidRPr="000C3A57">
        <w:t>n</w:t>
      </w:r>
      <w:r w:rsidRPr="000C3A57">
        <w:t xml:space="preserve">vändningar. Förslaget får </w:t>
      </w:r>
      <w:r w:rsidR="00A95378" w:rsidRPr="000C3A57">
        <w:t xml:space="preserve">enligt EU-nämndens mening </w:t>
      </w:r>
      <w:r w:rsidRPr="000C3A57">
        <w:t>allvarliga konsekve</w:t>
      </w:r>
      <w:r w:rsidRPr="000C3A57">
        <w:t>n</w:t>
      </w:r>
      <w:r w:rsidRPr="000C3A57">
        <w:t>ser för riksdagens infl</w:t>
      </w:r>
      <w:r w:rsidRPr="000C3A57">
        <w:t>y</w:t>
      </w:r>
      <w:r w:rsidRPr="000C3A57">
        <w:t xml:space="preserve">tande enligt vad som skall framgå i det följande. </w:t>
      </w:r>
    </w:p>
    <w:p w:rsidR="00284C15" w:rsidRPr="000C3A57" w:rsidRDefault="00284C15" w:rsidP="00CF3BA9">
      <w:pPr>
        <w:pStyle w:val="Normaltindrag"/>
      </w:pPr>
      <w:r w:rsidRPr="000C3A57">
        <w:t>Kommittén anser att frågor som visserligen kommer upp på rådsmötena men som inte är avsedda att tas till beslut bör behandlas i kontakterna me</w:t>
      </w:r>
      <w:r w:rsidRPr="000C3A57">
        <w:t>l</w:t>
      </w:r>
      <w:r w:rsidRPr="000C3A57">
        <w:t>lan utskott och regering och inte i EU-nämnden. Vidare sägs att sa</w:t>
      </w:r>
      <w:r w:rsidRPr="000C3A57">
        <w:t>m</w:t>
      </w:r>
      <w:r w:rsidRPr="000C3A57">
        <w:t>rådet i EU-nämnden kan fokusera på eventuella förhandlingsstrategiska öve</w:t>
      </w:r>
      <w:r w:rsidRPr="000C3A57">
        <w:t>r</w:t>
      </w:r>
      <w:r w:rsidRPr="000C3A57">
        <w:t xml:space="preserve">väganden medan sakaspekterna har behandlats i utskotten. </w:t>
      </w:r>
      <w:r w:rsidRPr="000C3A57">
        <w:rPr>
          <w:i/>
        </w:rPr>
        <w:t>EU-nämndens roll skall begränsas till det tillfälle när frågorna skall beslutas i ministe</w:t>
      </w:r>
      <w:r w:rsidRPr="000C3A57">
        <w:rPr>
          <w:i/>
        </w:rPr>
        <w:t>r</w:t>
      </w:r>
      <w:r w:rsidRPr="000C3A57">
        <w:rPr>
          <w:i/>
        </w:rPr>
        <w:t>rådet.</w:t>
      </w:r>
      <w:r w:rsidRPr="000C3A57">
        <w:t xml:space="preserve"> Detta anges innebära en reell förändring för arbetet i u</w:t>
      </w:r>
      <w:r w:rsidRPr="000C3A57">
        <w:t>t</w:t>
      </w:r>
      <w:r w:rsidRPr="000C3A57">
        <w:t>skotten och i EU-nämnden.</w:t>
      </w:r>
    </w:p>
    <w:p w:rsidR="00284C15" w:rsidRPr="000C3A57" w:rsidRDefault="00284C15" w:rsidP="00CF3BA9">
      <w:pPr>
        <w:pStyle w:val="Normaltindrag"/>
      </w:pPr>
      <w:r w:rsidRPr="000C3A57">
        <w:t>Enligt EU-nämnden kan, som ovan framhållits, ett tillfredsställande infl</w:t>
      </w:r>
      <w:r w:rsidRPr="000C3A57">
        <w:t>y</w:t>
      </w:r>
      <w:r w:rsidRPr="000C3A57">
        <w:t xml:space="preserve">tande för riksdagen endast åstadkommas genom ett </w:t>
      </w:r>
      <w:r w:rsidRPr="000C3A57">
        <w:rPr>
          <w:i/>
        </w:rPr>
        <w:t>samspel</w:t>
      </w:r>
      <w:r w:rsidRPr="000C3A57">
        <w:t xml:space="preserve"> mellan utskott</w:t>
      </w:r>
      <w:r w:rsidRPr="000C3A57">
        <w:t>s</w:t>
      </w:r>
      <w:r w:rsidRPr="000C3A57">
        <w:t>behandling samt såväl information som samråd i EU-nämnden. EU-nämnden har i och för sig alltid sett som sin uppgift att fokusera på beslut</w:t>
      </w:r>
      <w:r w:rsidRPr="000C3A57">
        <w:t>s</w:t>
      </w:r>
      <w:r w:rsidRPr="000C3A57">
        <w:t>frågorna på ministerrådet. Med kännedom om EU:s beslutsproc</w:t>
      </w:r>
      <w:r w:rsidRPr="000C3A57">
        <w:t>e</w:t>
      </w:r>
      <w:r w:rsidRPr="000C3A57">
        <w:t>dur och hur frågorna bereds på ministerrådets möten måste emellertid framhållas att det inte låter sig göra att stycka upp ministerrådets dagor</w:t>
      </w:r>
      <w:r w:rsidRPr="000C3A57">
        <w:t>d</w:t>
      </w:r>
      <w:r w:rsidRPr="000C3A57">
        <w:t>ningar för att söka skapa skarpa gränser mellan utskottens och EU-nämndens befogenheter och därigenom inskränka EU-nämndens uppgi</w:t>
      </w:r>
      <w:r w:rsidRPr="000C3A57">
        <w:t>f</w:t>
      </w:r>
      <w:r w:rsidRPr="000C3A57">
        <w:t xml:space="preserve">ter. </w:t>
      </w:r>
    </w:p>
    <w:p w:rsidR="00D80249" w:rsidRPr="000C3A57" w:rsidRDefault="00284C15" w:rsidP="00CF3BA9">
      <w:pPr>
        <w:pStyle w:val="Normaltindrag"/>
      </w:pPr>
      <w:r w:rsidRPr="000C3A57">
        <w:t>Frågorna på ministerrådets dagordning beslutas oftast inte vid ett enda til</w:t>
      </w:r>
      <w:r w:rsidRPr="000C3A57">
        <w:t>l</w:t>
      </w:r>
      <w:r w:rsidRPr="000C3A57">
        <w:t>fälle. Som regel återkommer de vid skilda ti</w:t>
      </w:r>
      <w:r w:rsidRPr="000C3A57">
        <w:t>d</w:t>
      </w:r>
      <w:r w:rsidRPr="000C3A57">
        <w:t>punkter</w:t>
      </w:r>
      <w:r w:rsidR="00292890" w:rsidRPr="000C3A57">
        <w:t>,</w:t>
      </w:r>
      <w:r w:rsidRPr="000C3A57">
        <w:t xml:space="preserve"> och olika former av beslut fattas av ministerrådet under resans gång. Det kan gälla olika slutsa</w:t>
      </w:r>
      <w:r w:rsidRPr="000C3A57">
        <w:t>t</w:t>
      </w:r>
      <w:r w:rsidRPr="000C3A57">
        <w:t>ser och politiska överenskommelser som föregår det slutliga beslutet om en rätt</w:t>
      </w:r>
      <w:r w:rsidRPr="000C3A57">
        <w:t>s</w:t>
      </w:r>
      <w:r w:rsidRPr="000C3A57">
        <w:t>akt. Ofta hanteras också omfattande lagstiftningsprojekt i olika delar vid olika ministerrådssammansättningar. Vidare kan, särskilt när det gäller större äre</w:t>
      </w:r>
      <w:r w:rsidRPr="000C3A57">
        <w:t>n</w:t>
      </w:r>
      <w:r w:rsidRPr="000C3A57">
        <w:t>den, informationsfrågor hänga ihop med beslut</w:t>
      </w:r>
      <w:r w:rsidRPr="000C3A57">
        <w:t>s</w:t>
      </w:r>
      <w:r w:rsidRPr="000C3A57">
        <w:t>frågor. Det är helt enkelt många gånger fråga om paket där vissa frågor skall diskuteras och andra fattas beslut om. Ett sådant exempel är det ovan nämnda på energ</w:t>
      </w:r>
      <w:r w:rsidRPr="000C3A57">
        <w:t>i</w:t>
      </w:r>
      <w:r w:rsidRPr="000C3A57">
        <w:t xml:space="preserve">området där rådet skulle </w:t>
      </w:r>
      <w:r w:rsidRPr="000C3A57">
        <w:rPr>
          <w:i/>
        </w:rPr>
        <w:t xml:space="preserve">besluta </w:t>
      </w:r>
      <w:r w:rsidRPr="000C3A57">
        <w:t xml:space="preserve">om slutsatser på energiområdet samt </w:t>
      </w:r>
      <w:r w:rsidRPr="000C3A57">
        <w:rPr>
          <w:i/>
        </w:rPr>
        <w:t>disk</w:t>
      </w:r>
      <w:r w:rsidRPr="000C3A57">
        <w:rPr>
          <w:i/>
        </w:rPr>
        <w:t>u</w:t>
      </w:r>
      <w:r w:rsidRPr="000C3A57">
        <w:rPr>
          <w:i/>
        </w:rPr>
        <w:t>tera</w:t>
      </w:r>
      <w:r w:rsidRPr="000C3A57">
        <w:t xml:space="preserve"> den av kommissionen nyligen presenterade grönboken. Det går alltså inte alltid att särskilja informations- och beslutsfrågor. Härtill kommer att det många gån</w:t>
      </w:r>
      <w:r w:rsidRPr="000C3A57">
        <w:t>g</w:t>
      </w:r>
      <w:r w:rsidRPr="000C3A57">
        <w:t>er inte finns någon säker vetskap om huruvida rådet verkligen har förutsät</w:t>
      </w:r>
      <w:r w:rsidRPr="000C3A57">
        <w:t>t</w:t>
      </w:r>
      <w:r w:rsidRPr="000C3A57">
        <w:t>ningar att gå till beslut; huruvida det föreligger erforderlig enhällighet eller kvalificerad majoritet får inte sällan bedömas av ministe</w:t>
      </w:r>
      <w:r w:rsidRPr="000C3A57">
        <w:t>r</w:t>
      </w:r>
      <w:r w:rsidRPr="000C3A57">
        <w:t>rådets ordförande under mötets gång.</w:t>
      </w:r>
      <w:r w:rsidR="00E0078A" w:rsidRPr="000C3A57">
        <w:t xml:space="preserve"> </w:t>
      </w:r>
    </w:p>
    <w:p w:rsidR="00D80249" w:rsidRPr="000C3A57" w:rsidRDefault="0059656E" w:rsidP="00CF3BA9">
      <w:pPr>
        <w:pStyle w:val="Normaltindrag"/>
      </w:pPr>
      <w:r w:rsidRPr="000C3A57">
        <w:t>Ovan har också – i samband med överväganden om u</w:t>
      </w:r>
      <w:r w:rsidRPr="000C3A57">
        <w:t>t</w:t>
      </w:r>
      <w:r w:rsidRPr="000C3A57">
        <w:t xml:space="preserve">skottens arbete – frågan om </w:t>
      </w:r>
      <w:r w:rsidRPr="000C3A57">
        <w:rPr>
          <w:i/>
        </w:rPr>
        <w:t>återrapportering</w:t>
      </w:r>
      <w:r w:rsidRPr="000C3A57">
        <w:t xml:space="preserve"> av regeringens handlande i m</w:t>
      </w:r>
      <w:r w:rsidRPr="000C3A57">
        <w:t>i</w:t>
      </w:r>
      <w:r w:rsidRPr="000C3A57">
        <w:t>n</w:t>
      </w:r>
      <w:r w:rsidR="00BB4EFC" w:rsidRPr="000C3A57">
        <w:t>i</w:t>
      </w:r>
      <w:r w:rsidRPr="000C3A57">
        <w:t xml:space="preserve">sterrådet tagits upp. EU-nämnden anser </w:t>
      </w:r>
      <w:r w:rsidR="00BB4EFC" w:rsidRPr="000C3A57">
        <w:t xml:space="preserve">att </w:t>
      </w:r>
      <w:r w:rsidRPr="000C3A57">
        <w:t xml:space="preserve">det </w:t>
      </w:r>
      <w:r w:rsidR="00BB4EFC" w:rsidRPr="000C3A57">
        <w:t xml:space="preserve">är </w:t>
      </w:r>
      <w:r w:rsidRPr="000C3A57">
        <w:t>viktigt från uppföljnings- och kontrollsy</w:t>
      </w:r>
      <w:r w:rsidRPr="000C3A57">
        <w:t>n</w:t>
      </w:r>
      <w:r w:rsidRPr="000C3A57">
        <w:t>punkt att den rutin med återra</w:t>
      </w:r>
      <w:r w:rsidRPr="000C3A57">
        <w:t>p</w:t>
      </w:r>
      <w:r w:rsidRPr="000C3A57">
        <w:t xml:space="preserve">portering som nu äger rum i EU-nämnden består. </w:t>
      </w:r>
      <w:r w:rsidR="0023664C" w:rsidRPr="000C3A57">
        <w:t>Här kan lika litet som inför rådsmötena någon uppstyckning av frågo</w:t>
      </w:r>
      <w:r w:rsidR="0023664C" w:rsidRPr="000C3A57">
        <w:t>r</w:t>
      </w:r>
      <w:r w:rsidR="0023664C" w:rsidRPr="000C3A57">
        <w:t>na ske; den rådande kontinuit</w:t>
      </w:r>
      <w:r w:rsidR="0023664C" w:rsidRPr="000C3A57">
        <w:t>e</w:t>
      </w:r>
      <w:r w:rsidR="0023664C" w:rsidRPr="000C3A57">
        <w:t>ten beträffande de frågor som behandlas skulle annars brytas och riksdagens överblick och inflytande förl</w:t>
      </w:r>
      <w:r w:rsidR="0023664C" w:rsidRPr="000C3A57">
        <w:t>o</w:t>
      </w:r>
      <w:r w:rsidR="0023664C" w:rsidRPr="000C3A57">
        <w:t>ras.</w:t>
      </w:r>
    </w:p>
    <w:p w:rsidR="00284C15" w:rsidRPr="000C3A57" w:rsidRDefault="00284C15" w:rsidP="00CF3BA9">
      <w:pPr>
        <w:pStyle w:val="Normaltindrag"/>
      </w:pPr>
      <w:r w:rsidRPr="000C3A57">
        <w:t>Det nu sagda visar att det är oläm</w:t>
      </w:r>
      <w:r w:rsidRPr="000C3A57">
        <w:t>p</w:t>
      </w:r>
      <w:r w:rsidRPr="000C3A57">
        <w:t xml:space="preserve">ligt att </w:t>
      </w:r>
      <w:r w:rsidR="00981F1D" w:rsidRPr="000C3A57">
        <w:t xml:space="preserve">förorda </w:t>
      </w:r>
      <w:r w:rsidRPr="000C3A57">
        <w:t xml:space="preserve">att vissa frågor </w:t>
      </w:r>
      <w:r w:rsidRPr="000C3A57">
        <w:rPr>
          <w:i/>
        </w:rPr>
        <w:t>inte bör behandlas i EU-nämnden</w:t>
      </w:r>
      <w:r w:rsidR="00292890" w:rsidRPr="000C3A57">
        <w:t>, i var</w:t>
      </w:r>
      <w:r w:rsidR="00D80249" w:rsidRPr="000C3A57">
        <w:t>t</w:t>
      </w:r>
      <w:r w:rsidRPr="000C3A57">
        <w:t xml:space="preserve"> fall om riksdagen skall kunna behålla sitt inflytande beträffande de frågor som står på m</w:t>
      </w:r>
      <w:r w:rsidRPr="000C3A57">
        <w:t>i</w:t>
      </w:r>
      <w:r w:rsidRPr="000C3A57">
        <w:t>nisterrådets dagordning. EU-nämnden ansluter sig i och för sig till kommitténs bedö</w:t>
      </w:r>
      <w:r w:rsidRPr="000C3A57">
        <w:t>m</w:t>
      </w:r>
      <w:r w:rsidRPr="000C3A57">
        <w:t>ning att den exakta avgränsningen mellan utskotten och EU-nämnden – i likhet med dagens or</w:t>
      </w:r>
      <w:r w:rsidRPr="000C3A57">
        <w:t>d</w:t>
      </w:r>
      <w:r w:rsidRPr="000C3A57">
        <w:t>ning – får u</w:t>
      </w:r>
      <w:r w:rsidRPr="000C3A57">
        <w:t>t</w:t>
      </w:r>
      <w:r w:rsidRPr="000C3A57">
        <w:t>vecklas i praxis. EU-nämnden anser också att det är angeläget att det sker en reell förändring till utskottens fördel. Den skarpa gräns mellan utskottens och EU-nämndens uppgifter som kommittén beskriver och fra</w:t>
      </w:r>
      <w:r w:rsidRPr="000C3A57">
        <w:t>m</w:t>
      </w:r>
      <w:r w:rsidRPr="000C3A57">
        <w:t>håller som önskvärd innebär emellertid att de olika frågorna på rådsdagor</w:t>
      </w:r>
      <w:r w:rsidRPr="000C3A57">
        <w:t>d</w:t>
      </w:r>
      <w:r w:rsidRPr="000C3A57">
        <w:t>ningarna splittras upp på olika organ. Eftersom de olika rådssammansättnin</w:t>
      </w:r>
      <w:r w:rsidRPr="000C3A57">
        <w:t>g</w:t>
      </w:r>
      <w:r w:rsidRPr="000C3A57">
        <w:t>arna alltmer har centraliserats för att man skall kunna hålla ihop och få öve</w:t>
      </w:r>
      <w:r w:rsidRPr="000C3A57">
        <w:t>r</w:t>
      </w:r>
      <w:r w:rsidRPr="000C3A57">
        <w:t>blick över olika närliggande frågor (t.ex. konkurrenskraftsrådet och sysse</w:t>
      </w:r>
      <w:r w:rsidRPr="000C3A57">
        <w:t>l</w:t>
      </w:r>
      <w:r w:rsidRPr="000C3A57">
        <w:t>sättningsrådet) finns det stor risk att vissa frågor med den av kommittén fö</w:t>
      </w:r>
      <w:r w:rsidRPr="000C3A57">
        <w:t>r</w:t>
      </w:r>
      <w:r w:rsidRPr="000C3A57">
        <w:t>ordade ordningen ha</w:t>
      </w:r>
      <w:r w:rsidRPr="000C3A57">
        <w:t>m</w:t>
      </w:r>
      <w:r w:rsidRPr="000C3A57">
        <w:t xml:space="preserve">nar mellan olika stolar och att överblicken går förlorad. </w:t>
      </w:r>
      <w:r w:rsidR="000B76C7" w:rsidRPr="000C3A57">
        <w:t>Det föreligger därmed också en stor risk att riksdagens inflytande i EU-frågor ko</w:t>
      </w:r>
      <w:r w:rsidR="000B76C7" w:rsidRPr="000C3A57">
        <w:t>m</w:t>
      </w:r>
      <w:r w:rsidR="000B76C7" w:rsidRPr="000C3A57">
        <w:t xml:space="preserve">mer att minska och att det som uppnåtts under mer än ett decennium går förlorat. </w:t>
      </w:r>
    </w:p>
    <w:p w:rsidR="00284C15" w:rsidRPr="000C3A57" w:rsidRDefault="00284C15" w:rsidP="00CF3BA9">
      <w:pPr>
        <w:pStyle w:val="Normaltindrag"/>
      </w:pPr>
      <w:r w:rsidRPr="000C3A57">
        <w:t>Kommittén föreslår att EU-nämndens uppgift skall inskränkas till att e</w:t>
      </w:r>
      <w:r w:rsidRPr="000C3A57">
        <w:t>n</w:t>
      </w:r>
      <w:r w:rsidRPr="000C3A57">
        <w:t xml:space="preserve">bart gälla frågor som är föremål för beslut på det </w:t>
      </w:r>
      <w:r w:rsidRPr="000C3A57">
        <w:rPr>
          <w:i/>
        </w:rPr>
        <w:t>stundande rådsmötet</w:t>
      </w:r>
      <w:r w:rsidRPr="000C3A57">
        <w:t>. Alla frågor som ligger tidigare i beslutsprocessen skall behandlas av u</w:t>
      </w:r>
      <w:r w:rsidRPr="000C3A57">
        <w:t>t</w:t>
      </w:r>
      <w:r w:rsidRPr="000C3A57">
        <w:t>skotten i det s.k. saksamrådet. För att inte riksdagens inflytande skall minska föru</w:t>
      </w:r>
      <w:r w:rsidRPr="000C3A57">
        <w:t>t</w:t>
      </w:r>
      <w:r w:rsidRPr="000C3A57">
        <w:t xml:space="preserve">sätter detta att berörda utskott ser till att överläggningar med regeringen kommer till stånd i </w:t>
      </w:r>
      <w:r w:rsidRPr="000C3A57">
        <w:rPr>
          <w:i/>
        </w:rPr>
        <w:t>alla rådsfrågor</w:t>
      </w:r>
      <w:r w:rsidRPr="000C3A57">
        <w:t xml:space="preserve"> på detta tidigare stadium. </w:t>
      </w:r>
      <w:r w:rsidR="000B76C7" w:rsidRPr="000C3A57">
        <w:t xml:space="preserve">Vidare uppstår frågan vilket utskott som skall vara huvudansvarigt i fråga om </w:t>
      </w:r>
      <w:r w:rsidR="000B76C7" w:rsidRPr="000C3A57">
        <w:rPr>
          <w:i/>
        </w:rPr>
        <w:t>övergripa</w:t>
      </w:r>
      <w:r w:rsidR="000B76C7" w:rsidRPr="000C3A57">
        <w:rPr>
          <w:i/>
        </w:rPr>
        <w:t>n</w:t>
      </w:r>
      <w:r w:rsidR="000B76C7" w:rsidRPr="000C3A57">
        <w:rPr>
          <w:i/>
        </w:rPr>
        <w:t>de frågor</w:t>
      </w:r>
      <w:r w:rsidR="000B76C7" w:rsidRPr="000C3A57">
        <w:t xml:space="preserve"> på detta tidigare stadium. </w:t>
      </w:r>
      <w:r w:rsidRPr="000C3A57">
        <w:t>Det kan gälla diskussioner om politiska strat</w:t>
      </w:r>
      <w:r w:rsidRPr="000C3A57">
        <w:t>e</w:t>
      </w:r>
      <w:r w:rsidRPr="000C3A57">
        <w:t xml:space="preserve">gier som berör flera ansvarsområden och som </w:t>
      </w:r>
      <w:r w:rsidR="008256D1" w:rsidRPr="000C3A57">
        <w:t xml:space="preserve">senare </w:t>
      </w:r>
      <w:r w:rsidRPr="000C3A57">
        <w:t>skall behandlas på möten med Europeiska rådet. Exempel på detta är Liss</w:t>
      </w:r>
      <w:r w:rsidRPr="000C3A57">
        <w:t>a</w:t>
      </w:r>
      <w:r w:rsidRPr="000C3A57">
        <w:t>bonstrategin, strategin om en hållbar utveckling, en gemensam energipolitik</w:t>
      </w:r>
      <w:r w:rsidR="008256D1" w:rsidRPr="000C3A57">
        <w:t xml:space="preserve"> och</w:t>
      </w:r>
      <w:r w:rsidRPr="000C3A57">
        <w:t xml:space="preserve"> det s.k. Haagpr</w:t>
      </w:r>
      <w:r w:rsidRPr="000C3A57">
        <w:t>o</w:t>
      </w:r>
      <w:r w:rsidRPr="000C3A57">
        <w:t>grammet (rättsliga och inrikes frågor). Exemplen kan mångfaldigas. Det torde bli svårt, för att inte säga omöjligt, för EU-nämnden att först vid möten inför Europei</w:t>
      </w:r>
      <w:r w:rsidRPr="000C3A57">
        <w:t>s</w:t>
      </w:r>
      <w:r w:rsidRPr="000C3A57">
        <w:t>ka rådet ha en samlad och koordinerad uppfattning och göra olika priorit</w:t>
      </w:r>
      <w:r w:rsidRPr="000C3A57">
        <w:t>e</w:t>
      </w:r>
      <w:r w:rsidRPr="000C3A57">
        <w:t>ringar till ledning för rege</w:t>
      </w:r>
      <w:r w:rsidRPr="000C3A57">
        <w:t>r</w:t>
      </w:r>
      <w:r w:rsidRPr="000C3A57">
        <w:t xml:space="preserve">ingen.  </w:t>
      </w:r>
    </w:p>
    <w:p w:rsidR="00284C15" w:rsidRPr="000C3A57" w:rsidRDefault="00284C15" w:rsidP="00CF3BA9">
      <w:pPr>
        <w:pStyle w:val="Normaltindrag"/>
      </w:pPr>
      <w:r w:rsidRPr="000C3A57">
        <w:t xml:space="preserve">EU-nämnden kan dock konstatera att </w:t>
      </w:r>
      <w:r w:rsidRPr="000C3A57">
        <w:rPr>
          <w:i/>
        </w:rPr>
        <w:t xml:space="preserve">förslaget till lag om ändring i </w:t>
      </w:r>
      <w:r w:rsidR="0023664C" w:rsidRPr="000C3A57">
        <w:rPr>
          <w:i/>
        </w:rPr>
        <w:t>rik</w:t>
      </w:r>
      <w:r w:rsidR="0023664C" w:rsidRPr="000C3A57">
        <w:rPr>
          <w:i/>
        </w:rPr>
        <w:t>s</w:t>
      </w:r>
      <w:r w:rsidR="0023664C" w:rsidRPr="000C3A57">
        <w:rPr>
          <w:i/>
        </w:rPr>
        <w:t>dagsordningen</w:t>
      </w:r>
      <w:r w:rsidRPr="000C3A57">
        <w:t xml:space="preserve"> i denna del inte innebär någon reell förändring i förhå</w:t>
      </w:r>
      <w:r w:rsidRPr="000C3A57">
        <w:t>l</w:t>
      </w:r>
      <w:r w:rsidRPr="000C3A57">
        <w:t>lande till vad som gäller i dag. Fortfarande skall regeringen rådgöra med nämnden om hur förhan</w:t>
      </w:r>
      <w:r w:rsidRPr="000C3A57">
        <w:t>d</w:t>
      </w:r>
      <w:r w:rsidRPr="000C3A57">
        <w:t xml:space="preserve">lingarna i rådet skall föras </w:t>
      </w:r>
      <w:r w:rsidRPr="000C3A57">
        <w:rPr>
          <w:i/>
        </w:rPr>
        <w:t>inför besluten</w:t>
      </w:r>
      <w:r w:rsidRPr="000C3A57">
        <w:t xml:space="preserve"> i rådet.</w:t>
      </w:r>
    </w:p>
    <w:p w:rsidR="00284C15" w:rsidRPr="000C3A57" w:rsidRDefault="00284C15" w:rsidP="00CF3BA9">
      <w:pPr>
        <w:pStyle w:val="Normaltindrag"/>
      </w:pPr>
      <w:r w:rsidRPr="000C3A57">
        <w:t xml:space="preserve">Beträffande regeringens </w:t>
      </w:r>
      <w:r w:rsidRPr="000C3A57">
        <w:rPr>
          <w:i/>
        </w:rPr>
        <w:t>informationsskyldighet</w:t>
      </w:r>
      <w:r w:rsidRPr="000C3A57">
        <w:t xml:space="preserve"> gentemot EU-nämnden f</w:t>
      </w:r>
      <w:r w:rsidRPr="000C3A57">
        <w:t>ö</w:t>
      </w:r>
      <w:r w:rsidRPr="000C3A57">
        <w:t>reslår kommittén att regeringen inte längre skall vara skyldig att underrä</w:t>
      </w:r>
      <w:r w:rsidRPr="000C3A57">
        <w:t>t</w:t>
      </w:r>
      <w:r w:rsidRPr="000C3A57">
        <w:t xml:space="preserve">ta EU-nämnden om frågor som </w:t>
      </w:r>
      <w:r w:rsidRPr="000C3A57">
        <w:rPr>
          <w:i/>
        </w:rPr>
        <w:t>avses bli behandlade</w:t>
      </w:r>
      <w:r w:rsidRPr="000C3A57">
        <w:t xml:space="preserve"> i mini</w:t>
      </w:r>
      <w:r w:rsidRPr="000C3A57">
        <w:t>s</w:t>
      </w:r>
      <w:r w:rsidRPr="000C3A57">
        <w:t xml:space="preserve">terrådet utan endast om frågor som </w:t>
      </w:r>
      <w:r w:rsidRPr="000C3A57">
        <w:rPr>
          <w:i/>
        </w:rPr>
        <w:t>skall beslutas</w:t>
      </w:r>
      <w:r w:rsidRPr="000C3A57">
        <w:t xml:space="preserve"> i detta råd. Det kan ifrågasättas vari denna skil</w:t>
      </w:r>
      <w:r w:rsidRPr="000C3A57">
        <w:t>l</w:t>
      </w:r>
      <w:r w:rsidRPr="000C3A57">
        <w:t>nad egentligen består. Den föreslagna inskränkningen av regeringens info</w:t>
      </w:r>
      <w:r w:rsidRPr="000C3A57">
        <w:t>r</w:t>
      </w:r>
      <w:r w:rsidRPr="000C3A57">
        <w:t xml:space="preserve">mationsskyldighet gentemot EU-nämnden är </w:t>
      </w:r>
      <w:r w:rsidR="00032329" w:rsidRPr="000C3A57">
        <w:t xml:space="preserve">emellertid </w:t>
      </w:r>
      <w:r w:rsidRPr="000C3A57">
        <w:t>ägnad att åstadko</w:t>
      </w:r>
      <w:r w:rsidRPr="000C3A57">
        <w:t>m</w:t>
      </w:r>
      <w:r w:rsidRPr="000C3A57">
        <w:t>ma otydlighet och riskerar att medföra att riksdagen förlorar överblick och infl</w:t>
      </w:r>
      <w:r w:rsidRPr="000C3A57">
        <w:t>y</w:t>
      </w:r>
      <w:r w:rsidRPr="000C3A57">
        <w:t xml:space="preserve">tande. </w:t>
      </w:r>
      <w:r w:rsidR="00032329" w:rsidRPr="000C3A57">
        <w:t>Det är ofta på ett tidigare stadium än inför själva antagandet av en rättsakt eller annan åtgärd som ett faktiskt samråd äger rum i EU-nämnden</w:t>
      </w:r>
      <w:r w:rsidR="00A67269" w:rsidRPr="000C3A57">
        <w:t>,</w:t>
      </w:r>
      <w:r w:rsidR="00032329" w:rsidRPr="000C3A57">
        <w:t xml:space="preserve"> och vid vilket regeringen presenterar ett upplägg inför de fortsatta förhan</w:t>
      </w:r>
      <w:r w:rsidR="00032329" w:rsidRPr="000C3A57">
        <w:t>d</w:t>
      </w:r>
      <w:r w:rsidR="00032329" w:rsidRPr="000C3A57">
        <w:t>lingarna. EU-nämnden avstyrker således förslaget att b</w:t>
      </w:r>
      <w:r w:rsidR="00032329" w:rsidRPr="000C3A57">
        <w:t>e</w:t>
      </w:r>
      <w:r w:rsidR="00032329" w:rsidRPr="000C3A57">
        <w:t>gränsa regeringens inform</w:t>
      </w:r>
      <w:r w:rsidR="00032329" w:rsidRPr="000C3A57">
        <w:t>a</w:t>
      </w:r>
      <w:r w:rsidR="00032329" w:rsidRPr="000C3A57">
        <w:t xml:space="preserve">tionsskyldighet gentemot EU-nämnden.  </w:t>
      </w:r>
      <w:r w:rsidRPr="000C3A57">
        <w:t xml:space="preserve"> </w:t>
      </w:r>
    </w:p>
    <w:p w:rsidR="00284C15" w:rsidRPr="000C3A57" w:rsidRDefault="00284C15" w:rsidP="00CF3BA9">
      <w:pPr>
        <w:pStyle w:val="Normaltindrag"/>
      </w:pPr>
      <w:r w:rsidRPr="000C3A57">
        <w:t>Kommittén föreslår också att bestämmelsen i 10 kap. 6 § riksdagsordnin</w:t>
      </w:r>
      <w:r w:rsidRPr="000C3A57">
        <w:t>g</w:t>
      </w:r>
      <w:r w:rsidRPr="000C3A57">
        <w:t xml:space="preserve">en om </w:t>
      </w:r>
      <w:r w:rsidRPr="000C3A57">
        <w:rPr>
          <w:i/>
        </w:rPr>
        <w:t>statlig myndighets skyldighet att lämna upplysningar och avge yttrande</w:t>
      </w:r>
      <w:r w:rsidRPr="000C3A57">
        <w:t xml:space="preserve"> till EU-nämnden skall upphöra att gälla. EU-nämnden har ingen erinran mot detta; bestä</w:t>
      </w:r>
      <w:r w:rsidRPr="000C3A57">
        <w:t>m</w:t>
      </w:r>
      <w:r w:rsidRPr="000C3A57">
        <w:t>melsen har aldrig tillämpats</w:t>
      </w:r>
      <w:r w:rsidR="005B7FB8" w:rsidRPr="000C3A57">
        <w:t>,</w:t>
      </w:r>
      <w:r w:rsidRPr="000C3A57">
        <w:t xml:space="preserve"> och något behov av den torde inte föreligga.</w:t>
      </w:r>
    </w:p>
    <w:p w:rsidR="00284C15" w:rsidRPr="000C3A57" w:rsidRDefault="00284C15" w:rsidP="00CF3BA9">
      <w:pPr>
        <w:pStyle w:val="Normaltindrag"/>
      </w:pPr>
      <w:r w:rsidRPr="000C3A57">
        <w:t xml:space="preserve">I ett avseende föreslås att EU-nämnden skall få en </w:t>
      </w:r>
      <w:r w:rsidRPr="000C3A57">
        <w:rPr>
          <w:i/>
        </w:rPr>
        <w:t xml:space="preserve">utvidgad </w:t>
      </w:r>
      <w:r w:rsidRPr="000C3A57">
        <w:t>roll. Samråd</w:t>
      </w:r>
      <w:r w:rsidRPr="000C3A57">
        <w:t>s</w:t>
      </w:r>
      <w:r w:rsidRPr="000C3A57">
        <w:t>skyldigheten föreslås bli heltäckande och inte längre omfatta bara ”b</w:t>
      </w:r>
      <w:r w:rsidRPr="000C3A57">
        <w:t>e</w:t>
      </w:r>
      <w:r w:rsidRPr="000C3A57">
        <w:t>slut som regeringen bedömer som betydelsefulla och andra frågor som nämnden b</w:t>
      </w:r>
      <w:r w:rsidRPr="000C3A57">
        <w:t>e</w:t>
      </w:r>
      <w:r w:rsidRPr="000C3A57">
        <w:t>stämmer”. Som en följd härav föreslås också att den nuvara</w:t>
      </w:r>
      <w:r w:rsidRPr="000C3A57">
        <w:t>n</w:t>
      </w:r>
      <w:r w:rsidRPr="000C3A57">
        <w:t>de rätten för</w:t>
      </w:r>
      <w:r w:rsidR="005D3F7D" w:rsidRPr="000C3A57">
        <w:t xml:space="preserve"> </w:t>
      </w:r>
      <w:r w:rsidRPr="000C3A57">
        <w:t xml:space="preserve">en minoritet att påkalla samråd skall tas bort. </w:t>
      </w:r>
    </w:p>
    <w:p w:rsidR="00284C15" w:rsidRPr="000C3A57" w:rsidRDefault="00284C15" w:rsidP="00CF3BA9">
      <w:pPr>
        <w:pStyle w:val="Normaltindrag"/>
        <w:rPr>
          <w:sz w:val="28"/>
          <w:szCs w:val="28"/>
        </w:rPr>
      </w:pPr>
      <w:r w:rsidRPr="000C3A57">
        <w:rPr>
          <w:i/>
        </w:rPr>
        <w:t>Avgränsningen av regeringens samrådsskyldighet</w:t>
      </w:r>
      <w:r w:rsidRPr="000C3A57">
        <w:t xml:space="preserve"> gentemot EU-nämnden var en viktig fråga inför inrättandet av samrådsförf</w:t>
      </w:r>
      <w:r w:rsidRPr="000C3A57">
        <w:t>a</w:t>
      </w:r>
      <w:r w:rsidRPr="000C3A57">
        <w:t>randet i EU-frågor. Olika alternativa lösningar diskuterades i frågan om samrådsskyldi</w:t>
      </w:r>
      <w:r w:rsidRPr="000C3A57">
        <w:t>g</w:t>
      </w:r>
      <w:r w:rsidRPr="000C3A57">
        <w:t>heten borde omfatta alla frågor eller om den borde avgränsas på något sätt. Den uppfat</w:t>
      </w:r>
      <w:r w:rsidRPr="000C3A57">
        <w:t>t</w:t>
      </w:r>
      <w:r w:rsidRPr="000C3A57">
        <w:t>ning som ligger bakom riksdagsordningens nuvarande utfor</w:t>
      </w:r>
      <w:r w:rsidRPr="000C3A57">
        <w:t>m</w:t>
      </w:r>
      <w:r w:rsidRPr="000C3A57">
        <w:t>ning i detta hänseende är att det ansetts viktigt att samrådsförfarandet ko</w:t>
      </w:r>
      <w:r w:rsidRPr="000C3A57">
        <w:t>n</w:t>
      </w:r>
      <w:r w:rsidRPr="000C3A57">
        <w:t>centreras på de viktigare frågorna medan detaljer och teknikaliteter med fördel kunde b</w:t>
      </w:r>
      <w:r w:rsidRPr="000C3A57">
        <w:t>e</w:t>
      </w:r>
      <w:r w:rsidRPr="000C3A57">
        <w:t>handlas av regeringen på egen hand</w:t>
      </w:r>
      <w:r w:rsidR="00465A98" w:rsidRPr="000C3A57">
        <w:t xml:space="preserve"> (se prop. 1994/95:19 s.</w:t>
      </w:r>
      <w:r w:rsidRPr="000C3A57">
        <w:t xml:space="preserve"> 536, </w:t>
      </w:r>
      <w:r w:rsidR="00465A98" w:rsidRPr="000C3A57">
        <w:t>bet.1994/95:KU22 s.</w:t>
      </w:r>
      <w:r w:rsidRPr="000C3A57">
        <w:t xml:space="preserve"> 15). I samband med en utvärdering om EU-frågornas behandling i riksdagen uttalade EU-nämnden bl.a. följande (</w:t>
      </w:r>
      <w:r w:rsidR="00465A98" w:rsidRPr="000C3A57">
        <w:t>bet.1996/97:KU2 bilaga 3 s.</w:t>
      </w:r>
      <w:r w:rsidRPr="000C3A57">
        <w:t xml:space="preserve"> 68): </w:t>
      </w:r>
    </w:p>
    <w:p w:rsidR="00284C15" w:rsidRPr="000C3A57" w:rsidRDefault="00284C15" w:rsidP="0054517A">
      <w:pPr>
        <w:pStyle w:val="Citat"/>
        <w:spacing w:before="62"/>
      </w:pPr>
      <w:r w:rsidRPr="000C3A57">
        <w:t>I sammanhanget vill nämnden inte underlåta att peka på att samarbetet inom EU inte bara rör politiskt väsentliga frågor utan också detaljfrågor av mera teknisk natur. Som tidigare berörts har sålunda medlemskapet inneburit att åtskilliga frågor, i vilka regeringen eller annan myndighet t</w:t>
      </w:r>
      <w:r w:rsidRPr="000C3A57">
        <w:t>i</w:t>
      </w:r>
      <w:r w:rsidRPr="000C3A57">
        <w:t>digare hade beslutanderätten, skall avgöras av ministerrådet. Åtminstone i EU-nämndens verksamhet framstår det som angeläget att intresset ko</w:t>
      </w:r>
      <w:r w:rsidRPr="000C3A57">
        <w:t>n</w:t>
      </w:r>
      <w:r w:rsidRPr="000C3A57">
        <w:t>centreras på de för Sverige mera betydelsefulla frågorna och att mindre viktiga detal</w:t>
      </w:r>
      <w:r w:rsidRPr="000C3A57">
        <w:t>j</w:t>
      </w:r>
      <w:r w:rsidR="00465A98" w:rsidRPr="000C3A57">
        <w:t>spörsmål kan lämnas åt sidan.</w:t>
      </w:r>
    </w:p>
    <w:p w:rsidR="00284C15" w:rsidRPr="000C3A57" w:rsidRDefault="00284C15" w:rsidP="00D80249">
      <w:pPr>
        <w:rPr>
          <w:i/>
          <w:szCs w:val="24"/>
        </w:rPr>
      </w:pPr>
      <w:r w:rsidRPr="000C3A57">
        <w:t>EU-nämnden anser att dessa synpunkter fortfarande gör sig gällande och att den nuvarande ordningen fungerat väl. Avgränsningen av samrådsskyldigh</w:t>
      </w:r>
      <w:r w:rsidRPr="000C3A57">
        <w:t>e</w:t>
      </w:r>
      <w:r w:rsidRPr="000C3A57">
        <w:t>ten bör därför enligt EU-nämndens mening bestå. Risken är annars att EU-nämnden belastas alltför mycket med just tekniska detaljfrågor som det va</w:t>
      </w:r>
      <w:r w:rsidRPr="000C3A57">
        <w:t>r</w:t>
      </w:r>
      <w:r w:rsidRPr="000C3A57">
        <w:t>ken finns politiskt intresse av eller tid och resurser att behandla. Minoritet</w:t>
      </w:r>
      <w:r w:rsidRPr="000C3A57">
        <w:t>s</w:t>
      </w:r>
      <w:r w:rsidRPr="000C3A57">
        <w:t>skyddet har aldrig behövt tillämpas formellt men bör bestå som en kons</w:t>
      </w:r>
      <w:r w:rsidRPr="000C3A57">
        <w:t>e</w:t>
      </w:r>
      <w:r w:rsidRPr="000C3A57">
        <w:t>kvens av avgränsningen av samrådssky</w:t>
      </w:r>
      <w:r w:rsidRPr="000C3A57">
        <w:t>l</w:t>
      </w:r>
      <w:r w:rsidRPr="000C3A57">
        <w:t xml:space="preserve">digheten. </w:t>
      </w:r>
      <w:r w:rsidR="005D3F7D" w:rsidRPr="000C3A57">
        <w:t>EU-nämnden avstyrker således för</w:t>
      </w:r>
      <w:r w:rsidR="0048092A" w:rsidRPr="000C3A57">
        <w:t>s</w:t>
      </w:r>
      <w:r w:rsidR="005D3F7D" w:rsidRPr="000C3A57">
        <w:t xml:space="preserve">laget. </w:t>
      </w:r>
    </w:p>
    <w:p w:rsidR="00284C15" w:rsidRPr="000C3A57" w:rsidRDefault="00284C15" w:rsidP="00CF3BA9">
      <w:pPr>
        <w:pStyle w:val="Normaltindrag"/>
      </w:pPr>
      <w:r w:rsidRPr="000C3A57">
        <w:t xml:space="preserve">Kommittén uttalar sig om EU-nämndens </w:t>
      </w:r>
      <w:r w:rsidRPr="000C3A57">
        <w:rPr>
          <w:i/>
        </w:rPr>
        <w:t>sammanträdestid</w:t>
      </w:r>
      <w:r w:rsidRPr="000C3A57">
        <w:t xml:space="preserve"> som enligt kommittén som en följd av förskjutningen mellan utskotten och EU-nämnden kommer att minska. Huruvida så kommer att ske går naturlig</w:t>
      </w:r>
      <w:r w:rsidRPr="000C3A57">
        <w:t>t</w:t>
      </w:r>
      <w:r w:rsidRPr="000C3A57">
        <w:t>vis inte att uttala sig om och är för övrigt en adminis</w:t>
      </w:r>
      <w:r w:rsidRPr="000C3A57">
        <w:t>t</w:t>
      </w:r>
      <w:r w:rsidRPr="000C3A57">
        <w:t>rativ fråga. Förslaget om att partierna skall få sätta in tillfälliga ersättare kommer dessutom sannolikt, om det skulle utnyttjas fullt ut, snarare att medföra en ökning av samma</w:t>
      </w:r>
      <w:r w:rsidRPr="000C3A57">
        <w:t>n</w:t>
      </w:r>
      <w:r w:rsidRPr="000C3A57">
        <w:t xml:space="preserve">trädestiden.    </w:t>
      </w:r>
    </w:p>
    <w:p w:rsidR="00284C15" w:rsidRPr="000C3A57" w:rsidRDefault="00CF3BA9" w:rsidP="00905CB4">
      <w:pPr>
        <w:spacing w:before="125"/>
        <w:rPr>
          <w:i/>
        </w:rPr>
      </w:pPr>
      <w:r w:rsidRPr="000C3A57">
        <w:rPr>
          <w:i/>
        </w:rPr>
        <w:t>L</w:t>
      </w:r>
      <w:r w:rsidR="00284C15" w:rsidRPr="000C3A57">
        <w:rPr>
          <w:i/>
        </w:rPr>
        <w:t>edamöter i EU-nämnden</w:t>
      </w:r>
    </w:p>
    <w:p w:rsidR="00284C15" w:rsidRPr="000C3A57" w:rsidRDefault="00284C15" w:rsidP="00284C15">
      <w:r w:rsidRPr="000C3A57">
        <w:t>Alla ledamöter och suppleanter i EU-nämnden är också ledamöter eller su</w:t>
      </w:r>
      <w:r w:rsidRPr="000C3A57">
        <w:t>p</w:t>
      </w:r>
      <w:r w:rsidRPr="000C3A57">
        <w:t>pleanter i olika utskott. Samtliga utskott är på detta sätt representer</w:t>
      </w:r>
      <w:r w:rsidRPr="000C3A57">
        <w:t>a</w:t>
      </w:r>
      <w:r w:rsidRPr="000C3A57">
        <w:t>de i EU-nämnden. Som kommittén framhåller är det viktigt att det också finns en kontinuitet i EU-nämndens arbete. Härtill kommer att ledamöterna u</w:t>
      </w:r>
      <w:r w:rsidRPr="000C3A57">
        <w:t>t</w:t>
      </w:r>
      <w:r w:rsidRPr="000C3A57">
        <w:t xml:space="preserve">vecklat </w:t>
      </w:r>
      <w:r w:rsidR="00D80249" w:rsidRPr="000C3A57">
        <w:t xml:space="preserve">en </w:t>
      </w:r>
      <w:r w:rsidRPr="000C3A57">
        <w:t>stor kompetens att hålla ihop horisontella frågor som inte bör gå förlorad. Samtidigt är det, s</w:t>
      </w:r>
      <w:r w:rsidR="004A61F3" w:rsidRPr="000C3A57">
        <w:t xml:space="preserve">om kommittén också framhåller, </w:t>
      </w:r>
      <w:r w:rsidRPr="000C3A57">
        <w:t>viktigt att i samrådsförf</w:t>
      </w:r>
      <w:r w:rsidRPr="000C3A57">
        <w:t>a</w:t>
      </w:r>
      <w:r w:rsidRPr="000C3A57">
        <w:t>randet utnyttja den utskottserfarenhet som finns, vilket också sker i största utsträc</w:t>
      </w:r>
      <w:r w:rsidRPr="000C3A57">
        <w:t>k</w:t>
      </w:r>
      <w:r w:rsidRPr="000C3A57">
        <w:t xml:space="preserve">ning. </w:t>
      </w:r>
      <w:r w:rsidR="0023664C" w:rsidRPr="000C3A57">
        <w:t>Att bereda utökade möjligheter för detta genom att partierna tillfälligt skall få sätta in ersättare kan emellertid medföra stora praktiska svårigh</w:t>
      </w:r>
      <w:r w:rsidR="0023664C" w:rsidRPr="000C3A57">
        <w:t>e</w:t>
      </w:r>
      <w:r w:rsidR="0023664C" w:rsidRPr="000C3A57">
        <w:t>ter.</w:t>
      </w:r>
    </w:p>
    <w:p w:rsidR="00284C15" w:rsidRPr="000C3A57" w:rsidRDefault="00284C15" w:rsidP="00CF3BA9">
      <w:pPr>
        <w:pStyle w:val="Normaltindrag"/>
      </w:pPr>
      <w:r w:rsidRPr="000C3A57">
        <w:t>I lagförslaget sägs att partigrupperna skall ha rätt att ersätta en led</w:t>
      </w:r>
      <w:r w:rsidRPr="000C3A57">
        <w:t>a</w:t>
      </w:r>
      <w:r w:rsidRPr="000C3A57">
        <w:t>mot i nämnden med en ledamot av det utskott vars område b</w:t>
      </w:r>
      <w:r w:rsidRPr="000C3A57">
        <w:t>e</w:t>
      </w:r>
      <w:r w:rsidRPr="000C3A57">
        <w:t>rörs av de frågor som nämndens överläggningar med regeringen rör. Det är här fråga om att en sådan ledamot skall träda in tillfälligt vid ett samråd som berör det akt</w:t>
      </w:r>
      <w:r w:rsidRPr="000C3A57">
        <w:t>u</w:t>
      </w:r>
      <w:r w:rsidRPr="000C3A57">
        <w:t>ella utskottets område. Detta kommer att kräva stora insatser för planläg</w:t>
      </w:r>
      <w:r w:rsidRPr="000C3A57">
        <w:t>g</w:t>
      </w:r>
      <w:r w:rsidRPr="000C3A57">
        <w:t>ningen av nämndens sammanträden av såväl partigrupper som EU-nämndens kansli och också i hög grad påverka statsråden. Denna planläg</w:t>
      </w:r>
      <w:r w:rsidRPr="000C3A57">
        <w:t>g</w:t>
      </w:r>
      <w:r w:rsidRPr="000C3A57">
        <w:t>ning kommer att innebära att EU-nämndens totala sammantr</w:t>
      </w:r>
      <w:r w:rsidRPr="000C3A57">
        <w:t>ä</w:t>
      </w:r>
      <w:r w:rsidRPr="000C3A57">
        <w:t>destid vid vissa tillfällen ökar bety</w:t>
      </w:r>
      <w:r w:rsidRPr="000C3A57">
        <w:t>d</w:t>
      </w:r>
      <w:r w:rsidRPr="000C3A57">
        <w:t>ligt i motsats till vad kommittén antar. Mot slutet av ett ordförandeskap måste antagligen EU-nämndens sa</w:t>
      </w:r>
      <w:r w:rsidRPr="000C3A57">
        <w:t>m</w:t>
      </w:r>
      <w:r w:rsidRPr="000C3A57">
        <w:t>manträden delas upp på flera dagar i veckan.</w:t>
      </w:r>
    </w:p>
    <w:p w:rsidR="00284C15" w:rsidRPr="000C3A57" w:rsidRDefault="00284C15" w:rsidP="00CF3BA9">
      <w:pPr>
        <w:pStyle w:val="Normaltindrag"/>
      </w:pPr>
      <w:r w:rsidRPr="000C3A57">
        <w:t>Vissa rådsdagordningar berör också flera utskotts sakområden varför l</w:t>
      </w:r>
      <w:r w:rsidRPr="000C3A57">
        <w:t>e</w:t>
      </w:r>
      <w:r w:rsidRPr="000C3A57">
        <w:t>damöter får närvara allteftersom dagordning</w:t>
      </w:r>
      <w:r w:rsidRPr="000C3A57">
        <w:t>s</w:t>
      </w:r>
      <w:r w:rsidRPr="000C3A57">
        <w:t>punkterna kommer upp. Vissa dagordningspunkter berör också flera utskott</w:t>
      </w:r>
      <w:r w:rsidR="004A61F3" w:rsidRPr="000C3A57">
        <w:t>,</w:t>
      </w:r>
      <w:r w:rsidRPr="000C3A57">
        <w:t xml:space="preserve"> vilket medför att inför varje fråga måste avg</w:t>
      </w:r>
      <w:r w:rsidRPr="000C3A57">
        <w:t>ö</w:t>
      </w:r>
      <w:r w:rsidRPr="000C3A57">
        <w:t>ras vilket utskott som är huvudansvarigt. Detta kan visa sig svårt att planera när rådsdagordningarna ofta ändras kort tid före EU-nämndens sammanträden och nämnden inte sällan vid själva sammantr</w:t>
      </w:r>
      <w:r w:rsidRPr="000C3A57">
        <w:t>ä</w:t>
      </w:r>
      <w:r w:rsidRPr="000C3A57">
        <w:t>det får reda på att nya dagordningspunkter tillkommit och andra strukits. Råd</w:t>
      </w:r>
      <w:r w:rsidRPr="000C3A57">
        <w:t>s</w:t>
      </w:r>
      <w:r w:rsidRPr="000C3A57">
        <w:t>dagordninga</w:t>
      </w:r>
      <w:r w:rsidRPr="000C3A57">
        <w:t>r</w:t>
      </w:r>
      <w:r w:rsidRPr="000C3A57">
        <w:t>na är föränderliga dokument intill dess att rådsmötet äger rum. En särskild svårighet utgör de s.k. A-punkterna som kan gälla vilket område som helst och tas upp på vilket rådsmöte som helst. Ett ytterligare problem med ett system med tillfälliga ersättare gäller delgivningen av han</w:t>
      </w:r>
      <w:r w:rsidRPr="000C3A57">
        <w:t>d</w:t>
      </w:r>
      <w:r w:rsidRPr="000C3A57">
        <w:t>lingar som innehåller uppgifter för vilka sekretess råder liksom förfarandet vid brådska</w:t>
      </w:r>
      <w:r w:rsidRPr="000C3A57">
        <w:t>n</w:t>
      </w:r>
      <w:r w:rsidRPr="000C3A57">
        <w:t>de ärenden.</w:t>
      </w:r>
      <w:r w:rsidR="00323314" w:rsidRPr="000C3A57">
        <w:t xml:space="preserve"> </w:t>
      </w:r>
      <w:r w:rsidR="00C57F01" w:rsidRPr="000C3A57">
        <w:t>Mot bakgrund av de nu angivna såväl principiella som praktiska svårigheterna avstyrker EU-nämnden således fö</w:t>
      </w:r>
      <w:r w:rsidR="00C57F01" w:rsidRPr="000C3A57">
        <w:t>r</w:t>
      </w:r>
      <w:r w:rsidR="00C57F01" w:rsidRPr="000C3A57">
        <w:t>slaget.</w:t>
      </w:r>
    </w:p>
    <w:p w:rsidR="00284C15" w:rsidRPr="000C3A57" w:rsidRDefault="00284C15" w:rsidP="00267AE0">
      <w:pPr>
        <w:pStyle w:val="Rubrik4"/>
        <w:rPr>
          <w:noProof w:val="0"/>
        </w:rPr>
      </w:pPr>
      <w:r w:rsidRPr="000C3A57">
        <w:rPr>
          <w:noProof w:val="0"/>
        </w:rPr>
        <w:t>Öppenhet i utskotten och i EU-nämnden (avsnitt 3.3.4)</w:t>
      </w:r>
    </w:p>
    <w:p w:rsidR="00284C15" w:rsidRPr="000C3A57" w:rsidRDefault="002B6F63" w:rsidP="00905CB4">
      <w:pPr>
        <w:spacing w:before="125"/>
      </w:pPr>
      <w:r w:rsidRPr="000C3A57">
        <w:t>Under de drygt 11 år som EU-nämnden har verkat har betydande fra</w:t>
      </w:r>
      <w:r w:rsidRPr="000C3A57">
        <w:t>m</w:t>
      </w:r>
      <w:r w:rsidRPr="000C3A57">
        <w:t xml:space="preserve">steg gjorts i fråga om ökad öppenhet. </w:t>
      </w:r>
      <w:r w:rsidR="00284C15" w:rsidRPr="000C3A57">
        <w:t>Handlingar läggs numera ut på Internet liksom stenografiska uppteckningar från EU-nämndens samma</w:t>
      </w:r>
      <w:r w:rsidR="00284C15" w:rsidRPr="000C3A57">
        <w:t>n</w:t>
      </w:r>
      <w:r w:rsidR="00284C15" w:rsidRPr="000C3A57">
        <w:t>träden. Pressmeddelanden på svenska publiceras före o</w:t>
      </w:r>
      <w:r w:rsidR="00170C50" w:rsidRPr="000C3A57">
        <w:t xml:space="preserve">ch – på både svenska och engelska – </w:t>
      </w:r>
      <w:r w:rsidR="00284C15" w:rsidRPr="000C3A57">
        <w:t>efter EU-nämndens sammanträden. Sedan ett par år tillbaka äger normalt regeringens samråd inför Europeiska rådets möten rum offen</w:t>
      </w:r>
      <w:r w:rsidR="00284C15" w:rsidRPr="000C3A57">
        <w:t>t</w:t>
      </w:r>
      <w:r w:rsidR="00284C15" w:rsidRPr="000C3A57">
        <w:t>ligt i EU-nämnden. EU-nämnden välkomnar förslaget att EU-nämnden skall kunna besluta att också sammanträden inför ministerr</w:t>
      </w:r>
      <w:r w:rsidR="00284C15" w:rsidRPr="000C3A57">
        <w:t>å</w:t>
      </w:r>
      <w:r w:rsidR="00284C15" w:rsidRPr="000C3A57">
        <w:t xml:space="preserve">dets möten helt eller delvis skall vara offentliga. </w:t>
      </w:r>
      <w:r w:rsidR="00366DB3" w:rsidRPr="000C3A57">
        <w:t>Att även regeringens överläggningar med utsko</w:t>
      </w:r>
      <w:r w:rsidR="00366DB3" w:rsidRPr="000C3A57">
        <w:t>t</w:t>
      </w:r>
      <w:r w:rsidR="00366DB3" w:rsidRPr="000C3A57">
        <w:t xml:space="preserve">ten i EU-frågor skall kunna ske offentligt är ett angeläget förslag. </w:t>
      </w:r>
      <w:r w:rsidR="004A61F3" w:rsidRPr="000C3A57">
        <w:t>Allt</w:t>
      </w:r>
      <w:r w:rsidR="00170C50" w:rsidRPr="000C3A57">
        <w:t>fler frågor behandlas numera av min</w:t>
      </w:r>
      <w:r w:rsidR="00AD4923" w:rsidRPr="000C3A57">
        <w:t>i</w:t>
      </w:r>
      <w:r w:rsidR="00170C50" w:rsidRPr="000C3A57">
        <w:t>sterrådet o</w:t>
      </w:r>
      <w:r w:rsidR="00170C50" w:rsidRPr="000C3A57">
        <w:t>f</w:t>
      </w:r>
      <w:r w:rsidR="00170C50" w:rsidRPr="000C3A57">
        <w:t>fentligt, vilket enligt EU-nämndens mening är en viktig utveckling. Både på EU-nivå och på nationell nivå är det för den demokratiska förankringen av och förståelsen för EU-frågorna nö</w:t>
      </w:r>
      <w:r w:rsidR="00170C50" w:rsidRPr="000C3A57">
        <w:t>d</w:t>
      </w:r>
      <w:r w:rsidR="00170C50" w:rsidRPr="000C3A57">
        <w:t>vändigt att medborgarna får insyn i och kan följa verksamh</w:t>
      </w:r>
      <w:r w:rsidR="00170C50" w:rsidRPr="000C3A57">
        <w:t>e</w:t>
      </w:r>
      <w:r w:rsidR="00170C50" w:rsidRPr="000C3A57">
        <w:t>ten som ju ofta resulterar i lagstif</w:t>
      </w:r>
      <w:r w:rsidR="00170C50" w:rsidRPr="000C3A57">
        <w:t>t</w:t>
      </w:r>
      <w:r w:rsidR="00170C50" w:rsidRPr="000C3A57">
        <w:t xml:space="preserve">ning som </w:t>
      </w:r>
      <w:r w:rsidR="00D10A4D" w:rsidRPr="000C3A57">
        <w:t>rör enskilda.</w:t>
      </w:r>
      <w:r w:rsidR="00170C50" w:rsidRPr="000C3A57">
        <w:t xml:space="preserve"> </w:t>
      </w:r>
    </w:p>
    <w:p w:rsidR="00284C15" w:rsidRPr="000C3A57" w:rsidRDefault="00284C15" w:rsidP="007E5DF3">
      <w:pPr>
        <w:pStyle w:val="Rubrik4"/>
        <w:rPr>
          <w:noProof w:val="0"/>
        </w:rPr>
      </w:pPr>
      <w:bookmarkStart w:id="40" w:name="_Toc130983965"/>
      <w:r w:rsidRPr="000C3A57">
        <w:rPr>
          <w:noProof w:val="0"/>
        </w:rPr>
        <w:t>Subsidiaritetskontroll (avsnitt 3.3.6)</w:t>
      </w:r>
      <w:bookmarkEnd w:id="40"/>
    </w:p>
    <w:p w:rsidR="00284C15" w:rsidRPr="000C3A57" w:rsidRDefault="00284C15" w:rsidP="00905CB4">
      <w:pPr>
        <w:spacing w:before="125"/>
      </w:pPr>
      <w:r w:rsidRPr="000C3A57">
        <w:t xml:space="preserve">Som </w:t>
      </w:r>
      <w:r w:rsidR="0023664C" w:rsidRPr="000C3A57">
        <w:t>kommittén</w:t>
      </w:r>
      <w:r w:rsidRPr="000C3A57">
        <w:t xml:space="preserve"> framhåller finns det möjligheter att beakta subsidiaritetspri</w:t>
      </w:r>
      <w:r w:rsidRPr="000C3A57">
        <w:t>n</w:t>
      </w:r>
      <w:r w:rsidRPr="000C3A57">
        <w:t>cipen inom ramen för gällande reglering som utskotten kan ta till vara. Ko</w:t>
      </w:r>
      <w:r w:rsidRPr="000C3A57">
        <w:t>m</w:t>
      </w:r>
      <w:r w:rsidRPr="000C3A57">
        <w:t>mittén nämner i emellertid i detta avsnitt inte någonting om den subsidiar</w:t>
      </w:r>
      <w:r w:rsidRPr="000C3A57">
        <w:t>i</w:t>
      </w:r>
      <w:r w:rsidRPr="000C3A57">
        <w:t>tetskontroll som de facto sker vid regeringens samråd med EU-nämnden. Det förtjänar att påpekas att i sådana fall där EU-nämnden varit negativ till rege</w:t>
      </w:r>
      <w:r w:rsidRPr="000C3A57">
        <w:t>r</w:t>
      </w:r>
      <w:r w:rsidRPr="000C3A57">
        <w:t>ingens ståndpunkt har inställningen oftast berott på att majoriteten av ledam</w:t>
      </w:r>
      <w:r w:rsidRPr="000C3A57">
        <w:t>ö</w:t>
      </w:r>
      <w:r w:rsidRPr="000C3A57">
        <w:t>terna har ansett att frågan inte borde avgöras på EU-nivå utan på nationell nivå. Detta har bl.a. kommit till uttryck i fråga om turism, program på utbil</w:t>
      </w:r>
      <w:r w:rsidRPr="000C3A57">
        <w:t>d</w:t>
      </w:r>
      <w:r w:rsidRPr="000C3A57">
        <w:t>ningsområdet, grönboken om psykisk hälsa och vissa kulturfrågor. Diskussi</w:t>
      </w:r>
      <w:r w:rsidRPr="000C3A57">
        <w:t>o</w:t>
      </w:r>
      <w:r w:rsidRPr="000C3A57">
        <w:t xml:space="preserve">nen i EU-nämnden rör ofta frågan om ett förslag lämpligen bör hanteras på EU-nivå eller inte. </w:t>
      </w:r>
    </w:p>
    <w:p w:rsidR="00284C15" w:rsidRPr="000C3A57" w:rsidRDefault="00284C15" w:rsidP="00CF3BA9">
      <w:pPr>
        <w:pStyle w:val="Normaltindrag"/>
      </w:pPr>
      <w:r w:rsidRPr="000C3A57">
        <w:t>I olika sammanhang har framhållits att de nationella parlamenten – mot bakgrund av gällande fördragsreglering – kan införa en subsidiar</w:t>
      </w:r>
      <w:r w:rsidRPr="000C3A57">
        <w:t>i</w:t>
      </w:r>
      <w:r w:rsidRPr="000C3A57">
        <w:t xml:space="preserve">tetskontroll utan att det konstitutionella fördraget har trätt i kraft. </w:t>
      </w:r>
      <w:r w:rsidR="0023664C" w:rsidRPr="000C3A57">
        <w:t>Inom ramen för C</w:t>
      </w:r>
      <w:r w:rsidR="0023664C" w:rsidRPr="000C3A57">
        <w:t>O</w:t>
      </w:r>
      <w:r w:rsidR="0023664C" w:rsidRPr="000C3A57">
        <w:t xml:space="preserve">SAC har, som kommittén beskriver, pågått ett sådant försök. </w:t>
      </w:r>
      <w:r w:rsidRPr="000C3A57">
        <w:t>Avsikten är att förs</w:t>
      </w:r>
      <w:r w:rsidRPr="000C3A57">
        <w:t>ö</w:t>
      </w:r>
      <w:r w:rsidRPr="000C3A57">
        <w:t>ken skall fortsätta med de nationella parlament som är intre</w:t>
      </w:r>
      <w:r w:rsidRPr="000C3A57">
        <w:t>s</w:t>
      </w:r>
      <w:r w:rsidRPr="000C3A57">
        <w:t xml:space="preserve">serade av att delta.  Enligt EU-nämndens mening bör dock inte en </w:t>
      </w:r>
      <w:r w:rsidRPr="000C3A57">
        <w:rPr>
          <w:i/>
        </w:rPr>
        <w:t>formell</w:t>
      </w:r>
      <w:r w:rsidRPr="000C3A57">
        <w:t xml:space="preserve"> subsidiaritet</w:t>
      </w:r>
      <w:r w:rsidRPr="000C3A57">
        <w:t>s</w:t>
      </w:r>
      <w:r w:rsidRPr="000C3A57">
        <w:t>prövning införas i riksdagsordningen utan fördragsreglering. Det vore enligt EU-nämndens mening olämpligt att nu föregripa utgången av den reflektion</w:t>
      </w:r>
      <w:r w:rsidRPr="000C3A57">
        <w:t>s</w:t>
      </w:r>
      <w:r w:rsidRPr="000C3A57">
        <w:t>period om EU:s framtid som nu äger rum och eventuell framtida fördragsr</w:t>
      </w:r>
      <w:r w:rsidRPr="000C3A57">
        <w:t>e</w:t>
      </w:r>
      <w:r w:rsidRPr="000C3A57">
        <w:t xml:space="preserve">glering.     </w:t>
      </w:r>
    </w:p>
    <w:p w:rsidR="00284C15" w:rsidRPr="000C3A57" w:rsidRDefault="00284C15" w:rsidP="00267AE0">
      <w:pPr>
        <w:pStyle w:val="Rubrik3"/>
        <w:rPr>
          <w:noProof w:val="0"/>
        </w:rPr>
      </w:pPr>
      <w:bookmarkStart w:id="41" w:name="_Toc131556651"/>
      <w:bookmarkStart w:id="42" w:name="_Toc131556686"/>
      <w:bookmarkStart w:id="43" w:name="_Toc131556834"/>
      <w:bookmarkStart w:id="44" w:name="_Toc131574137"/>
      <w:r w:rsidRPr="000C3A57">
        <w:rPr>
          <w:noProof w:val="0"/>
        </w:rPr>
        <w:t>Regeringskonferenser och Europeiska rådet (avsnitt 3.4)</w:t>
      </w:r>
      <w:bookmarkEnd w:id="41"/>
      <w:bookmarkEnd w:id="42"/>
      <w:bookmarkEnd w:id="43"/>
      <w:bookmarkEnd w:id="44"/>
    </w:p>
    <w:p w:rsidR="00284C15" w:rsidRPr="000C3A57" w:rsidRDefault="00284C15" w:rsidP="00905CB4">
      <w:pPr>
        <w:spacing w:before="125"/>
        <w:rPr>
          <w:szCs w:val="24"/>
        </w:rPr>
      </w:pPr>
      <w:r w:rsidRPr="000C3A57">
        <w:rPr>
          <w:szCs w:val="24"/>
        </w:rPr>
        <w:t>Som kommittén konstaterar har samråd rörande Europeiska rådet och rege</w:t>
      </w:r>
      <w:r w:rsidRPr="000C3A57">
        <w:rPr>
          <w:szCs w:val="24"/>
        </w:rPr>
        <w:t>r</w:t>
      </w:r>
      <w:r w:rsidRPr="000C3A57">
        <w:rPr>
          <w:szCs w:val="24"/>
        </w:rPr>
        <w:t>ingskonferenser skett i EU-nämnden. Det välkomnas att den praxis som utbi</w:t>
      </w:r>
      <w:r w:rsidRPr="000C3A57">
        <w:rPr>
          <w:szCs w:val="24"/>
        </w:rPr>
        <w:t>l</w:t>
      </w:r>
      <w:r w:rsidRPr="000C3A57">
        <w:rPr>
          <w:szCs w:val="24"/>
        </w:rPr>
        <w:t>dats beträffande information och samråd inför möten med E</w:t>
      </w:r>
      <w:r w:rsidRPr="000C3A57">
        <w:rPr>
          <w:szCs w:val="24"/>
        </w:rPr>
        <w:t>u</w:t>
      </w:r>
      <w:r w:rsidRPr="000C3A57">
        <w:rPr>
          <w:szCs w:val="24"/>
        </w:rPr>
        <w:t xml:space="preserve">ropeiska rådet nu föreslås bli reglerad i riksdagsordningen. Beträffande </w:t>
      </w:r>
      <w:r w:rsidRPr="000C3A57">
        <w:rPr>
          <w:i/>
          <w:szCs w:val="24"/>
        </w:rPr>
        <w:t>regeringskonfere</w:t>
      </w:r>
      <w:r w:rsidRPr="000C3A57">
        <w:rPr>
          <w:i/>
          <w:szCs w:val="24"/>
        </w:rPr>
        <w:t>n</w:t>
      </w:r>
      <w:r w:rsidRPr="000C3A57">
        <w:rPr>
          <w:i/>
          <w:szCs w:val="24"/>
        </w:rPr>
        <w:t>serna</w:t>
      </w:r>
      <w:r w:rsidRPr="000C3A57">
        <w:rPr>
          <w:szCs w:val="24"/>
        </w:rPr>
        <w:t xml:space="preserve"> däremot föreslår kommittén att samråd utesl</w:t>
      </w:r>
      <w:r w:rsidRPr="000C3A57">
        <w:rPr>
          <w:szCs w:val="24"/>
        </w:rPr>
        <w:t>u</w:t>
      </w:r>
      <w:r w:rsidRPr="000C3A57">
        <w:rPr>
          <w:szCs w:val="24"/>
        </w:rPr>
        <w:t>tande skall äga rum i berört utskott. Även här har emellertid utbilda</w:t>
      </w:r>
      <w:r w:rsidR="004A61F3" w:rsidRPr="000C3A57">
        <w:rPr>
          <w:szCs w:val="24"/>
        </w:rPr>
        <w:t>ts en fast praxis under åren,</w:t>
      </w:r>
      <w:r w:rsidRPr="000C3A57">
        <w:rPr>
          <w:szCs w:val="24"/>
        </w:rPr>
        <w:t xml:space="preserve"> som har stadfästs i den tidigare Riksdagskommittén och i riksd</w:t>
      </w:r>
      <w:r w:rsidRPr="000C3A57">
        <w:rPr>
          <w:szCs w:val="24"/>
        </w:rPr>
        <w:t>a</w:t>
      </w:r>
      <w:r w:rsidRPr="000C3A57">
        <w:rPr>
          <w:szCs w:val="24"/>
        </w:rPr>
        <w:t xml:space="preserve">gen. </w:t>
      </w:r>
    </w:p>
    <w:p w:rsidR="00284C15" w:rsidRPr="000C3A57" w:rsidRDefault="00284C15" w:rsidP="00CF3BA9">
      <w:pPr>
        <w:pStyle w:val="Normaltindrag"/>
      </w:pPr>
      <w:r w:rsidRPr="000C3A57">
        <w:t>Som kommittén nämner är erfarenheterna från det sammansatta konstit</w:t>
      </w:r>
      <w:r w:rsidRPr="000C3A57">
        <w:t>u</w:t>
      </w:r>
      <w:r w:rsidRPr="000C3A57">
        <w:t>tions- och utrikesutskottet goda. Den formella riksdagsbehandlingen av rege</w:t>
      </w:r>
      <w:r w:rsidRPr="000C3A57">
        <w:t>r</w:t>
      </w:r>
      <w:r w:rsidRPr="000C3A57">
        <w:t>ingskonferensen om det konstitutionella fördraget ledde till ett brett engag</w:t>
      </w:r>
      <w:r w:rsidRPr="000C3A57">
        <w:t>e</w:t>
      </w:r>
      <w:r w:rsidRPr="000C3A57">
        <w:t>mang. Som emellertid uttalades i det sammansatta utskottets betä</w:t>
      </w:r>
      <w:r w:rsidRPr="000C3A57">
        <w:t>n</w:t>
      </w:r>
      <w:r w:rsidRPr="000C3A57">
        <w:t>kande (</w:t>
      </w:r>
      <w:r w:rsidR="004A61F3" w:rsidRPr="000C3A57">
        <w:t>bet.</w:t>
      </w:r>
      <w:r w:rsidR="00EA7FB3" w:rsidRPr="000C3A57">
        <w:t xml:space="preserve"> </w:t>
      </w:r>
      <w:r w:rsidR="004A61F3" w:rsidRPr="000C3A57">
        <w:t>2003/04:KUU1 s</w:t>
      </w:r>
      <w:r w:rsidR="00D80249" w:rsidRPr="000C3A57">
        <w:t>.</w:t>
      </w:r>
      <w:r w:rsidRPr="000C3A57">
        <w:t xml:space="preserve"> 43) var det angeläget att det fortsatta samrådet under rege</w:t>
      </w:r>
      <w:r w:rsidRPr="000C3A57">
        <w:t>r</w:t>
      </w:r>
      <w:r w:rsidRPr="000C3A57">
        <w:t>ingskonferensen fick äga rum i EU-nämnden. Det är just i slu</w:t>
      </w:r>
      <w:r w:rsidRPr="000C3A57">
        <w:t>t</w:t>
      </w:r>
      <w:r w:rsidRPr="000C3A57">
        <w:t>skedet av en regeringskonferens som sådana förhandlingstaktiska frågor gör sig gälla</w:t>
      </w:r>
      <w:r w:rsidRPr="000C3A57">
        <w:t>n</w:t>
      </w:r>
      <w:r w:rsidRPr="000C3A57">
        <w:t xml:space="preserve">de som kommittén uppmärksammat när det gäller det samråd som skall äga rum inför beslut i ministerrådet. </w:t>
      </w:r>
      <w:r w:rsidR="000631F8" w:rsidRPr="000C3A57">
        <w:t xml:space="preserve">EU-nämnden förordar </w:t>
      </w:r>
      <w:r w:rsidRPr="000C3A57">
        <w:t xml:space="preserve">att </w:t>
      </w:r>
      <w:r w:rsidR="000631F8" w:rsidRPr="000C3A57">
        <w:t>en bestämmelse i rik</w:t>
      </w:r>
      <w:r w:rsidR="000631F8" w:rsidRPr="000C3A57">
        <w:t>s</w:t>
      </w:r>
      <w:r w:rsidR="000631F8" w:rsidRPr="000C3A57">
        <w:t xml:space="preserve">dagsordningen införs om att </w:t>
      </w:r>
      <w:r w:rsidRPr="000C3A57">
        <w:rPr>
          <w:i/>
        </w:rPr>
        <w:t xml:space="preserve">regeringen </w:t>
      </w:r>
      <w:r w:rsidR="000631F8" w:rsidRPr="000C3A57">
        <w:rPr>
          <w:i/>
        </w:rPr>
        <w:t xml:space="preserve">också </w:t>
      </w:r>
      <w:r w:rsidRPr="000C3A57">
        <w:rPr>
          <w:i/>
        </w:rPr>
        <w:t>skall rådgöra med EU-nämnden inför förhandlingarna inom ramen för EU:s regeringsko</w:t>
      </w:r>
      <w:r w:rsidRPr="000C3A57">
        <w:rPr>
          <w:i/>
        </w:rPr>
        <w:t>n</w:t>
      </w:r>
      <w:r w:rsidRPr="000C3A57">
        <w:rPr>
          <w:i/>
        </w:rPr>
        <w:t>ferenser</w:t>
      </w:r>
      <w:r w:rsidRPr="000C3A57">
        <w:t xml:space="preserve">. </w:t>
      </w:r>
      <w:r w:rsidR="000631F8" w:rsidRPr="000C3A57">
        <w:t>Dessa regeringskonferenser äger för övrigt ofta rum i samband med Europ</w:t>
      </w:r>
      <w:r w:rsidR="000631F8" w:rsidRPr="000C3A57">
        <w:t>e</w:t>
      </w:r>
      <w:r w:rsidR="000631F8" w:rsidRPr="000C3A57">
        <w:t xml:space="preserve">iska rådets möten. Det nu sagda </w:t>
      </w:r>
      <w:r w:rsidRPr="000C3A57">
        <w:t xml:space="preserve"> hindrar inte att överläggningar på enskilda områden i en regeringskonferens kan och bör ske i berörda u</w:t>
      </w:r>
      <w:r w:rsidRPr="000C3A57">
        <w:t>t</w:t>
      </w:r>
      <w:r w:rsidRPr="000C3A57">
        <w:t xml:space="preserve">skott.  </w:t>
      </w:r>
    </w:p>
    <w:p w:rsidR="00284C15" w:rsidRPr="000C3A57" w:rsidRDefault="00284C15" w:rsidP="007E5DF3">
      <w:pPr>
        <w:pStyle w:val="Rubrik3"/>
        <w:rPr>
          <w:noProof w:val="0"/>
        </w:rPr>
      </w:pPr>
      <w:bookmarkStart w:id="45" w:name="_Toc130983966"/>
      <w:bookmarkStart w:id="46" w:name="_Toc131556652"/>
      <w:bookmarkStart w:id="47" w:name="_Toc131556687"/>
      <w:bookmarkStart w:id="48" w:name="_Toc131556835"/>
      <w:bookmarkStart w:id="49" w:name="_Toc131574138"/>
      <w:r w:rsidRPr="000C3A57">
        <w:rPr>
          <w:noProof w:val="0"/>
        </w:rPr>
        <w:t xml:space="preserve">Kontakter med andra </w:t>
      </w:r>
      <w:r w:rsidR="006B5E70" w:rsidRPr="000C3A57">
        <w:rPr>
          <w:noProof w:val="0"/>
        </w:rPr>
        <w:t>p</w:t>
      </w:r>
      <w:r w:rsidRPr="000C3A57">
        <w:rPr>
          <w:noProof w:val="0"/>
        </w:rPr>
        <w:t>arlament (avsnitt 3.6)</w:t>
      </w:r>
      <w:bookmarkEnd w:id="45"/>
      <w:bookmarkEnd w:id="46"/>
      <w:bookmarkEnd w:id="47"/>
      <w:bookmarkEnd w:id="48"/>
      <w:bookmarkEnd w:id="49"/>
    </w:p>
    <w:p w:rsidR="00284C15" w:rsidRPr="000C3A57" w:rsidRDefault="006B5E70" w:rsidP="00267AE0">
      <w:pPr>
        <w:pStyle w:val="Rubrik4"/>
        <w:rPr>
          <w:noProof w:val="0"/>
        </w:rPr>
      </w:pPr>
      <w:r w:rsidRPr="000C3A57">
        <w:rPr>
          <w:noProof w:val="0"/>
        </w:rPr>
        <w:t xml:space="preserve">Kontakter med </w:t>
      </w:r>
      <w:r w:rsidR="00284C15" w:rsidRPr="000C3A57">
        <w:rPr>
          <w:noProof w:val="0"/>
        </w:rPr>
        <w:t xml:space="preserve">nationella parlament </w:t>
      </w:r>
      <w:r w:rsidRPr="000C3A57">
        <w:rPr>
          <w:noProof w:val="0"/>
        </w:rPr>
        <w:t>m..m..</w:t>
      </w:r>
      <w:r w:rsidR="00284C15" w:rsidRPr="000C3A57">
        <w:rPr>
          <w:noProof w:val="0"/>
        </w:rPr>
        <w:t>(avsnitt 3.6.1)</w:t>
      </w:r>
    </w:p>
    <w:p w:rsidR="00284C15" w:rsidRPr="000C3A57" w:rsidRDefault="00284C15" w:rsidP="00905CB4">
      <w:pPr>
        <w:spacing w:before="125"/>
      </w:pPr>
      <w:r w:rsidRPr="000C3A57">
        <w:t>Här nämner kommittén det nya fördragets protokoll om de nationella parl</w:t>
      </w:r>
      <w:r w:rsidRPr="000C3A57">
        <w:t>a</w:t>
      </w:r>
      <w:r w:rsidRPr="000C3A57">
        <w:t>mentens roll i EU samt resor och IPEX. Ingenting nämns dock i detta sa</w:t>
      </w:r>
      <w:r w:rsidRPr="000C3A57">
        <w:t>m</w:t>
      </w:r>
      <w:r w:rsidRPr="000C3A57">
        <w:t>manhang om det parlamentariska samarbete som äger rum i COSAC. Detta regleras såväl i det konstitutionella fördragets protokoll som i det nu gälla</w:t>
      </w:r>
      <w:r w:rsidRPr="000C3A57">
        <w:t>n</w:t>
      </w:r>
      <w:r w:rsidRPr="000C3A57">
        <w:t xml:space="preserve">de protokollet (som är fogat till </w:t>
      </w:r>
      <w:r w:rsidR="0023664C" w:rsidRPr="000C3A57">
        <w:t>EU- och</w:t>
      </w:r>
      <w:r w:rsidRPr="000C3A57">
        <w:t xml:space="preserve"> EG- fördragen och som har samma status som fördragen) om de nationella parlamentens roll. COSAC kan e</w:t>
      </w:r>
      <w:r w:rsidRPr="000C3A57">
        <w:t>n</w:t>
      </w:r>
      <w:r w:rsidRPr="000C3A57">
        <w:t>ligt protokollet bl.a. skicka bidrag till EU:s institutioner. Led</w:t>
      </w:r>
      <w:r w:rsidRPr="000C3A57">
        <w:t>a</w:t>
      </w:r>
      <w:r w:rsidRPr="000C3A57">
        <w:t>möter från EU-nämnden och andra medlemsländers parlamentariska EU-organ liksom Eur</w:t>
      </w:r>
      <w:r w:rsidRPr="000C3A57">
        <w:t>o</w:t>
      </w:r>
      <w:r w:rsidRPr="000C3A57">
        <w:t xml:space="preserve">paparlamentet deltar regelbundet i COSAC-konferenserna.   </w:t>
      </w:r>
    </w:p>
    <w:p w:rsidR="00284C15" w:rsidRPr="000C3A57" w:rsidRDefault="006B5E70" w:rsidP="007E5DF3">
      <w:pPr>
        <w:pStyle w:val="Rubrik4"/>
        <w:rPr>
          <w:noProof w:val="0"/>
        </w:rPr>
      </w:pPr>
      <w:bookmarkStart w:id="50" w:name="_Toc130983967"/>
      <w:r w:rsidRPr="000C3A57">
        <w:rPr>
          <w:noProof w:val="0"/>
        </w:rPr>
        <w:t xml:space="preserve">Kontakter med </w:t>
      </w:r>
      <w:r w:rsidR="00284C15" w:rsidRPr="000C3A57">
        <w:rPr>
          <w:noProof w:val="0"/>
        </w:rPr>
        <w:t>Europaparlament</w:t>
      </w:r>
      <w:r w:rsidRPr="000C3A57">
        <w:rPr>
          <w:noProof w:val="0"/>
        </w:rPr>
        <w:t>ariker</w:t>
      </w:r>
      <w:r w:rsidR="00284C15" w:rsidRPr="000C3A57">
        <w:rPr>
          <w:noProof w:val="0"/>
        </w:rPr>
        <w:t xml:space="preserve"> (avsnitt 3.6.2)</w:t>
      </w:r>
      <w:bookmarkEnd w:id="50"/>
    </w:p>
    <w:p w:rsidR="00284C15" w:rsidRPr="000C3A57" w:rsidRDefault="00284C15" w:rsidP="00F41A04">
      <w:pPr>
        <w:spacing w:before="125"/>
      </w:pPr>
      <w:r w:rsidRPr="000C3A57">
        <w:t>Kommittén erinrar om den tidigare Riksdagskommitténs överväganden i dessa delar (förs.</w:t>
      </w:r>
      <w:r w:rsidR="00EA7FB3" w:rsidRPr="000C3A57">
        <w:t xml:space="preserve"> 2</w:t>
      </w:r>
      <w:r w:rsidRPr="000C3A57">
        <w:t>000/01:RS1) och framhåller hur värdefullt det är med goda kontakter mellan svenska Europaparlamentariker och riksdagens led</w:t>
      </w:r>
      <w:r w:rsidRPr="000C3A57">
        <w:t>a</w:t>
      </w:r>
      <w:r w:rsidRPr="000C3A57">
        <w:t>möter. Kommittén anser att utskotten kan behöva utveckla kontakterna med Europ</w:t>
      </w:r>
      <w:r w:rsidRPr="000C3A57">
        <w:t>a</w:t>
      </w:r>
      <w:r w:rsidRPr="000C3A57">
        <w:t xml:space="preserve">parlamentarikerna. Även för EU-nämndens del är detta angeläget. </w:t>
      </w:r>
    </w:p>
    <w:p w:rsidR="00284C15" w:rsidRPr="000C3A57" w:rsidRDefault="00284C15" w:rsidP="00CF3BA9">
      <w:pPr>
        <w:pStyle w:val="Normaltindrag"/>
      </w:pPr>
      <w:r w:rsidRPr="000C3A57">
        <w:t>Även om EU-nämndens beredning av EU-frågor gäller i första hand b</w:t>
      </w:r>
      <w:r w:rsidRPr="000C3A57">
        <w:t>e</w:t>
      </w:r>
      <w:r w:rsidRPr="000C3A57">
        <w:t>slutsfrågor på ministerrådets dagordning måste Europaparlamentets bere</w:t>
      </w:r>
      <w:r w:rsidRPr="000C3A57">
        <w:t>d</w:t>
      </w:r>
      <w:r w:rsidRPr="000C3A57">
        <w:t xml:space="preserve">ning av dessa frågor </w:t>
      </w:r>
      <w:r w:rsidR="00F41A04" w:rsidRPr="000C3A57">
        <w:t>bevakas och analyseras. På allt</w:t>
      </w:r>
      <w:r w:rsidR="00EA7FB3" w:rsidRPr="000C3A57">
        <w:t xml:space="preserve"> </w:t>
      </w:r>
      <w:r w:rsidRPr="000C3A57">
        <w:t>fler områden är Europaparl</w:t>
      </w:r>
      <w:r w:rsidRPr="000C3A57">
        <w:t>a</w:t>
      </w:r>
      <w:r w:rsidRPr="000C3A57">
        <w:t>mentet tillsammans med ministerrådet lagstiftare och medbesluta</w:t>
      </w:r>
      <w:r w:rsidRPr="000C3A57">
        <w:t>n</w:t>
      </w:r>
      <w:r w:rsidRPr="000C3A57">
        <w:t xml:space="preserve">de. </w:t>
      </w:r>
    </w:p>
    <w:p w:rsidR="00284C15" w:rsidRPr="000C3A57" w:rsidRDefault="00284C15" w:rsidP="00CF3BA9">
      <w:pPr>
        <w:pStyle w:val="Normaltindrag"/>
        <w:rPr>
          <w:i/>
        </w:rPr>
      </w:pPr>
      <w:r w:rsidRPr="000C3A57">
        <w:t>Några formella kontakter mellan EU-nämnden och de svenska Europapa</w:t>
      </w:r>
      <w:r w:rsidRPr="000C3A57">
        <w:t>r</w:t>
      </w:r>
      <w:r w:rsidRPr="000C3A57">
        <w:t>lamentarikerna har inte förekommit. I samband med studiebesök i Bry</w:t>
      </w:r>
      <w:r w:rsidRPr="000C3A57">
        <w:t>s</w:t>
      </w:r>
      <w:r w:rsidRPr="000C3A57">
        <w:t>sel av delegationer från EU-nämnden och gemensamma seminarier har dock mera informella sammanträffanden med Europaparlamentarikerna ägt rum. Tillä</w:t>
      </w:r>
      <w:r w:rsidRPr="000C3A57">
        <w:t>g</w:t>
      </w:r>
      <w:r w:rsidRPr="000C3A57">
        <w:t>gas kan att nämndens kansli efter en överenskommelse med partigruppskan</w:t>
      </w:r>
      <w:r w:rsidRPr="000C3A57">
        <w:t>s</w:t>
      </w:r>
      <w:r w:rsidRPr="000C3A57">
        <w:t>lierna översänder nämndens sammanträdeshandlingar till dessa för vidareb</w:t>
      </w:r>
      <w:r w:rsidRPr="000C3A57">
        <w:t>e</w:t>
      </w:r>
      <w:r w:rsidRPr="000C3A57">
        <w:t>fordran till Europaparlamentar</w:t>
      </w:r>
      <w:r w:rsidRPr="000C3A57">
        <w:t>i</w:t>
      </w:r>
      <w:r w:rsidRPr="000C3A57">
        <w:t xml:space="preserve">kerna. </w:t>
      </w:r>
    </w:p>
    <w:p w:rsidR="00284C15" w:rsidRPr="000C3A57" w:rsidRDefault="00284C15" w:rsidP="00CF3BA9">
      <w:pPr>
        <w:pStyle w:val="Normaltindrag"/>
        <w:rPr>
          <w:szCs w:val="24"/>
        </w:rPr>
      </w:pPr>
      <w:r w:rsidRPr="000C3A57">
        <w:t>I den mån EU-nämndens sammanträden i framtiden kommer att vara o</w:t>
      </w:r>
      <w:r w:rsidRPr="000C3A57">
        <w:t>f</w:t>
      </w:r>
      <w:r w:rsidRPr="000C3A57">
        <w:t>fentliga kan naturligtvis Europaparlamentariker närvara vid sammantr</w:t>
      </w:r>
      <w:r w:rsidRPr="000C3A57">
        <w:t>ä</w:t>
      </w:r>
      <w:r w:rsidRPr="000C3A57">
        <w:t>dena. Även i övrigt har EU-nämnden möjlighet att bjuda in svenska Europaparl</w:t>
      </w:r>
      <w:r w:rsidRPr="000C3A57">
        <w:t>a</w:t>
      </w:r>
      <w:r w:rsidRPr="000C3A57">
        <w:t>mentariker till sammanträden. Detta är ganska vanligt i andra me</w:t>
      </w:r>
      <w:r w:rsidRPr="000C3A57">
        <w:t>d</w:t>
      </w:r>
      <w:r w:rsidRPr="000C3A57">
        <w:t>lemsländers parlament och bidrar till att knyta ihop frågorna när Europapa</w:t>
      </w:r>
      <w:r w:rsidRPr="000C3A57">
        <w:t>r</w:t>
      </w:r>
      <w:r w:rsidRPr="000C3A57">
        <w:t>lamentet på allt</w:t>
      </w:r>
      <w:r w:rsidR="00EA7FB3" w:rsidRPr="000C3A57">
        <w:t xml:space="preserve"> </w:t>
      </w:r>
      <w:r w:rsidRPr="000C3A57">
        <w:t>fler</w:t>
      </w:r>
      <w:r w:rsidR="00CF3BA9" w:rsidRPr="000C3A57">
        <w:t xml:space="preserve"> </w:t>
      </w:r>
      <w:r w:rsidRPr="000C3A57">
        <w:rPr>
          <w:szCs w:val="24"/>
        </w:rPr>
        <w:t>områden blivit medbeslutande.</w:t>
      </w:r>
    </w:p>
    <w:p w:rsidR="00284C15" w:rsidRPr="000C3A57" w:rsidRDefault="00284C15" w:rsidP="00267AE0">
      <w:pPr>
        <w:pStyle w:val="Rubrik2"/>
      </w:pPr>
      <w:bookmarkStart w:id="51" w:name="_Toc130983968"/>
      <w:bookmarkStart w:id="52" w:name="_Toc131556653"/>
      <w:bookmarkStart w:id="53" w:name="_Toc131556688"/>
      <w:bookmarkStart w:id="54" w:name="_Toc131556836"/>
      <w:bookmarkStart w:id="55" w:name="_Toc131556885"/>
      <w:bookmarkStart w:id="56" w:name="_Toc131574139"/>
      <w:r w:rsidRPr="000C3A57">
        <w:t>Riksdagens interparlamentarisk</w:t>
      </w:r>
      <w:r w:rsidRPr="000C3A57">
        <w:rPr>
          <w:rStyle w:val="R2Char"/>
        </w:rPr>
        <w:t>a</w:t>
      </w:r>
      <w:r w:rsidRPr="000C3A57">
        <w:t xml:space="preserve"> samarbete (avsnitt 4)</w:t>
      </w:r>
      <w:bookmarkEnd w:id="51"/>
      <w:bookmarkEnd w:id="52"/>
      <w:bookmarkEnd w:id="53"/>
      <w:bookmarkEnd w:id="54"/>
      <w:bookmarkEnd w:id="55"/>
      <w:bookmarkEnd w:id="56"/>
    </w:p>
    <w:p w:rsidR="00284C15" w:rsidRPr="000C3A57" w:rsidRDefault="00284C15" w:rsidP="00905CB4">
      <w:pPr>
        <w:spacing w:before="0"/>
        <w:rPr>
          <w:szCs w:val="24"/>
        </w:rPr>
      </w:pPr>
      <w:r w:rsidRPr="000C3A57">
        <w:rPr>
          <w:szCs w:val="24"/>
        </w:rPr>
        <w:t>Här redovisas inte bara deltagande i de s.k. parlamentariska församlin</w:t>
      </w:r>
      <w:r w:rsidRPr="000C3A57">
        <w:rPr>
          <w:szCs w:val="24"/>
        </w:rPr>
        <w:t>g</w:t>
      </w:r>
      <w:r w:rsidRPr="000C3A57">
        <w:rPr>
          <w:szCs w:val="24"/>
        </w:rPr>
        <w:t>arna utan även annat interparlamentariskt EU-samarbete, t.ex. talmanskonf</w:t>
      </w:r>
      <w:r w:rsidRPr="000C3A57">
        <w:rPr>
          <w:szCs w:val="24"/>
        </w:rPr>
        <w:t>e</w:t>
      </w:r>
      <w:r w:rsidRPr="000C3A57">
        <w:rPr>
          <w:szCs w:val="24"/>
        </w:rPr>
        <w:t>renser och IPEX. Inte heller i detta sammanhang nämns COSAC vilket, som fra</w:t>
      </w:r>
      <w:r w:rsidRPr="000C3A57">
        <w:rPr>
          <w:szCs w:val="24"/>
        </w:rPr>
        <w:t>m</w:t>
      </w:r>
      <w:r w:rsidRPr="000C3A57">
        <w:rPr>
          <w:szCs w:val="24"/>
        </w:rPr>
        <w:t>gått i det föregående, är ett fördragsreglerat samarbete mellan nationella pa</w:t>
      </w:r>
      <w:r w:rsidRPr="000C3A57">
        <w:rPr>
          <w:szCs w:val="24"/>
        </w:rPr>
        <w:t>r</w:t>
      </w:r>
      <w:r w:rsidRPr="000C3A57">
        <w:rPr>
          <w:szCs w:val="24"/>
        </w:rPr>
        <w:t>laments EU-organ och Europaparlamentet.</w:t>
      </w:r>
    </w:p>
    <w:p w:rsidR="00284C15" w:rsidRPr="000C3A57" w:rsidRDefault="00284C15" w:rsidP="00D85BAE">
      <w:pPr>
        <w:pStyle w:val="Rubrik2"/>
        <w:rPr>
          <w:spacing w:val="-4"/>
          <w:szCs w:val="27"/>
        </w:rPr>
      </w:pPr>
      <w:bookmarkStart w:id="57" w:name="_Toc130983969"/>
      <w:bookmarkStart w:id="58" w:name="_Toc131556654"/>
      <w:bookmarkStart w:id="59" w:name="_Toc131556689"/>
      <w:bookmarkStart w:id="60" w:name="_Toc131556837"/>
      <w:bookmarkStart w:id="61" w:name="_Toc131556886"/>
      <w:bookmarkStart w:id="62" w:name="_Toc131574140"/>
      <w:r w:rsidRPr="000C3A57">
        <w:rPr>
          <w:spacing w:val="-4"/>
          <w:szCs w:val="27"/>
        </w:rPr>
        <w:t>Förslag till lag om ändring i riksdagsordningen (bilaga</w:t>
      </w:r>
      <w:r w:rsidR="00D85BAE" w:rsidRPr="000C3A57">
        <w:rPr>
          <w:spacing w:val="-4"/>
          <w:szCs w:val="27"/>
        </w:rPr>
        <w:t> </w:t>
      </w:r>
      <w:r w:rsidRPr="000C3A57">
        <w:rPr>
          <w:spacing w:val="-4"/>
          <w:szCs w:val="27"/>
        </w:rPr>
        <w:t>1)</w:t>
      </w:r>
      <w:bookmarkEnd w:id="57"/>
      <w:bookmarkEnd w:id="58"/>
      <w:bookmarkEnd w:id="59"/>
      <w:bookmarkEnd w:id="60"/>
      <w:bookmarkEnd w:id="61"/>
      <w:bookmarkEnd w:id="62"/>
    </w:p>
    <w:p w:rsidR="00284C15" w:rsidRPr="000C3A57" w:rsidRDefault="00284C15" w:rsidP="00905CB4">
      <w:pPr>
        <w:spacing w:before="0"/>
      </w:pPr>
      <w:r w:rsidRPr="000C3A57">
        <w:t>I det föregående har EU-nämnden kom</w:t>
      </w:r>
      <w:r w:rsidR="00F41A04" w:rsidRPr="000C3A57">
        <w:t>menterat de</w:t>
      </w:r>
      <w:r w:rsidRPr="000C3A57">
        <w:t xml:space="preserve"> föreslagna lagförsl</w:t>
      </w:r>
      <w:r w:rsidRPr="000C3A57">
        <w:t>a</w:t>
      </w:r>
      <w:r w:rsidRPr="000C3A57">
        <w:t>gen och påtalat vissa oklarheter och brister. När det gäller riksdagsor</w:t>
      </w:r>
      <w:r w:rsidRPr="000C3A57">
        <w:t>d</w:t>
      </w:r>
      <w:r w:rsidRPr="000C3A57">
        <w:t>ningen i övrigt vill EU-nämnden ta tillfället i akt och för</w:t>
      </w:r>
      <w:r w:rsidR="00F41A04" w:rsidRPr="000C3A57">
        <w:t>e</w:t>
      </w:r>
      <w:r w:rsidRPr="000C3A57">
        <w:t>slå vissa angelägna än</w:t>
      </w:r>
      <w:r w:rsidRPr="000C3A57">
        <w:t>d</w:t>
      </w:r>
      <w:r w:rsidRPr="000C3A57">
        <w:t>ringar som har bäring på såväl EU-nämndens som utskottens ver</w:t>
      </w:r>
      <w:r w:rsidRPr="000C3A57">
        <w:t>k</w:t>
      </w:r>
      <w:r w:rsidRPr="000C3A57">
        <w:t>samhet. Det gäller dels frågan om ersättare för suppleant i EU-nämnden, dels frågan om möjli</w:t>
      </w:r>
      <w:r w:rsidRPr="000C3A57">
        <w:t>g</w:t>
      </w:r>
      <w:r w:rsidRPr="000C3A57">
        <w:t>heten för riksdagens tjänstemän att närvara vid sammanträde med annat u</w:t>
      </w:r>
      <w:r w:rsidRPr="000C3A57">
        <w:t>t</w:t>
      </w:r>
      <w:r w:rsidRPr="000C3A57">
        <w:t>skott.</w:t>
      </w:r>
    </w:p>
    <w:p w:rsidR="00284C15" w:rsidRPr="000C3A57" w:rsidRDefault="00284C15" w:rsidP="00CF3BA9">
      <w:pPr>
        <w:pStyle w:val="Normaltindrag"/>
      </w:pPr>
      <w:r w:rsidRPr="000C3A57">
        <w:t xml:space="preserve">Suppleantval regleras </w:t>
      </w:r>
      <w:r w:rsidR="00F41A04" w:rsidRPr="000C3A57">
        <w:t xml:space="preserve">i 7 kap. 8 § riksdagordningen. </w:t>
      </w:r>
      <w:r w:rsidR="0023664C" w:rsidRPr="000C3A57">
        <w:t>I tredje stycket för</w:t>
      </w:r>
      <w:r w:rsidR="0023664C" w:rsidRPr="000C3A57">
        <w:t>e</w:t>
      </w:r>
      <w:r w:rsidR="0023664C" w:rsidRPr="000C3A57">
        <w:t>skrivs att ersättare som har kallats till tjänstg</w:t>
      </w:r>
      <w:r w:rsidR="0023664C" w:rsidRPr="000C3A57">
        <w:t>ö</w:t>
      </w:r>
      <w:r w:rsidR="0023664C" w:rsidRPr="000C3A57">
        <w:t>ring får utses till suppleant i ett utskott som den lediga riksdagsledamoten tillhör, förutsatt att antalet suppl</w:t>
      </w:r>
      <w:r w:rsidR="0023664C" w:rsidRPr="000C3A57">
        <w:t>e</w:t>
      </w:r>
      <w:r w:rsidR="0023664C" w:rsidRPr="000C3A57">
        <w:t xml:space="preserve">anter i utskottet inte utökas.  </w:t>
      </w:r>
      <w:r w:rsidR="005A581A" w:rsidRPr="000C3A57">
        <w:t>Bestämmelsen gäller bara suppleanter i utsko</w:t>
      </w:r>
      <w:r w:rsidR="005A581A" w:rsidRPr="000C3A57">
        <w:t>t</w:t>
      </w:r>
      <w:r w:rsidR="005A581A" w:rsidRPr="000C3A57">
        <w:t xml:space="preserve">ten. </w:t>
      </w:r>
      <w:r w:rsidRPr="000C3A57">
        <w:t xml:space="preserve"> Det är emellertid angeläget att bestämmelsen kan tillämpas oc</w:t>
      </w:r>
      <w:r w:rsidRPr="000C3A57">
        <w:t>k</w:t>
      </w:r>
      <w:r w:rsidRPr="000C3A57">
        <w:t xml:space="preserve">så på </w:t>
      </w:r>
      <w:r w:rsidR="005A581A" w:rsidRPr="000C3A57">
        <w:t xml:space="preserve">suppleanter i </w:t>
      </w:r>
      <w:r w:rsidRPr="000C3A57">
        <w:t>EU-nämnden.</w:t>
      </w:r>
      <w:r w:rsidR="008256D1" w:rsidRPr="000C3A57">
        <w:t xml:space="preserve"> Riksdagsordningen bör således än</w:t>
      </w:r>
      <w:r w:rsidR="008256D1" w:rsidRPr="000C3A57">
        <w:t>d</w:t>
      </w:r>
      <w:r w:rsidR="008256D1" w:rsidRPr="000C3A57">
        <w:t>ras så att detta kan ske.</w:t>
      </w:r>
    </w:p>
    <w:p w:rsidR="00284C15" w:rsidRPr="000C3A57" w:rsidRDefault="00284C15" w:rsidP="00CF3BA9">
      <w:pPr>
        <w:pStyle w:val="Normaltindrag"/>
      </w:pPr>
      <w:r w:rsidRPr="000C3A57">
        <w:t>Utomståendes närvaro v</w:t>
      </w:r>
      <w:r w:rsidR="00F41A04" w:rsidRPr="000C3A57">
        <w:t>id sammanträde med utskott respektive</w:t>
      </w:r>
      <w:r w:rsidRPr="000C3A57">
        <w:t xml:space="preserve"> EU-nämnden re</w:t>
      </w:r>
      <w:r w:rsidR="00F41A04" w:rsidRPr="000C3A57">
        <w:t>gleras i 4 kap. 13 § respektive</w:t>
      </w:r>
      <w:r w:rsidRPr="000C3A57">
        <w:t xml:space="preserve"> 10 kap. 7 § rik</w:t>
      </w:r>
      <w:r w:rsidRPr="000C3A57">
        <w:t>s</w:t>
      </w:r>
      <w:r w:rsidRPr="000C3A57">
        <w:t xml:space="preserve">dagsordningen. I fråga om utskott gäller att det skall finnas </w:t>
      </w:r>
      <w:r w:rsidRPr="000C3A57">
        <w:rPr>
          <w:i/>
        </w:rPr>
        <w:t>särskilda skäl,</w:t>
      </w:r>
      <w:r w:rsidRPr="000C3A57">
        <w:t xml:space="preserve"> vilket inte gäller för nä</w:t>
      </w:r>
      <w:r w:rsidRPr="000C3A57">
        <w:t>r</w:t>
      </w:r>
      <w:r w:rsidRPr="000C3A57">
        <w:t>varo i EU-nämnden. Enligt kommitténs förslag skall utskotten ta en aktiv del av arbetet i EU-frågor. Detta kräver en ökad grad av samspel mellan u</w:t>
      </w:r>
      <w:r w:rsidRPr="000C3A57">
        <w:t>t</w:t>
      </w:r>
      <w:r w:rsidRPr="000C3A57">
        <w:t xml:space="preserve">skotten och EU-nämnden. </w:t>
      </w:r>
      <w:r w:rsidR="004D22B4" w:rsidRPr="000C3A57">
        <w:t>Ofta förekommer underhandsko</w:t>
      </w:r>
      <w:r w:rsidR="004D22B4" w:rsidRPr="000C3A57">
        <w:t>n</w:t>
      </w:r>
      <w:r w:rsidR="004D22B4" w:rsidRPr="000C3A57">
        <w:t xml:space="preserve">takter mellan EU-nämndens kansli och utskottskanslierna. </w:t>
      </w:r>
      <w:r w:rsidRPr="000C3A57">
        <w:t>Det finns dä</w:t>
      </w:r>
      <w:r w:rsidRPr="000C3A57">
        <w:t>r</w:t>
      </w:r>
      <w:r w:rsidRPr="000C3A57">
        <w:t xml:space="preserve">för ett särskilt behov för EU-nämndens </w:t>
      </w:r>
      <w:r w:rsidR="00BB7C5F" w:rsidRPr="000C3A57">
        <w:t xml:space="preserve">tjänstemän </w:t>
      </w:r>
      <w:r w:rsidRPr="000C3A57">
        <w:t xml:space="preserve"> att </w:t>
      </w:r>
      <w:r w:rsidR="004D22B4" w:rsidRPr="000C3A57">
        <w:t xml:space="preserve">också </w:t>
      </w:r>
      <w:r w:rsidRPr="000C3A57">
        <w:t>få närvara vid u</w:t>
      </w:r>
      <w:r w:rsidRPr="000C3A57">
        <w:t>t</w:t>
      </w:r>
      <w:r w:rsidRPr="000C3A57">
        <w:t>skottens sammanträden i de delar dessa behandlar EU-frågor. Kr</w:t>
      </w:r>
      <w:r w:rsidRPr="000C3A57">
        <w:t>a</w:t>
      </w:r>
      <w:r w:rsidRPr="000C3A57">
        <w:t>vet på särskilda skäl i 4 kap. 13 § riksdag</w:t>
      </w:r>
      <w:r w:rsidRPr="000C3A57">
        <w:t>s</w:t>
      </w:r>
      <w:r w:rsidRPr="000C3A57">
        <w:t xml:space="preserve">ordningen bör därför tas bort.  </w:t>
      </w:r>
    </w:p>
    <w:p w:rsidR="00284C15" w:rsidRPr="000C3A57" w:rsidRDefault="00284C15" w:rsidP="00284C15">
      <w:pPr>
        <w:rPr>
          <w:sz w:val="20"/>
        </w:rPr>
      </w:pPr>
    </w:p>
    <w:p w:rsidR="00284C15" w:rsidRPr="000C3A57" w:rsidRDefault="00284C15" w:rsidP="00284C15">
      <w:r w:rsidRPr="000C3A57">
        <w:t>Stockholm den 24 mars 2006</w:t>
      </w:r>
    </w:p>
    <w:p w:rsidR="004C6C95" w:rsidRPr="000C3A57" w:rsidRDefault="004C6C95" w:rsidP="00284C15"/>
    <w:p w:rsidR="00284C15" w:rsidRPr="000C3A57" w:rsidRDefault="00284C15" w:rsidP="00284C15">
      <w:r w:rsidRPr="000C3A57">
        <w:t>På EU-nämndens vägnar</w:t>
      </w:r>
    </w:p>
    <w:p w:rsidR="00284C15" w:rsidRPr="000C3A57" w:rsidRDefault="00284C15" w:rsidP="00284C15"/>
    <w:p w:rsidR="00284C15" w:rsidRPr="000C3A57" w:rsidRDefault="00284C15" w:rsidP="00284C15">
      <w:pPr>
        <w:rPr>
          <w:i/>
        </w:rPr>
      </w:pPr>
      <w:r w:rsidRPr="000C3A57">
        <w:rPr>
          <w:i/>
        </w:rPr>
        <w:t xml:space="preserve">Tommy Waidelich </w:t>
      </w:r>
    </w:p>
    <w:p w:rsidR="004B611C" w:rsidRPr="000C3A57" w:rsidRDefault="004B611C" w:rsidP="001728E5"/>
    <w:p w:rsidR="00C728A1" w:rsidRPr="000C3A57" w:rsidRDefault="001728E5" w:rsidP="001728E5">
      <w:r w:rsidRPr="000C3A57">
        <w:t>Följande ledamöter har deltagit i beslutet:</w:t>
      </w:r>
      <w:r w:rsidR="004B611C" w:rsidRPr="000C3A57">
        <w:t xml:space="preserve"> </w:t>
      </w:r>
      <w:r w:rsidR="007F48AF" w:rsidRPr="000C3A57">
        <w:t>Tommy Waidelich (s)</w:t>
      </w:r>
      <w:r w:rsidRPr="000C3A57">
        <w:t xml:space="preserve">, </w:t>
      </w:r>
      <w:r w:rsidR="006646CF" w:rsidRPr="000C3A57">
        <w:t xml:space="preserve">Carl B Hamilton (fp), Sonia Karlsson (s), </w:t>
      </w:r>
      <w:r w:rsidRPr="000C3A57">
        <w:t>Joe Frans (s), Hillevi Larsson (s), Mats Odell (kd), Lennart Hedquist (m), Karin Gra</w:t>
      </w:r>
      <w:r w:rsidRPr="000C3A57">
        <w:t>n</w:t>
      </w:r>
      <w:r w:rsidRPr="000C3A57">
        <w:t>bom (fp), Fredrik Olovsson (s), Ulf Holm (mp), Lars L</w:t>
      </w:r>
      <w:r w:rsidR="00C23C88" w:rsidRPr="000C3A57">
        <w:t>ilja (s), Eva Arvid</w:t>
      </w:r>
      <w:r w:rsidR="00C23C88" w:rsidRPr="000C3A57">
        <w:t>s</w:t>
      </w:r>
      <w:r w:rsidR="00C23C88" w:rsidRPr="000C3A57">
        <w:t xml:space="preserve">son (s), </w:t>
      </w:r>
      <w:r w:rsidRPr="000C3A57">
        <w:t xml:space="preserve">Börje Vestlund (s), </w:t>
      </w:r>
      <w:r w:rsidR="00C23C88" w:rsidRPr="000C3A57">
        <w:t xml:space="preserve">Henrik von Sydow (m), </w:t>
      </w:r>
      <w:r w:rsidRPr="000C3A57">
        <w:t xml:space="preserve">Björn Hamilton (m), Eskil Erlandsson </w:t>
      </w:r>
      <w:bookmarkStart w:id="63" w:name="Nästa_Hpunkt"/>
      <w:bookmarkEnd w:id="63"/>
      <w:r w:rsidRPr="000C3A57">
        <w:t>(c) och Karin Tho</w:t>
      </w:r>
      <w:r w:rsidRPr="000C3A57">
        <w:t>r</w:t>
      </w:r>
      <w:r w:rsidRPr="000C3A57">
        <w:t>borg (v).</w:t>
      </w:r>
    </w:p>
    <w:p w:rsidR="00C728A1" w:rsidRPr="000C3A57" w:rsidRDefault="00C728A1" w:rsidP="00C728A1">
      <w:pPr>
        <w:pStyle w:val="Normaltindrag"/>
      </w:pPr>
    </w:p>
    <w:p w:rsidR="00C728A1" w:rsidRPr="000C3A57" w:rsidRDefault="00C728A1" w:rsidP="00C728A1">
      <w:pPr>
        <w:pStyle w:val="Normaltindrag"/>
        <w:sectPr w:rsidR="00C728A1" w:rsidRPr="000C3A57" w:rsidSect="003E30D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64" w:name="Ordförande"/>
      <w:bookmarkStart w:id="65" w:name="Deltagare"/>
      <w:bookmarkEnd w:id="64"/>
      <w:bookmarkEnd w:id="65"/>
    </w:p>
    <w:p w:rsidR="00DA15CE" w:rsidRPr="000C3A57" w:rsidRDefault="005F2643" w:rsidP="005F2643">
      <w:pPr>
        <w:pStyle w:val="Rubrik1"/>
        <w:rPr>
          <w:noProof w:val="0"/>
        </w:rPr>
      </w:pPr>
      <w:bookmarkStart w:id="66" w:name="Nästa_Reservation"/>
      <w:bookmarkStart w:id="67" w:name="_Toc130983970"/>
      <w:bookmarkStart w:id="68" w:name="_Toc131556655"/>
      <w:bookmarkStart w:id="69" w:name="_Toc131556690"/>
      <w:bookmarkStart w:id="70" w:name="_Toc131556838"/>
      <w:bookmarkStart w:id="71" w:name="_Toc131556887"/>
      <w:bookmarkStart w:id="72" w:name="_Toc131574141"/>
      <w:bookmarkEnd w:id="66"/>
      <w:r w:rsidRPr="000C3A57">
        <w:rPr>
          <w:noProof w:val="0"/>
        </w:rPr>
        <w:t>Avvikande mening</w:t>
      </w:r>
      <w:bookmarkEnd w:id="67"/>
      <w:bookmarkEnd w:id="68"/>
      <w:bookmarkEnd w:id="69"/>
      <w:bookmarkEnd w:id="70"/>
      <w:bookmarkEnd w:id="71"/>
      <w:bookmarkEnd w:id="72"/>
    </w:p>
    <w:p w:rsidR="00C25035" w:rsidRPr="000C3A57" w:rsidRDefault="003C1C5C" w:rsidP="00C25035">
      <w:r w:rsidRPr="000C3A57">
        <w:t>Ulf Holm (mp) anför:</w:t>
      </w:r>
    </w:p>
    <w:p w:rsidR="003C1C5C" w:rsidRPr="000C3A57" w:rsidRDefault="003C1C5C" w:rsidP="003C1C5C">
      <w:pPr>
        <w:pStyle w:val="Normaltindrag"/>
      </w:pPr>
    </w:p>
    <w:p w:rsidR="003C1C5C" w:rsidRPr="000C3A57" w:rsidRDefault="00E12733" w:rsidP="003C1C5C">
      <w:pPr>
        <w:autoSpaceDE w:val="0"/>
        <w:autoSpaceDN w:val="0"/>
        <w:adjustRightInd w:val="0"/>
        <w:spacing w:line="240" w:lineRule="atLeast"/>
        <w:rPr>
          <w:color w:val="000000"/>
        </w:rPr>
      </w:pPr>
      <w:r w:rsidRPr="000C3A57">
        <w:rPr>
          <w:color w:val="000000"/>
        </w:rPr>
        <w:t>Miljöpartiet de g</w:t>
      </w:r>
      <w:r w:rsidR="003C1C5C" w:rsidRPr="000C3A57">
        <w:rPr>
          <w:color w:val="000000"/>
        </w:rPr>
        <w:t>rönas grundinställning är att EU-nämnden bör avvecklas och att regeringens informations- och samrådsfö</w:t>
      </w:r>
      <w:r w:rsidR="003C1C5C" w:rsidRPr="000C3A57">
        <w:rPr>
          <w:color w:val="000000"/>
        </w:rPr>
        <w:t>r</w:t>
      </w:r>
      <w:r w:rsidR="003C1C5C" w:rsidRPr="000C3A57">
        <w:rPr>
          <w:color w:val="000000"/>
        </w:rPr>
        <w:t>farande i</w:t>
      </w:r>
      <w:r w:rsidRPr="000C3A57">
        <w:rPr>
          <w:color w:val="000000"/>
        </w:rPr>
        <w:t xml:space="preserve"> </w:t>
      </w:r>
      <w:r w:rsidR="003C1C5C" w:rsidRPr="000C3A57">
        <w:rPr>
          <w:color w:val="000000"/>
        </w:rPr>
        <w:t>stället ska</w:t>
      </w:r>
      <w:r w:rsidRPr="000C3A57">
        <w:rPr>
          <w:color w:val="000000"/>
        </w:rPr>
        <w:t>ll</w:t>
      </w:r>
      <w:r w:rsidR="003C1C5C" w:rsidRPr="000C3A57">
        <w:rPr>
          <w:color w:val="000000"/>
        </w:rPr>
        <w:t xml:space="preserve"> ske direkt med ansvarigt sakutskott. </w:t>
      </w:r>
    </w:p>
    <w:p w:rsidR="003C1C5C" w:rsidRPr="000C3A57" w:rsidRDefault="003C1C5C" w:rsidP="003C1C5C">
      <w:pPr>
        <w:pStyle w:val="Normaltindrag"/>
        <w:rPr>
          <w:color w:val="000000"/>
        </w:rPr>
      </w:pPr>
      <w:r w:rsidRPr="000C3A57">
        <w:t>Bakgrunden är att Sveriges EU-medlemskap inte i dess nuvarande or</w:t>
      </w:r>
      <w:r w:rsidRPr="000C3A57">
        <w:t>d</w:t>
      </w:r>
      <w:r w:rsidRPr="000C3A57">
        <w:t>ning garanterar riksdagens insyn, inflytande och kontroll. Det svenska EU-medlemskapet har påverkat maktfördelningen mellan riksdag och rege</w:t>
      </w:r>
      <w:r w:rsidRPr="000C3A57">
        <w:t>r</w:t>
      </w:r>
      <w:r w:rsidRPr="000C3A57">
        <w:t>ing till nackdel för riksdagen och därmed folkstyret och den fria åsiktsbildnin</w:t>
      </w:r>
      <w:r w:rsidRPr="000C3A57">
        <w:t>g</w:t>
      </w:r>
      <w:r w:rsidRPr="000C3A57">
        <w:t>en. EU:s beslutsprocesser berövar i</w:t>
      </w:r>
      <w:r w:rsidR="00E12733" w:rsidRPr="000C3A57">
        <w:t xml:space="preserve"> dag riksdagen</w:t>
      </w:r>
      <w:r w:rsidRPr="000C3A57">
        <w:t xml:space="preserve"> dess roll som folkets främ</w:t>
      </w:r>
      <w:r w:rsidRPr="000C3A57">
        <w:t>s</w:t>
      </w:r>
      <w:r w:rsidRPr="000C3A57">
        <w:t xml:space="preserve">ta företrädare. </w:t>
      </w:r>
    </w:p>
    <w:p w:rsidR="003C1C5C" w:rsidRPr="000C3A57" w:rsidRDefault="003C1C5C" w:rsidP="003C1C5C">
      <w:pPr>
        <w:pStyle w:val="Normaltindrag"/>
      </w:pPr>
      <w:r w:rsidRPr="000C3A57">
        <w:t>Med anledning av EU-medlemskapet inrättades EU-nämnden. Riksd</w:t>
      </w:r>
      <w:r w:rsidRPr="000C3A57">
        <w:t>a</w:t>
      </w:r>
      <w:r w:rsidRPr="000C3A57">
        <w:t>gen ska</w:t>
      </w:r>
      <w:r w:rsidR="00D81754" w:rsidRPr="000C3A57">
        <w:t>ll</w:t>
      </w:r>
      <w:r w:rsidRPr="000C3A57">
        <w:t xml:space="preserve"> genom samrådsförfarandet få insyn, infl</w:t>
      </w:r>
      <w:r w:rsidRPr="000C3A57">
        <w:t>y</w:t>
      </w:r>
      <w:r w:rsidRPr="000C3A57">
        <w:t>tande och kontroll över den politik som regeringen driver i ministerrådet. Nämnden ska</w:t>
      </w:r>
      <w:r w:rsidR="00D81754" w:rsidRPr="000C3A57">
        <w:t>ll</w:t>
      </w:r>
      <w:r w:rsidRPr="000C3A57">
        <w:t xml:space="preserve"> ge rege</w:t>
      </w:r>
      <w:r w:rsidRPr="000C3A57">
        <w:t>r</w:t>
      </w:r>
      <w:r w:rsidRPr="000C3A57">
        <w:t>ingen mandat och regeringen ska förankra sin EU-politik i nämnden innan me</w:t>
      </w:r>
      <w:r w:rsidRPr="000C3A57">
        <w:t>d</w:t>
      </w:r>
      <w:r w:rsidRPr="000C3A57">
        <w:t>lemsländernas regeringar fattar beslut. Nämnden behandlar dock inte fö</w:t>
      </w:r>
      <w:r w:rsidRPr="000C3A57">
        <w:t>r</w:t>
      </w:r>
      <w:r w:rsidRPr="000C3A57">
        <w:t>slag till riksdagsbeslut</w:t>
      </w:r>
      <w:r w:rsidR="00D81754" w:rsidRPr="000C3A57">
        <w:t xml:space="preserve">, </w:t>
      </w:r>
      <w:r w:rsidRPr="000C3A57">
        <w:t>och dess verksamhet spänner över alla EU:s arbetsomr</w:t>
      </w:r>
      <w:r w:rsidRPr="000C3A57">
        <w:t>å</w:t>
      </w:r>
      <w:r w:rsidRPr="000C3A57">
        <w:t>den. EU-nämndens ansvar att behandla sam</w:t>
      </w:r>
      <w:r w:rsidRPr="000C3A57">
        <w:t>t</w:t>
      </w:r>
      <w:r w:rsidRPr="000C3A57">
        <w:t>liga frågor och områden inom EU leder inte bara till kvalitativa försämringar utan också till ett demokratiu</w:t>
      </w:r>
      <w:r w:rsidRPr="000C3A57">
        <w:t>n</w:t>
      </w:r>
      <w:r w:rsidRPr="000C3A57">
        <w:t>derskott i arbetets process. Det är dessutom en brist att nämnden</w:t>
      </w:r>
      <w:r w:rsidR="001C06E9" w:rsidRPr="000C3A57">
        <w:t>,</w:t>
      </w:r>
      <w:r w:rsidRPr="000C3A57">
        <w:t xml:space="preserve"> till skillnad från saku</w:t>
      </w:r>
      <w:r w:rsidRPr="000C3A57">
        <w:t>t</w:t>
      </w:r>
      <w:r w:rsidRPr="000C3A57">
        <w:t>skotten</w:t>
      </w:r>
      <w:r w:rsidR="001C06E9" w:rsidRPr="000C3A57">
        <w:t>,</w:t>
      </w:r>
      <w:r w:rsidRPr="000C3A57">
        <w:t xml:space="preserve"> inte förbereder riksdagsbeslut. En lämpligare ordning vore att respektive utskott hanterade de frågor som hamnar inom respektive omr</w:t>
      </w:r>
      <w:r w:rsidRPr="000C3A57">
        <w:t>å</w:t>
      </w:r>
      <w:r w:rsidRPr="000C3A57">
        <w:t>de. Den demokratiska processen i riksdagen och Sveriges EU-medlemskap förbättras avsevärt om utskott förbereder riksdagsbeslut för debatt och o</w:t>
      </w:r>
      <w:r w:rsidRPr="000C3A57">
        <w:t>m</w:t>
      </w:r>
      <w:r w:rsidRPr="000C3A57">
        <w:t>röstning i kammaren inom respektive EU-område. Utskotten har den ämne</w:t>
      </w:r>
      <w:r w:rsidRPr="000C3A57">
        <w:t>s</w:t>
      </w:r>
      <w:r w:rsidRPr="000C3A57">
        <w:t>kompetens och överblick som krävs på sitt område. Det är dessutom utskotten som i slutändan har att hantera följderna av EU:s rättsakter och beslut.</w:t>
      </w:r>
    </w:p>
    <w:p w:rsidR="003C1C5C" w:rsidRPr="000C3A57" w:rsidRDefault="003C1C5C" w:rsidP="003C1C5C">
      <w:pPr>
        <w:pStyle w:val="Normaltindrag"/>
        <w:rPr>
          <w:color w:val="000000"/>
        </w:rPr>
      </w:pPr>
      <w:r w:rsidRPr="000C3A57">
        <w:t>Förhandlingsmandat och förhandlingspositioner bör utarbetas i former av samarbete mellan regering och riksdag. R</w:t>
      </w:r>
      <w:r w:rsidRPr="000C3A57">
        <w:t>e</w:t>
      </w:r>
      <w:r w:rsidRPr="000C3A57">
        <w:t xml:space="preserve">spektive minister bör samarbeta direkt med berört utskott. </w:t>
      </w:r>
    </w:p>
    <w:p w:rsidR="003C1C5C" w:rsidRPr="000C3A57" w:rsidRDefault="003C1C5C" w:rsidP="003C1C5C">
      <w:pPr>
        <w:pStyle w:val="Normaltindrag"/>
      </w:pPr>
      <w:r w:rsidRPr="000C3A57">
        <w:t>EU-frågornas behandling i riksdagen har tidigare varit föremål för disku</w:t>
      </w:r>
      <w:r w:rsidRPr="000C3A57">
        <w:t>s</w:t>
      </w:r>
      <w:r w:rsidRPr="000C3A57">
        <w:t>sioner och översyn. EU-nämndens vara eller icke vara har varit föremål för översyn. Krav på EU-nämndens avskaffande har bemötts med hänvisnin</w:t>
      </w:r>
      <w:r w:rsidRPr="000C3A57">
        <w:t>g</w:t>
      </w:r>
      <w:r w:rsidRPr="000C3A57">
        <w:t>ar till tidigare b</w:t>
      </w:r>
      <w:r w:rsidRPr="000C3A57">
        <w:t>e</w:t>
      </w:r>
      <w:r w:rsidRPr="000C3A57">
        <w:t>handlingar och utvärderingar. Miljöpartiet anser att dessa typer av hänvisningar inte är tillräckliga. EU är en organisation i ständig förän</w:t>
      </w:r>
      <w:r w:rsidRPr="000C3A57">
        <w:t>d</w:t>
      </w:r>
      <w:r w:rsidRPr="000C3A57">
        <w:t>ring. Vi måste ständigt kämpa för att hålla vår demokrati levande och se nuvarande regler i ljuset av samhällets kontinuerliga förändringspr</w:t>
      </w:r>
      <w:r w:rsidRPr="000C3A57">
        <w:t>o</w:t>
      </w:r>
      <w:r w:rsidR="001C06E9" w:rsidRPr="000C3A57">
        <w:t>cess. Skulle t.ex.</w:t>
      </w:r>
      <w:r w:rsidRPr="000C3A57">
        <w:t xml:space="preserve"> förslaget till EU-konstitution gå igenom med förstärkt subsidiar</w:t>
      </w:r>
      <w:r w:rsidRPr="000C3A57">
        <w:t>i</w:t>
      </w:r>
      <w:r w:rsidRPr="000C3A57">
        <w:t>tetsprincip skulle vi behöva en bättre organisation och a</w:t>
      </w:r>
      <w:r w:rsidRPr="000C3A57">
        <w:t>r</w:t>
      </w:r>
      <w:r w:rsidRPr="000C3A57">
        <w:t>betsordning för att klara av detta. Riksdagen bör utreda riksdagsordningen i syfte att stärka rik</w:t>
      </w:r>
      <w:r w:rsidRPr="000C3A57">
        <w:t>s</w:t>
      </w:r>
      <w:r w:rsidRPr="000C3A57">
        <w:t xml:space="preserve">dagens inflytande. </w:t>
      </w:r>
    </w:p>
    <w:p w:rsidR="003C1C5C" w:rsidRPr="000C3A57" w:rsidRDefault="003C1C5C" w:rsidP="003C1C5C">
      <w:pPr>
        <w:pStyle w:val="Normaltindrag"/>
      </w:pPr>
      <w:r w:rsidRPr="000C3A57">
        <w:t>Ovan redovisade inställning är mi</w:t>
      </w:r>
      <w:r w:rsidR="001C06E9" w:rsidRPr="000C3A57">
        <w:t>tt</w:t>
      </w:r>
      <w:r w:rsidRPr="000C3A57">
        <w:t xml:space="preserve"> och Miljöpartiets huvudförslag. </w:t>
      </w:r>
      <w:r w:rsidR="007F48AF" w:rsidRPr="000C3A57">
        <w:t xml:space="preserve"> </w:t>
      </w:r>
      <w:r w:rsidRPr="000C3A57">
        <w:t>Jag vill dock instämma i EU-nämndens yttrande t</w:t>
      </w:r>
      <w:r w:rsidR="001C06E9" w:rsidRPr="000C3A57">
        <w:t>ill Konstitutionsutskottet om</w:t>
      </w:r>
      <w:r w:rsidRPr="000C3A57">
        <w:t xml:space="preserve"> mitt förstahandsyrkande om att EU-nämnden ska</w:t>
      </w:r>
      <w:r w:rsidR="001C06E9" w:rsidRPr="000C3A57">
        <w:t>ll</w:t>
      </w:r>
      <w:r w:rsidRPr="000C3A57">
        <w:t xml:space="preserve"> avskaffas inte vinner g</w:t>
      </w:r>
      <w:r w:rsidRPr="000C3A57">
        <w:t>e</w:t>
      </w:r>
      <w:r w:rsidRPr="000C3A57">
        <w:t>hör.</w:t>
      </w:r>
    </w:p>
    <w:p w:rsidR="003C1C5C" w:rsidRPr="000C3A57" w:rsidRDefault="003C1C5C" w:rsidP="003C1C5C">
      <w:pPr>
        <w:pStyle w:val="Normaltindrag"/>
      </w:pPr>
    </w:p>
    <w:p w:rsidR="005F2643" w:rsidRPr="000C3A57" w:rsidRDefault="005F2643" w:rsidP="00C728A1">
      <w:pPr>
        <w:pStyle w:val="Normaltindrag"/>
      </w:pPr>
    </w:p>
    <w:p w:rsidR="00DA15CE" w:rsidRPr="000C3A57" w:rsidRDefault="00DA15CE" w:rsidP="00DA15CE">
      <w:pPr>
        <w:sectPr w:rsidR="00DA15CE" w:rsidRPr="000C3A57" w:rsidSect="00991B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15CE" w:rsidRPr="000C3A57" w:rsidRDefault="005F2643" w:rsidP="00A210F6">
      <w:pPr>
        <w:pStyle w:val="Innehll"/>
        <w:rPr>
          <w:noProof w:val="0"/>
        </w:rPr>
      </w:pPr>
      <w:bookmarkStart w:id="73" w:name="_Toc131574142"/>
      <w:r w:rsidRPr="000C3A57">
        <w:rPr>
          <w:noProof w:val="0"/>
        </w:rPr>
        <w:t>Innehållsförteckning</w:t>
      </w:r>
      <w:bookmarkEnd w:id="73"/>
    </w:p>
    <w:p w:rsidR="00A210F6" w:rsidRPr="000C3A57" w:rsidRDefault="00A210F6" w:rsidP="00A210F6">
      <w:pPr>
        <w:pStyle w:val="Innehll1"/>
        <w:tabs>
          <w:tab w:val="right" w:leader="dot" w:pos="5943"/>
        </w:tabs>
        <w:spacing w:before="0" w:after="0"/>
        <w:rPr>
          <w:b w:val="0"/>
          <w:bCs w:val="0"/>
          <w:sz w:val="24"/>
          <w:szCs w:val="24"/>
        </w:rPr>
      </w:pPr>
      <w:r w:rsidRPr="000C3A57">
        <w:t>Sammanfattning</w:t>
      </w:r>
      <w:r w:rsidRPr="000C3A57">
        <w:tab/>
        <w:t>1</w:t>
      </w:r>
    </w:p>
    <w:p w:rsidR="00A210F6" w:rsidRPr="000C3A57" w:rsidRDefault="00A210F6" w:rsidP="00A210F6">
      <w:pPr>
        <w:pStyle w:val="Innehll1"/>
        <w:tabs>
          <w:tab w:val="right" w:leader="dot" w:pos="5943"/>
        </w:tabs>
        <w:spacing w:before="0" w:after="0"/>
        <w:rPr>
          <w:b w:val="0"/>
          <w:bCs w:val="0"/>
          <w:sz w:val="24"/>
          <w:szCs w:val="24"/>
        </w:rPr>
      </w:pPr>
      <w:r w:rsidRPr="000C3A57">
        <w:t>Till konstitutionsutskottet</w:t>
      </w:r>
      <w:r w:rsidRPr="000C3A57">
        <w:tab/>
        <w:t>2</w:t>
      </w:r>
    </w:p>
    <w:p w:rsidR="00A210F6" w:rsidRPr="000C3A57" w:rsidRDefault="00A210F6" w:rsidP="00A210F6">
      <w:pPr>
        <w:pStyle w:val="Innehll1"/>
        <w:tabs>
          <w:tab w:val="right" w:leader="dot" w:pos="5943"/>
        </w:tabs>
        <w:spacing w:before="0" w:after="0"/>
        <w:rPr>
          <w:b w:val="0"/>
          <w:bCs w:val="0"/>
          <w:sz w:val="24"/>
          <w:szCs w:val="24"/>
        </w:rPr>
      </w:pPr>
      <w:r w:rsidRPr="000C3A57">
        <w:t>EU-nämndens överväganden</w:t>
      </w:r>
      <w:r w:rsidRPr="000C3A57">
        <w:tab/>
        <w:t>3</w:t>
      </w:r>
    </w:p>
    <w:p w:rsidR="00A210F6" w:rsidRPr="000C3A57" w:rsidRDefault="00A210F6" w:rsidP="00A210F6">
      <w:pPr>
        <w:pStyle w:val="Innehll2"/>
        <w:tabs>
          <w:tab w:val="right" w:leader="dot" w:pos="5943"/>
        </w:tabs>
        <w:spacing w:before="0"/>
        <w:ind w:left="193" w:hanging="98"/>
        <w:rPr>
          <w:iCs w:val="0"/>
          <w:sz w:val="24"/>
          <w:szCs w:val="24"/>
        </w:rPr>
      </w:pPr>
      <w:r w:rsidRPr="000C3A57">
        <w:t>Riksdagens arbete med EU-frågor (avsnitt 3)</w:t>
      </w:r>
      <w:r w:rsidRPr="000C3A57">
        <w:tab/>
        <w:t>3</w:t>
      </w:r>
    </w:p>
    <w:p w:rsidR="00A210F6" w:rsidRPr="000C3A57" w:rsidRDefault="00A210F6" w:rsidP="00A210F6">
      <w:pPr>
        <w:pStyle w:val="Innehll3"/>
        <w:tabs>
          <w:tab w:val="right" w:leader="dot" w:pos="5943"/>
        </w:tabs>
        <w:ind w:left="190"/>
        <w:rPr>
          <w:sz w:val="24"/>
          <w:szCs w:val="24"/>
        </w:rPr>
      </w:pPr>
      <w:r w:rsidRPr="000C3A57">
        <w:t>Inledning (avsnitt 3.1)</w:t>
      </w:r>
      <w:r w:rsidRPr="000C3A57">
        <w:tab/>
        <w:t>3</w:t>
      </w:r>
    </w:p>
    <w:p w:rsidR="00A210F6" w:rsidRPr="000C3A57" w:rsidRDefault="00A210F6" w:rsidP="00A210F6">
      <w:pPr>
        <w:pStyle w:val="Innehll3"/>
        <w:tabs>
          <w:tab w:val="right" w:leader="dot" w:pos="5943"/>
        </w:tabs>
        <w:ind w:left="190"/>
        <w:rPr>
          <w:sz w:val="24"/>
          <w:szCs w:val="24"/>
        </w:rPr>
      </w:pPr>
      <w:r w:rsidRPr="000C3A57">
        <w:t>Grön- och vitböcker och andra strategiska EU-dokument (avsnitt 3.2)</w:t>
      </w:r>
      <w:r w:rsidRPr="000C3A57">
        <w:tab/>
        <w:t>5</w:t>
      </w:r>
    </w:p>
    <w:p w:rsidR="00A210F6" w:rsidRPr="000C3A57" w:rsidRDefault="00A210F6" w:rsidP="00A210F6">
      <w:pPr>
        <w:pStyle w:val="Innehll3"/>
        <w:tabs>
          <w:tab w:val="right" w:leader="dot" w:pos="5943"/>
        </w:tabs>
        <w:ind w:left="190"/>
        <w:rPr>
          <w:sz w:val="24"/>
          <w:szCs w:val="24"/>
        </w:rPr>
      </w:pPr>
      <w:r w:rsidRPr="000C3A57">
        <w:t>Samråd mellan regering och riksdag (avsnitt 3.3)</w:t>
      </w:r>
      <w:r w:rsidRPr="000C3A57">
        <w:tab/>
        <w:t>6</w:t>
      </w:r>
    </w:p>
    <w:p w:rsidR="00A210F6" w:rsidRPr="000C3A57" w:rsidRDefault="00A210F6" w:rsidP="00A210F6">
      <w:pPr>
        <w:pStyle w:val="Innehll3"/>
        <w:tabs>
          <w:tab w:val="right" w:leader="dot" w:pos="5943"/>
        </w:tabs>
        <w:ind w:left="190"/>
        <w:rPr>
          <w:sz w:val="24"/>
          <w:szCs w:val="24"/>
        </w:rPr>
      </w:pPr>
      <w:r w:rsidRPr="000C3A57">
        <w:t>Regeringskonferenser och Europeiska rådet (avsnitt 3.4)</w:t>
      </w:r>
      <w:r w:rsidRPr="000C3A57">
        <w:tab/>
        <w:t>14</w:t>
      </w:r>
    </w:p>
    <w:p w:rsidR="00A210F6" w:rsidRPr="000C3A57" w:rsidRDefault="00A210F6" w:rsidP="00A210F6">
      <w:pPr>
        <w:pStyle w:val="Innehll3"/>
        <w:tabs>
          <w:tab w:val="right" w:leader="dot" w:pos="5943"/>
        </w:tabs>
        <w:ind w:left="190"/>
        <w:rPr>
          <w:sz w:val="24"/>
          <w:szCs w:val="24"/>
        </w:rPr>
      </w:pPr>
      <w:r w:rsidRPr="000C3A57">
        <w:t>Kontakter med andra parlament (avsnitt 3.6)</w:t>
      </w:r>
      <w:r w:rsidRPr="000C3A57">
        <w:tab/>
        <w:t>14</w:t>
      </w:r>
    </w:p>
    <w:p w:rsidR="00A210F6" w:rsidRPr="000C3A57" w:rsidRDefault="00A210F6" w:rsidP="00A210F6">
      <w:pPr>
        <w:pStyle w:val="Innehll2"/>
        <w:tabs>
          <w:tab w:val="right" w:leader="dot" w:pos="5943"/>
        </w:tabs>
        <w:spacing w:before="0"/>
        <w:ind w:left="193" w:hanging="98"/>
        <w:rPr>
          <w:iCs w:val="0"/>
          <w:sz w:val="24"/>
          <w:szCs w:val="24"/>
        </w:rPr>
      </w:pPr>
      <w:r w:rsidRPr="000C3A57">
        <w:t>Riksdagens interparlamentariska samarbete (avsnitt 4)</w:t>
      </w:r>
      <w:r w:rsidRPr="000C3A57">
        <w:tab/>
        <w:t>15</w:t>
      </w:r>
    </w:p>
    <w:p w:rsidR="00A210F6" w:rsidRPr="000C3A57" w:rsidRDefault="00A210F6" w:rsidP="00A210F6">
      <w:pPr>
        <w:pStyle w:val="Innehll2"/>
        <w:tabs>
          <w:tab w:val="right" w:leader="dot" w:pos="5943"/>
        </w:tabs>
        <w:spacing w:before="0"/>
        <w:ind w:left="193" w:hanging="98"/>
        <w:rPr>
          <w:iCs w:val="0"/>
          <w:sz w:val="24"/>
          <w:szCs w:val="24"/>
        </w:rPr>
      </w:pPr>
      <w:r w:rsidRPr="000C3A57">
        <w:t>Förslag</w:t>
      </w:r>
      <w:r w:rsidRPr="000C3A57">
        <w:rPr>
          <w:spacing w:val="-4"/>
        </w:rPr>
        <w:t xml:space="preserve"> till lag om ändring i riksdagsordningen (bilaga 1)</w:t>
      </w:r>
      <w:r w:rsidRPr="000C3A57">
        <w:tab/>
        <w:t>15</w:t>
      </w:r>
    </w:p>
    <w:p w:rsidR="00A210F6" w:rsidRPr="000C3A57" w:rsidRDefault="00A210F6" w:rsidP="00A210F6">
      <w:pPr>
        <w:pStyle w:val="Innehll1"/>
        <w:tabs>
          <w:tab w:val="right" w:leader="dot" w:pos="5943"/>
        </w:tabs>
        <w:spacing w:before="0" w:after="0"/>
        <w:rPr>
          <w:b w:val="0"/>
          <w:bCs w:val="0"/>
          <w:sz w:val="24"/>
          <w:szCs w:val="24"/>
        </w:rPr>
      </w:pPr>
      <w:r w:rsidRPr="000C3A57">
        <w:t>Avvikande mening</w:t>
      </w:r>
      <w:r w:rsidRPr="000C3A57">
        <w:tab/>
        <w:t>17</w:t>
      </w:r>
    </w:p>
    <w:p w:rsidR="00C561B4" w:rsidRPr="000C3A57" w:rsidRDefault="00C561B4" w:rsidP="00C561B4"/>
    <w:p w:rsidR="00C561B4" w:rsidRPr="000C3A57" w:rsidRDefault="00C561B4" w:rsidP="00C561B4"/>
    <w:p w:rsidR="00A210F6" w:rsidRPr="000C3A57" w:rsidRDefault="00A210F6" w:rsidP="00C50435"/>
    <w:p w:rsidR="00A210F6" w:rsidRPr="000C3A57" w:rsidRDefault="00A210F6" w:rsidP="00A210F6">
      <w:pPr>
        <w:pStyle w:val="Tryckort"/>
        <w:framePr w:wrap="around"/>
      </w:pPr>
      <w:r w:rsidRPr="000C3A57">
        <w:t>Elanders Gotab, Stockholm  2006</w:t>
      </w:r>
    </w:p>
    <w:p w:rsidR="00C50435" w:rsidRPr="000C3A57" w:rsidRDefault="00C50435" w:rsidP="00A210F6">
      <w:pPr>
        <w:pStyle w:val="Normaltindrag"/>
      </w:pPr>
    </w:p>
    <w:sectPr w:rsidR="00C50435" w:rsidRPr="000C3A57" w:rsidSect="00C561B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277" w:rsidRPr="000C3A57" w:rsidRDefault="00594277">
      <w:r w:rsidRPr="000C3A57">
        <w:separator/>
      </w:r>
    </w:p>
  </w:endnote>
  <w:endnote w:type="continuationSeparator" w:id="0">
    <w:p w:rsidR="00594277" w:rsidRPr="000C3A57" w:rsidRDefault="00594277">
      <w:r w:rsidRPr="000C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t>2</w:t>
    </w:r>
    <w:r w:rsidRPr="000C3A57">
      <w:fldChar w:fldCharType="end"/>
    </w:r>
  </w:p>
  <w:p w:rsidR="003E5B2C" w:rsidRPr="000C3A57" w:rsidRDefault="003E5B2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t>18</w:t>
    </w:r>
    <w:r w:rsidRPr="000C3A57">
      <w:fldChar w:fldCharType="end"/>
    </w:r>
  </w:p>
  <w:p w:rsidR="003E5B2C" w:rsidRPr="000C3A57" w:rsidRDefault="003E5B2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H"/>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t>19</w:t>
    </w:r>
    <w:r w:rsidRPr="000C3A57">
      <w:fldChar w:fldCharType="end"/>
    </w:r>
  </w:p>
  <w:p w:rsidR="003E5B2C" w:rsidRPr="000C3A57" w:rsidRDefault="003E5B2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if </w:instrText>
    </w:r>
    <w:r w:rsidRPr="000C3A57">
      <w:fldChar w:fldCharType="begin" w:fldLock="1"/>
    </w:r>
    <w:r w:rsidRPr="000C3A57">
      <w:instrText xml:space="preserve"> = </w:instrText>
    </w:r>
    <w:r w:rsidRPr="000C3A57">
      <w:fldChar w:fldCharType="begin" w:fldLock="1"/>
    </w:r>
    <w:r w:rsidRPr="000C3A57">
      <w:instrText xml:space="preserve"> = </w:instrText>
    </w:r>
    <w:r w:rsidRPr="000C3A57">
      <w:fldChar w:fldCharType="begin" w:fldLock="1"/>
    </w:r>
    <w:r w:rsidRPr="000C3A57">
      <w:instrText xml:space="preserve"> page</w:instrText>
    </w:r>
    <w:r w:rsidRPr="000C3A57">
      <w:fldChar w:fldCharType="separate"/>
    </w:r>
    <w:r w:rsidR="005D27C5" w:rsidRPr="000C3A57">
      <w:instrText>19</w:instrText>
    </w:r>
    <w:r w:rsidRPr="000C3A57">
      <w:fldChar w:fldCharType="end"/>
    </w:r>
    <w:r w:rsidRPr="000C3A57">
      <w:instrText xml:space="preserve">/2 </w:instrText>
    </w:r>
    <w:r w:rsidRPr="000C3A57">
      <w:fldChar w:fldCharType="separate"/>
    </w:r>
    <w:r w:rsidR="005D27C5" w:rsidRPr="000C3A57">
      <w:instrText>9,5</w:instrText>
    </w:r>
    <w:r w:rsidRPr="000C3A57">
      <w:fldChar w:fldCharType="end"/>
    </w:r>
    <w:r w:rsidRPr="000C3A57">
      <w:instrText xml:space="preserve"> - </w:instrText>
    </w:r>
    <w:r w:rsidRPr="000C3A57">
      <w:fldChar w:fldCharType="begin" w:fldLock="1"/>
    </w:r>
    <w:r w:rsidRPr="000C3A57">
      <w:instrText xml:space="preserve"> = int(</w:instrText>
    </w:r>
    <w:r w:rsidRPr="000C3A57">
      <w:fldChar w:fldCharType="begin" w:fldLock="1"/>
    </w:r>
    <w:r w:rsidRPr="000C3A57">
      <w:instrText xml:space="preserve"> page</w:instrText>
    </w:r>
    <w:r w:rsidRPr="000C3A57">
      <w:fldChar w:fldCharType="separate"/>
    </w:r>
    <w:r w:rsidR="005D27C5" w:rsidRPr="000C3A57">
      <w:instrText>19</w:instrText>
    </w:r>
    <w:r w:rsidRPr="000C3A57">
      <w:fldChar w:fldCharType="end"/>
    </w:r>
    <w:r w:rsidRPr="000C3A57">
      <w:instrText xml:space="preserve">/2) </w:instrText>
    </w:r>
    <w:r w:rsidRPr="000C3A57">
      <w:fldChar w:fldCharType="separate"/>
    </w:r>
    <w:r w:rsidR="005D27C5" w:rsidRPr="000C3A57">
      <w:instrText>9</w:instrText>
    </w:r>
    <w:r w:rsidRPr="000C3A57">
      <w:fldChar w:fldCharType="end"/>
    </w:r>
    <w:r w:rsidRPr="000C3A57">
      <w:fldChar w:fldCharType="separate"/>
    </w:r>
    <w:r w:rsidR="005D27C5" w:rsidRPr="000C3A57">
      <w:instrText>0,5</w:instrText>
    </w:r>
    <w:r w:rsidRPr="000C3A57">
      <w:fldChar w:fldCharType="end"/>
    </w:r>
    <w:r w:rsidRPr="000C3A57">
      <w:instrText xml:space="preserve"> = 0 "</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instrText>20</w:instrText>
    </w:r>
    <w:r w:rsidRPr="000C3A57">
      <w:fldChar w:fldCharType="end"/>
    </w:r>
  </w:p>
  <w:p w:rsidR="003E5B2C" w:rsidRPr="000C3A57" w:rsidRDefault="003E5B2C">
    <w:pPr>
      <w:pStyle w:val="SidfotH"/>
      <w:framePr w:w="8732" w:h="284" w:hRule="exact" w:hSpace="0" w:vSpace="0" w:wrap="around" w:xAlign="inside" w:y="13042" w:anchorLock="0"/>
    </w:pPr>
    <w:r w:rsidRPr="000C3A57">
      <w:instrText>""</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instrText>19</w:instrText>
    </w:r>
    <w:r w:rsidRPr="000C3A57">
      <w:fldChar w:fldCharType="end"/>
    </w:r>
    <w:r w:rsidRPr="000C3A57">
      <w:instrText>"</w:instrText>
    </w:r>
    <w:r w:rsidRPr="000C3A57">
      <w:fldChar w:fldCharType="separate"/>
    </w:r>
    <w:r w:rsidR="005D27C5" w:rsidRPr="000C3A57">
      <w:t>19</w:t>
    </w:r>
    <w:r w:rsidRPr="000C3A57">
      <w:fldChar w:fldCharType="end"/>
    </w:r>
  </w:p>
  <w:p w:rsidR="003E5B2C" w:rsidRPr="000C3A57" w:rsidRDefault="003E5B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H"/>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t>15</w:t>
    </w:r>
    <w:r w:rsidRPr="000C3A57">
      <w:fldChar w:fldCharType="end"/>
    </w:r>
  </w:p>
  <w:p w:rsidR="003E5B2C" w:rsidRPr="000C3A57" w:rsidRDefault="003E5B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if </w:instrText>
    </w:r>
    <w:r w:rsidRPr="000C3A57">
      <w:fldChar w:fldCharType="begin" w:fldLock="1"/>
    </w:r>
    <w:r w:rsidRPr="000C3A57">
      <w:instrText xml:space="preserve"> = </w:instrText>
    </w:r>
    <w:r w:rsidRPr="000C3A57">
      <w:fldChar w:fldCharType="begin" w:fldLock="1"/>
    </w:r>
    <w:r w:rsidRPr="000C3A57">
      <w:instrText xml:space="preserve"> = </w:instrText>
    </w:r>
    <w:r w:rsidRPr="000C3A57">
      <w:fldChar w:fldCharType="begin" w:fldLock="1"/>
    </w:r>
    <w:r w:rsidRPr="000C3A57">
      <w:instrText xml:space="preserve"> page</w:instrText>
    </w:r>
    <w:r w:rsidRPr="000C3A57">
      <w:fldChar w:fldCharType="separate"/>
    </w:r>
    <w:r w:rsidR="000C3A57">
      <w:rPr>
        <w:noProof/>
      </w:rPr>
      <w:instrText>1</w:instrText>
    </w:r>
    <w:r w:rsidRPr="000C3A57">
      <w:fldChar w:fldCharType="end"/>
    </w:r>
    <w:r w:rsidRPr="000C3A57">
      <w:instrText xml:space="preserve">/2 </w:instrText>
    </w:r>
    <w:r w:rsidRPr="000C3A57">
      <w:fldChar w:fldCharType="separate"/>
    </w:r>
    <w:r w:rsidR="000C3A57">
      <w:rPr>
        <w:noProof/>
      </w:rPr>
      <w:instrText>0,5</w:instrText>
    </w:r>
    <w:r w:rsidRPr="000C3A57">
      <w:fldChar w:fldCharType="end"/>
    </w:r>
    <w:r w:rsidRPr="000C3A57">
      <w:instrText xml:space="preserve"> - </w:instrText>
    </w:r>
    <w:r w:rsidRPr="000C3A57">
      <w:fldChar w:fldCharType="begin" w:fldLock="1"/>
    </w:r>
    <w:r w:rsidRPr="000C3A57">
      <w:instrText xml:space="preserve"> = int(</w:instrText>
    </w:r>
    <w:r w:rsidRPr="000C3A57">
      <w:fldChar w:fldCharType="begin" w:fldLock="1"/>
    </w:r>
    <w:r w:rsidRPr="000C3A57">
      <w:instrText xml:space="preserve"> page</w:instrText>
    </w:r>
    <w:r w:rsidRPr="000C3A57">
      <w:fldChar w:fldCharType="separate"/>
    </w:r>
    <w:r w:rsidR="000C3A57">
      <w:rPr>
        <w:noProof/>
      </w:rPr>
      <w:instrText>1</w:instrText>
    </w:r>
    <w:r w:rsidRPr="000C3A57">
      <w:fldChar w:fldCharType="end"/>
    </w:r>
    <w:r w:rsidRPr="000C3A57">
      <w:instrText xml:space="preserve">/2) </w:instrText>
    </w:r>
    <w:r w:rsidRPr="000C3A57">
      <w:fldChar w:fldCharType="separate"/>
    </w:r>
    <w:r w:rsidR="000C3A57">
      <w:rPr>
        <w:noProof/>
      </w:rPr>
      <w:instrText>0</w:instrText>
    </w:r>
    <w:r w:rsidRPr="000C3A57">
      <w:fldChar w:fldCharType="end"/>
    </w:r>
    <w:r w:rsidRPr="000C3A57">
      <w:fldChar w:fldCharType="separate"/>
    </w:r>
    <w:r w:rsidR="000C3A57">
      <w:rPr>
        <w:noProof/>
      </w:rPr>
      <w:instrText>0,5</w:instrText>
    </w:r>
    <w:r w:rsidRPr="000C3A57">
      <w:fldChar w:fldCharType="end"/>
    </w:r>
    <w:r w:rsidRPr="000C3A57">
      <w:instrText xml:space="preserve"> = 0 "</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instrText>2</w:instrText>
    </w:r>
    <w:r w:rsidRPr="000C3A57">
      <w:fldChar w:fldCharType="end"/>
    </w:r>
  </w:p>
  <w:p w:rsidR="003E5B2C" w:rsidRPr="000C3A57" w:rsidRDefault="003E5B2C">
    <w:pPr>
      <w:pStyle w:val="SidfotH"/>
      <w:framePr w:w="8732" w:h="284" w:hRule="exact" w:hSpace="0" w:vSpace="0" w:wrap="around" w:xAlign="inside" w:y="13042" w:anchorLock="0"/>
    </w:pPr>
    <w:r w:rsidRPr="000C3A57">
      <w:instrText>""</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0C3A57">
      <w:rPr>
        <w:noProof/>
      </w:rPr>
      <w:instrText>1</w:instrText>
    </w:r>
    <w:r w:rsidRPr="000C3A57">
      <w:fldChar w:fldCharType="end"/>
    </w:r>
    <w:r w:rsidRPr="000C3A57">
      <w:instrText>"</w:instrText>
    </w:r>
    <w:r w:rsidRPr="000C3A57">
      <w:fldChar w:fldCharType="separate"/>
    </w:r>
    <w:r w:rsidR="000C3A57">
      <w:rPr>
        <w:noProof/>
      </w:rPr>
      <w:t>1</w:t>
    </w:r>
    <w:r w:rsidRPr="000C3A57">
      <w:fldChar w:fldCharType="end"/>
    </w:r>
  </w:p>
  <w:p w:rsidR="003E5B2C" w:rsidRPr="000C3A57" w:rsidRDefault="003E5B2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t>2</w:t>
    </w:r>
    <w:r w:rsidRPr="000C3A57">
      <w:fldChar w:fldCharType="end"/>
    </w:r>
  </w:p>
  <w:p w:rsidR="003E5B2C" w:rsidRPr="000C3A57" w:rsidRDefault="003E5B2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H"/>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t>15</w:t>
    </w:r>
    <w:r w:rsidRPr="000C3A57">
      <w:fldChar w:fldCharType="end"/>
    </w:r>
  </w:p>
  <w:p w:rsidR="003E5B2C" w:rsidRPr="000C3A57" w:rsidRDefault="003E5B2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if </w:instrText>
    </w:r>
    <w:r w:rsidRPr="000C3A57">
      <w:fldChar w:fldCharType="begin" w:fldLock="1"/>
    </w:r>
    <w:r w:rsidRPr="000C3A57">
      <w:instrText xml:space="preserve"> = </w:instrText>
    </w:r>
    <w:r w:rsidRPr="000C3A57">
      <w:fldChar w:fldCharType="begin" w:fldLock="1"/>
    </w:r>
    <w:r w:rsidRPr="000C3A57">
      <w:instrText xml:space="preserve"> = </w:instrText>
    </w:r>
    <w:r w:rsidRPr="000C3A57">
      <w:fldChar w:fldCharType="begin" w:fldLock="1"/>
    </w:r>
    <w:r w:rsidRPr="000C3A57">
      <w:instrText xml:space="preserve"> page</w:instrText>
    </w:r>
    <w:r w:rsidRPr="000C3A57">
      <w:fldChar w:fldCharType="separate"/>
    </w:r>
    <w:r w:rsidR="005D27C5" w:rsidRPr="000C3A57">
      <w:instrText>2</w:instrText>
    </w:r>
    <w:r w:rsidRPr="000C3A57">
      <w:fldChar w:fldCharType="end"/>
    </w:r>
    <w:r w:rsidRPr="000C3A57">
      <w:instrText xml:space="preserve">/2 </w:instrText>
    </w:r>
    <w:r w:rsidRPr="000C3A57">
      <w:fldChar w:fldCharType="separate"/>
    </w:r>
    <w:r w:rsidR="005D27C5" w:rsidRPr="000C3A57">
      <w:instrText>1</w:instrText>
    </w:r>
    <w:r w:rsidRPr="000C3A57">
      <w:fldChar w:fldCharType="end"/>
    </w:r>
    <w:r w:rsidRPr="000C3A57">
      <w:instrText xml:space="preserve"> - </w:instrText>
    </w:r>
    <w:r w:rsidRPr="000C3A57">
      <w:fldChar w:fldCharType="begin" w:fldLock="1"/>
    </w:r>
    <w:r w:rsidRPr="000C3A57">
      <w:instrText xml:space="preserve"> = int(</w:instrText>
    </w:r>
    <w:r w:rsidRPr="000C3A57">
      <w:fldChar w:fldCharType="begin" w:fldLock="1"/>
    </w:r>
    <w:r w:rsidRPr="000C3A57">
      <w:instrText xml:space="preserve"> page</w:instrText>
    </w:r>
    <w:r w:rsidRPr="000C3A57">
      <w:fldChar w:fldCharType="separate"/>
    </w:r>
    <w:r w:rsidR="005D27C5" w:rsidRPr="000C3A57">
      <w:instrText>2</w:instrText>
    </w:r>
    <w:r w:rsidRPr="000C3A57">
      <w:fldChar w:fldCharType="end"/>
    </w:r>
    <w:r w:rsidRPr="000C3A57">
      <w:instrText xml:space="preserve">/2) </w:instrText>
    </w:r>
    <w:r w:rsidRPr="000C3A57">
      <w:fldChar w:fldCharType="separate"/>
    </w:r>
    <w:r w:rsidR="005D27C5" w:rsidRPr="000C3A57">
      <w:instrText>1</w:instrText>
    </w:r>
    <w:r w:rsidRPr="000C3A57">
      <w:fldChar w:fldCharType="end"/>
    </w:r>
    <w:r w:rsidRPr="000C3A57">
      <w:fldChar w:fldCharType="separate"/>
    </w:r>
    <w:r w:rsidR="005D27C5" w:rsidRPr="000C3A57">
      <w:instrText>0</w:instrText>
    </w:r>
    <w:r w:rsidRPr="000C3A57">
      <w:fldChar w:fldCharType="end"/>
    </w:r>
    <w:r w:rsidRPr="000C3A57">
      <w:instrText xml:space="preserve"> = 0 "</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instrText>2</w:instrText>
    </w:r>
    <w:r w:rsidRPr="000C3A57">
      <w:fldChar w:fldCharType="end"/>
    </w:r>
  </w:p>
  <w:p w:rsidR="005D27C5" w:rsidRPr="000C3A57" w:rsidRDefault="003E5B2C">
    <w:pPr>
      <w:pStyle w:val="SidfotV"/>
      <w:framePr w:w="8732" w:h="284" w:hRule="exact" w:hSpace="0" w:vSpace="0" w:wrap="around" w:xAlign="inside" w:y="13042" w:anchorLock="0"/>
    </w:pPr>
    <w:r w:rsidRPr="000C3A57">
      <w:instrText>""</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instrText>3</w:instrText>
    </w:r>
    <w:r w:rsidRPr="000C3A57">
      <w:fldChar w:fldCharType="end"/>
    </w:r>
    <w:r w:rsidRPr="000C3A57">
      <w:instrText>"</w:instrText>
    </w:r>
    <w:r w:rsidRPr="000C3A57">
      <w:fldChar w:fldCharType="separate"/>
    </w:r>
    <w:r w:rsidR="005D27C5" w:rsidRPr="000C3A57">
      <w:t>2</w:t>
    </w:r>
  </w:p>
  <w:p w:rsidR="003E5B2C" w:rsidRPr="000C3A57" w:rsidRDefault="003E5B2C">
    <w:pPr>
      <w:pStyle w:val="SidfotH"/>
      <w:framePr w:w="8732" w:h="284" w:hRule="exact" w:hSpace="0" w:vSpace="0" w:wrap="around" w:xAlign="inside" w:y="13042" w:anchorLock="0"/>
    </w:pPr>
    <w:r w:rsidRPr="000C3A57">
      <w:fldChar w:fldCharType="end"/>
    </w:r>
  </w:p>
  <w:p w:rsidR="003E5B2C" w:rsidRPr="000C3A57" w:rsidRDefault="003E5B2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t>16</w:t>
    </w:r>
    <w:r w:rsidRPr="000C3A57">
      <w:fldChar w:fldCharType="end"/>
    </w:r>
  </w:p>
  <w:p w:rsidR="003E5B2C" w:rsidRPr="000C3A57" w:rsidRDefault="003E5B2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H"/>
      <w:framePr w:w="8732" w:h="284" w:hRule="exact" w:hSpace="0" w:vSpace="0" w:wrap="around" w:xAlign="inside" w:y="13042" w:anchorLock="0"/>
    </w:pP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t>5</w:t>
    </w:r>
    <w:r w:rsidRPr="000C3A57">
      <w:fldChar w:fldCharType="end"/>
    </w:r>
  </w:p>
  <w:p w:rsidR="003E5B2C" w:rsidRPr="000C3A57" w:rsidRDefault="003E5B2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fotV"/>
      <w:framePr w:w="8732" w:h="284" w:hRule="exact" w:hSpace="0" w:vSpace="0" w:wrap="around" w:xAlign="inside" w:y="13042" w:anchorLock="0"/>
    </w:pPr>
    <w:r w:rsidRPr="000C3A57">
      <w:fldChar w:fldCharType="begin" w:fldLock="1"/>
    </w:r>
    <w:r w:rsidRPr="000C3A57">
      <w:instrText xml:space="preserve"> if </w:instrText>
    </w:r>
    <w:r w:rsidRPr="000C3A57">
      <w:fldChar w:fldCharType="begin" w:fldLock="1"/>
    </w:r>
    <w:r w:rsidRPr="000C3A57">
      <w:instrText xml:space="preserve"> = </w:instrText>
    </w:r>
    <w:r w:rsidRPr="000C3A57">
      <w:fldChar w:fldCharType="begin" w:fldLock="1"/>
    </w:r>
    <w:r w:rsidRPr="000C3A57">
      <w:instrText xml:space="preserve"> = </w:instrText>
    </w:r>
    <w:r w:rsidRPr="000C3A57">
      <w:fldChar w:fldCharType="begin" w:fldLock="1"/>
    </w:r>
    <w:r w:rsidRPr="000C3A57">
      <w:instrText xml:space="preserve"> page</w:instrText>
    </w:r>
    <w:r w:rsidRPr="000C3A57">
      <w:fldChar w:fldCharType="separate"/>
    </w:r>
    <w:r w:rsidR="005D27C5" w:rsidRPr="000C3A57">
      <w:instrText>3</w:instrText>
    </w:r>
    <w:r w:rsidRPr="000C3A57">
      <w:fldChar w:fldCharType="end"/>
    </w:r>
    <w:r w:rsidRPr="000C3A57">
      <w:instrText xml:space="preserve">/2 </w:instrText>
    </w:r>
    <w:r w:rsidRPr="000C3A57">
      <w:fldChar w:fldCharType="separate"/>
    </w:r>
    <w:r w:rsidR="005D27C5" w:rsidRPr="000C3A57">
      <w:instrText>1,5</w:instrText>
    </w:r>
    <w:r w:rsidRPr="000C3A57">
      <w:fldChar w:fldCharType="end"/>
    </w:r>
    <w:r w:rsidRPr="000C3A57">
      <w:instrText xml:space="preserve"> - </w:instrText>
    </w:r>
    <w:r w:rsidRPr="000C3A57">
      <w:fldChar w:fldCharType="begin" w:fldLock="1"/>
    </w:r>
    <w:r w:rsidRPr="000C3A57">
      <w:instrText xml:space="preserve"> = int(</w:instrText>
    </w:r>
    <w:r w:rsidRPr="000C3A57">
      <w:fldChar w:fldCharType="begin" w:fldLock="1"/>
    </w:r>
    <w:r w:rsidRPr="000C3A57">
      <w:instrText xml:space="preserve"> page</w:instrText>
    </w:r>
    <w:r w:rsidRPr="000C3A57">
      <w:fldChar w:fldCharType="separate"/>
    </w:r>
    <w:r w:rsidR="005D27C5" w:rsidRPr="000C3A57">
      <w:instrText>3</w:instrText>
    </w:r>
    <w:r w:rsidRPr="000C3A57">
      <w:fldChar w:fldCharType="end"/>
    </w:r>
    <w:r w:rsidRPr="000C3A57">
      <w:instrText xml:space="preserve">/2) </w:instrText>
    </w:r>
    <w:r w:rsidRPr="000C3A57">
      <w:fldChar w:fldCharType="separate"/>
    </w:r>
    <w:r w:rsidR="005D27C5" w:rsidRPr="000C3A57">
      <w:instrText>1</w:instrText>
    </w:r>
    <w:r w:rsidRPr="000C3A57">
      <w:fldChar w:fldCharType="end"/>
    </w:r>
    <w:r w:rsidRPr="000C3A57">
      <w:fldChar w:fldCharType="separate"/>
    </w:r>
    <w:r w:rsidR="005D27C5" w:rsidRPr="000C3A57">
      <w:instrText>0,5</w:instrText>
    </w:r>
    <w:r w:rsidRPr="000C3A57">
      <w:fldChar w:fldCharType="end"/>
    </w:r>
    <w:r w:rsidRPr="000C3A57">
      <w:instrText xml:space="preserve"> = 0 "</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Pr="000C3A57">
      <w:instrText>16</w:instrText>
    </w:r>
    <w:r w:rsidRPr="000C3A57">
      <w:fldChar w:fldCharType="end"/>
    </w:r>
  </w:p>
  <w:p w:rsidR="003E5B2C" w:rsidRPr="000C3A57" w:rsidRDefault="003E5B2C">
    <w:pPr>
      <w:pStyle w:val="SidfotH"/>
      <w:framePr w:w="8732" w:h="284" w:hRule="exact" w:hSpace="0" w:vSpace="0" w:wrap="around" w:xAlign="inside" w:y="13042" w:anchorLock="0"/>
    </w:pPr>
    <w:r w:rsidRPr="000C3A57">
      <w:instrText>""</w:instrText>
    </w:r>
    <w:r w:rsidRPr="000C3A57">
      <w:fldChar w:fldCharType="begin" w:fldLock="1"/>
    </w:r>
    <w:r w:rsidRPr="000C3A57">
      <w:instrText xml:space="preserve"> P</w:instrText>
    </w:r>
    <w:r w:rsidRPr="000C3A57">
      <w:instrText>A</w:instrText>
    </w:r>
    <w:r w:rsidRPr="000C3A57">
      <w:instrText xml:space="preserve">GE </w:instrText>
    </w:r>
    <w:r w:rsidRPr="000C3A57">
      <w:fldChar w:fldCharType="separate"/>
    </w:r>
    <w:r w:rsidR="005D27C5" w:rsidRPr="000C3A57">
      <w:instrText>3</w:instrText>
    </w:r>
    <w:r w:rsidRPr="000C3A57">
      <w:fldChar w:fldCharType="end"/>
    </w:r>
    <w:r w:rsidRPr="000C3A57">
      <w:instrText>"</w:instrText>
    </w:r>
    <w:r w:rsidRPr="000C3A57">
      <w:fldChar w:fldCharType="separate"/>
    </w:r>
    <w:r w:rsidR="005D27C5" w:rsidRPr="000C3A57">
      <w:t>3</w:t>
    </w:r>
    <w:r w:rsidRPr="000C3A57">
      <w:fldChar w:fldCharType="end"/>
    </w:r>
  </w:p>
  <w:p w:rsidR="003E5B2C" w:rsidRPr="000C3A57" w:rsidRDefault="003E5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277" w:rsidRPr="000C3A57" w:rsidRDefault="00594277">
      <w:r w:rsidRPr="000C3A57">
        <w:separator/>
      </w:r>
    </w:p>
  </w:footnote>
  <w:footnote w:type="continuationSeparator" w:id="0">
    <w:p w:rsidR="00594277" w:rsidRPr="000C3A57" w:rsidRDefault="00594277">
      <w:r w:rsidRPr="000C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Jmn"/>
      <w:framePr w:w="8732" w:h="567" w:hRule="exact" w:vSpace="0" w:wrap="around" w:vAnchor="page" w:y="341" w:anchorLock="0"/>
    </w:pPr>
    <w:r w:rsidRPr="000C3A57">
      <w:rPr>
        <w:rStyle w:val="SidhuvudUtskott"/>
      </w:rPr>
      <w:fldChar w:fldCharType="begin" w:fldLock="1"/>
    </w:r>
    <w:r w:rsidRPr="000C3A57">
      <w:rPr>
        <w:rStyle w:val="SidhuvudUtskott"/>
      </w:rPr>
      <w:instrText xml:space="preserve"> DOCPROPERTY BetänkandeÅr</w:instrText>
    </w:r>
    <w:r w:rsidRPr="000C3A57">
      <w:rPr>
        <w:rStyle w:val="SidhuvudUtskott"/>
      </w:rPr>
      <w:fldChar w:fldCharType="separate"/>
    </w:r>
    <w:r w:rsidRPr="000C3A57">
      <w:rPr>
        <w:rStyle w:val="SidhuvudUtskott"/>
      </w:rPr>
      <w:t>2005/06</w:t>
    </w:r>
    <w:r w:rsidRPr="000C3A57">
      <w:rPr>
        <w:rStyle w:val="SidhuvudUtskott"/>
      </w:rPr>
      <w:fldChar w:fldCharType="end"/>
    </w:r>
    <w:r w:rsidRPr="000C3A57">
      <w:rPr>
        <w:rStyle w:val="SidhuvudUtskott"/>
      </w:rPr>
      <w:t>:</w:t>
    </w:r>
    <w:r w:rsidRPr="000C3A57">
      <w:rPr>
        <w:rStyle w:val="SidhuvudUtskott"/>
      </w:rPr>
      <w:fldChar w:fldCharType="begin" w:fldLock="1"/>
    </w:r>
    <w:r w:rsidRPr="000C3A57">
      <w:rPr>
        <w:rStyle w:val="SidhuvudUtskott"/>
      </w:rPr>
      <w:instrText xml:space="preserve"> DOCPROPERTY Utskott</w:instrText>
    </w:r>
    <w:r w:rsidRPr="000C3A57">
      <w:rPr>
        <w:rStyle w:val="SidhuvudUtskott"/>
      </w:rPr>
      <w:fldChar w:fldCharType="separate"/>
    </w:r>
    <w:r w:rsidRPr="000C3A57">
      <w:rPr>
        <w:rStyle w:val="SidhuvudUtskott"/>
      </w:rPr>
      <w:t>EUN</w: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DOCPROPERTY BetänkandeNr</w:instrText>
    </w:r>
    <w:r w:rsidRPr="000C3A57">
      <w:rPr>
        <w:rStyle w:val="SidhuvudUtskott"/>
      </w:rPr>
      <w:fldChar w:fldCharType="separate"/>
    </w:r>
    <w:r w:rsidRPr="000C3A57">
      <w:rPr>
        <w:rStyle w:val="SidhuvudUtskott"/>
      </w:rPr>
      <w:t>1y</w:t>
    </w:r>
    <w:r w:rsidRPr="000C3A57">
      <w:rPr>
        <w:rStyle w:val="SidhuvudUtskott"/>
      </w:rPr>
      <w:fldChar w:fldCharType="end"/>
    </w:r>
    <w:r w:rsidRPr="000C3A57">
      <w:t xml:space="preserve">     </w:t>
    </w:r>
    <w:r w:rsidRPr="000C3A57">
      <w:rPr>
        <w:rStyle w:val="SidhuvudBilaga"/>
      </w:rPr>
      <w:t xml:space="preserve"> </w:t>
    </w:r>
    <w:r w:rsidRPr="000C3A57">
      <w:rPr>
        <w:rStyle w:val="SidhuvudRubrikReferens"/>
      </w:rPr>
      <w:fldChar w:fldCharType="begin" w:fldLock="1"/>
    </w:r>
    <w:r w:rsidRPr="000C3A57">
      <w:rPr>
        <w:rStyle w:val="SidhuvudRubrikReferens"/>
      </w:rPr>
      <w:instrText xml:space="preserve"> StyleREF "Rubrik 1" </w:instrText>
    </w:r>
    <w:r w:rsidRPr="000C3A57">
      <w:rPr>
        <w:rStyle w:val="SidhuvudRubrikReferens"/>
      </w:rPr>
      <w:fldChar w:fldCharType="separate"/>
    </w:r>
    <w:r w:rsidRPr="000C3A57">
      <w:rPr>
        <w:rStyle w:val="SidhuvudRubrikReferens"/>
      </w:rPr>
      <w:t>Sammanfattning</w:t>
    </w:r>
    <w:r w:rsidRPr="000C3A57">
      <w:rPr>
        <w:rStyle w:val="SidhuvudRubrikReferens"/>
      </w:rPr>
      <w:fldChar w:fldCharType="end"/>
    </w:r>
  </w:p>
  <w:p w:rsidR="003E5B2C" w:rsidRPr="000C3A57" w:rsidRDefault="003E5B2C">
    <w:pPr>
      <w:pStyle w:val="SidhuvudKantJmn"/>
      <w:framePr w:w="8732" w:h="567" w:hRule="exact" w:vSpace="0" w:wrap="around" w:vAnchor="page" w:y="341" w:anchorLock="0"/>
    </w:pPr>
    <w:r w:rsidRPr="000C3A57">
      <w:rPr>
        <w:rStyle w:val="SidhuvudUtskott"/>
      </w:rPr>
      <w:fldChar w:fldCharType="begin" w:fldLock="1"/>
    </w:r>
    <w:r w:rsidRPr="000C3A57">
      <w:rPr>
        <w:rStyle w:val="SidhuvudUtskott"/>
      </w:rPr>
      <w:instrText xml:space="preserve"> DOCPROPERTY Status</w:instrText>
    </w:r>
    <w:r w:rsidRPr="000C3A57">
      <w:rPr>
        <w:rStyle w:val="SidhuvudUtskott"/>
      </w:rPr>
      <w:fldChar w:fldCharType="end"/>
    </w:r>
    <w:r w:rsidRPr="000C3A57">
      <w:rPr>
        <w:rStyle w:val="SidhuvudUtskott"/>
      </w:rPr>
      <w:fldChar w:fldCharType="begin" w:fldLock="1"/>
    </w:r>
    <w:r w:rsidRPr="000C3A57">
      <w:rPr>
        <w:rStyle w:val="SidhuvudUtskott"/>
      </w:rPr>
      <w:instrText xml:space="preserve"> if </w:instrText>
    </w:r>
    <w:r w:rsidRPr="000C3A57">
      <w:rPr>
        <w:rStyle w:val="SidhuvudUtskott"/>
      </w:rPr>
      <w:fldChar w:fldCharType="begin" w:fldLock="1"/>
    </w:r>
    <w:r w:rsidRPr="000C3A57">
      <w:rPr>
        <w:rStyle w:val="SidhuvudUtskott"/>
      </w:rPr>
      <w:instrText xml:space="preserve"> DOCPROPERTY "UtkastDatum"</w:instrText>
    </w:r>
    <w:r w:rsidRPr="000C3A57">
      <w:rPr>
        <w:rStyle w:val="SidhuvudUtskott"/>
      </w:rPr>
      <w:fldChar w:fldCharType="separate"/>
    </w:r>
    <w:r w:rsidRPr="000C3A57">
      <w:rPr>
        <w:rStyle w:val="SidhuvudUtskott"/>
      </w:rPr>
      <w:instrText>Nej</w:instrText>
    </w:r>
    <w:r w:rsidRPr="000C3A57">
      <w:rPr>
        <w:rStyle w:val="SidhuvudUtskott"/>
      </w:rPr>
      <w:fldChar w:fldCharType="end"/>
    </w:r>
    <w:r w:rsidRPr="000C3A57">
      <w:rPr>
        <w:rStyle w:val="SidhuvudUtskott"/>
      </w:rPr>
      <w:instrText xml:space="preserve"> = "Ja" "    </w:instrText>
    </w:r>
    <w:r w:rsidRPr="000C3A57">
      <w:rPr>
        <w:rStyle w:val="SidhuvudUtskott"/>
      </w:rPr>
      <w:fldChar w:fldCharType="begin" w:fldLock="1"/>
    </w:r>
    <w:r w:rsidRPr="000C3A57">
      <w:rPr>
        <w:rStyle w:val="SidhuvudUtskott"/>
      </w:rPr>
      <w:instrText xml:space="preserve"> PRINTDATE \@ "yyyy-MM-dd HH.mm" </w:instrText>
    </w:r>
    <w:r w:rsidRPr="000C3A57">
      <w:rPr>
        <w:rStyle w:val="SidhuvudUtskott"/>
      </w:rPr>
      <w:fldChar w:fldCharType="separate"/>
    </w:r>
    <w:r w:rsidRPr="000C3A57">
      <w:rPr>
        <w:rStyle w:val="SidhuvudUtskott"/>
      </w:rPr>
      <w:instrText>2000-08-11 16.42</w:instrText>
    </w:r>
    <w:r w:rsidRPr="000C3A57">
      <w:rPr>
        <w:rStyle w:val="SidhuvudUtskott"/>
      </w:rPr>
      <w:fldChar w:fldCharType="end"/>
    </w:r>
    <w:r w:rsidRPr="000C3A57">
      <w:rPr>
        <w:rStyle w:val="SidhuvudUtskott"/>
      </w:rPr>
      <w:instrText xml:space="preserve">" </w:instrText>
    </w:r>
    <w:r w:rsidRPr="000C3A57">
      <w:rPr>
        <w:rStyle w:val="SidhuvudUtskott"/>
      </w:rPr>
      <w:fldChar w:fldCharType="end"/>
    </w:r>
  </w:p>
  <w:p w:rsidR="003E5B2C" w:rsidRPr="000C3A57" w:rsidRDefault="003E5B2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Jmn"/>
      <w:framePr w:w="8732" w:h="567" w:hRule="exact" w:vSpace="0" w:wrap="around" w:vAnchor="page" w:y="341" w:anchorLock="0"/>
    </w:pPr>
    <w:r w:rsidRPr="000C3A57">
      <w:rPr>
        <w:rStyle w:val="SidhuvudUtskott"/>
      </w:rPr>
      <w:t>2005/06:EUN1y</w:t>
    </w:r>
    <w:r w:rsidRPr="000C3A57">
      <w:t xml:space="preserve">     </w:t>
    </w:r>
    <w:r w:rsidRPr="000C3A57">
      <w:rPr>
        <w:rStyle w:val="SidhuvudBilaga"/>
      </w:rPr>
      <w:t xml:space="preserve"> </w:t>
    </w:r>
    <w:r w:rsidR="005D27C5" w:rsidRPr="000C3A57">
      <w:rPr>
        <w:rStyle w:val="SidhuvudRubrikReferens"/>
      </w:rPr>
      <w:t>Avvikande mening</w:t>
    </w:r>
  </w:p>
  <w:p w:rsidR="003E5B2C" w:rsidRPr="000C3A57" w:rsidRDefault="003E5B2C">
    <w:pPr>
      <w:pStyle w:val="SidhuvudKantJmn"/>
      <w:framePr w:w="8732" w:h="567" w:hRule="exact" w:vSpace="0" w:wrap="around" w:vAnchor="page" w:y="341" w:anchorLock="0"/>
    </w:pPr>
  </w:p>
  <w:p w:rsidR="003E5B2C" w:rsidRPr="000C3A57" w:rsidRDefault="003E5B2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Udda"/>
      <w:framePr w:w="8732" w:h="567" w:hRule="exact" w:vSpace="0" w:wrap="around" w:vAnchor="page" w:y="341" w:anchorLock="0"/>
    </w:pPr>
    <w:r w:rsidRPr="000C3A57">
      <w:rPr>
        <w:rStyle w:val="SidhuvudRubrikReferens"/>
      </w:rPr>
      <w:fldChar w:fldCharType="begin" w:fldLock="1"/>
    </w:r>
    <w:r w:rsidRPr="000C3A57">
      <w:rPr>
        <w:rStyle w:val="SidhuvudRubrikReferens"/>
      </w:rPr>
      <w:instrText xml:space="preserve"> StyleREF "Rubrik 1" </w:instrText>
    </w:r>
    <w:r w:rsidRPr="000C3A57">
      <w:rPr>
        <w:rStyle w:val="SidhuvudRubrikReferens"/>
      </w:rPr>
      <w:fldChar w:fldCharType="separate"/>
    </w:r>
    <w:r w:rsidRPr="000C3A57">
      <w:rPr>
        <w:rStyle w:val="SidhuvudRubrikReferens"/>
      </w:rPr>
      <w:t>EU-nämndens överväganden</w:t>
    </w:r>
    <w:r w:rsidRPr="000C3A57">
      <w:rPr>
        <w:rStyle w:val="SidhuvudRubrikReferens"/>
      </w:rPr>
      <w:fldChar w:fldCharType="end"/>
    </w:r>
    <w:r w:rsidRPr="000C3A57">
      <w:rPr>
        <w:rStyle w:val="SidhuvudBilaga"/>
      </w:rPr>
      <w:t xml:space="preserve"> </w:t>
    </w:r>
    <w:r w:rsidRPr="000C3A57">
      <w:t xml:space="preserve">     </w:t>
    </w:r>
    <w:r w:rsidRPr="000C3A57">
      <w:rPr>
        <w:rStyle w:val="SidhuvudUtskott"/>
      </w:rPr>
      <w:fldChar w:fldCharType="begin" w:fldLock="1"/>
    </w:r>
    <w:r w:rsidRPr="000C3A57">
      <w:rPr>
        <w:rStyle w:val="SidhuvudUtskott"/>
      </w:rPr>
      <w:instrText xml:space="preserve"> DOCPROPERTY BetänkandeÅr</w:instrText>
    </w:r>
    <w:r w:rsidRPr="000C3A57">
      <w:rPr>
        <w:rStyle w:val="SidhuvudUtskott"/>
      </w:rPr>
      <w:fldChar w:fldCharType="separate"/>
    </w:r>
    <w:r w:rsidRPr="000C3A57">
      <w:rPr>
        <w:rStyle w:val="SidhuvudUtskott"/>
      </w:rPr>
      <w:t>2005/06</w:t>
    </w:r>
    <w:r w:rsidRPr="000C3A57">
      <w:rPr>
        <w:rStyle w:val="SidhuvudUtskott"/>
      </w:rPr>
      <w:fldChar w:fldCharType="end"/>
    </w:r>
    <w:r w:rsidRPr="000C3A57">
      <w:rPr>
        <w:rStyle w:val="SidhuvudUtskott"/>
      </w:rPr>
      <w:t>:</w:t>
    </w:r>
    <w:r w:rsidRPr="000C3A57">
      <w:rPr>
        <w:rStyle w:val="SidhuvudUtskott"/>
      </w:rPr>
      <w:fldChar w:fldCharType="begin" w:fldLock="1"/>
    </w:r>
    <w:r w:rsidRPr="000C3A57">
      <w:rPr>
        <w:rStyle w:val="SidhuvudUtskott"/>
      </w:rPr>
      <w:instrText xml:space="preserve"> DOCPROPERTY</w:instrText>
    </w:r>
    <w:r w:rsidRPr="000C3A57">
      <w:instrText xml:space="preserve"> </w:instrText>
    </w:r>
    <w:r w:rsidRPr="000C3A57">
      <w:rPr>
        <w:rStyle w:val="SidhuvudUtskott"/>
      </w:rPr>
      <w:instrText>Utskott</w:instrText>
    </w:r>
    <w:r w:rsidRPr="000C3A57">
      <w:rPr>
        <w:rStyle w:val="SidhuvudUtskott"/>
      </w:rPr>
      <w:fldChar w:fldCharType="separate"/>
    </w:r>
    <w:r w:rsidRPr="000C3A57">
      <w:rPr>
        <w:rStyle w:val="SidhuvudUtskott"/>
      </w:rPr>
      <w:t>EUN</w: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DOCPROPERTY Betä</w:instrText>
    </w:r>
    <w:r w:rsidRPr="000C3A57">
      <w:rPr>
        <w:rStyle w:val="SidhuvudUtskott"/>
      </w:rPr>
      <w:instrText>n</w:instrText>
    </w:r>
    <w:r w:rsidRPr="000C3A57">
      <w:rPr>
        <w:rStyle w:val="SidhuvudUtskott"/>
      </w:rPr>
      <w:instrText>kandeNr</w:instrText>
    </w:r>
    <w:r w:rsidRPr="000C3A57">
      <w:rPr>
        <w:rStyle w:val="SidhuvudUtskott"/>
      </w:rPr>
      <w:fldChar w:fldCharType="separate"/>
    </w:r>
    <w:r w:rsidRPr="000C3A57">
      <w:rPr>
        <w:rStyle w:val="SidhuvudUtskott"/>
      </w:rPr>
      <w:t>1y</w:t>
    </w:r>
    <w:r w:rsidRPr="000C3A57">
      <w:rPr>
        <w:rStyle w:val="SidhuvudUtskott"/>
      </w:rPr>
      <w:fldChar w:fldCharType="end"/>
    </w:r>
  </w:p>
  <w:p w:rsidR="003E5B2C" w:rsidRPr="000C3A57" w:rsidRDefault="003E5B2C">
    <w:pPr>
      <w:pStyle w:val="SidhuvudKantUdda"/>
      <w:framePr w:w="8732" w:h="567" w:hRule="exact" w:vSpace="0" w:wrap="around" w:vAnchor="page" w:y="341" w:anchorLock="0"/>
    </w:pPr>
    <w:r w:rsidRPr="000C3A57">
      <w:rPr>
        <w:rStyle w:val="SidhuvudUtskott"/>
      </w:rPr>
      <w:fldChar w:fldCharType="begin" w:fldLock="1"/>
    </w:r>
    <w:r w:rsidRPr="000C3A57">
      <w:rPr>
        <w:rStyle w:val="SidhuvudUtskott"/>
      </w:rPr>
      <w:instrText xml:space="preserve"> if </w:instrText>
    </w:r>
    <w:r w:rsidRPr="000C3A57">
      <w:rPr>
        <w:rStyle w:val="SidhuvudUtskott"/>
      </w:rPr>
      <w:fldChar w:fldCharType="begin" w:fldLock="1"/>
    </w:r>
    <w:r w:rsidRPr="000C3A57">
      <w:rPr>
        <w:rStyle w:val="SidhuvudUtskott"/>
      </w:rPr>
      <w:instrText xml:space="preserve"> DOCPROPERTY "UtkastDatum"</w:instrText>
    </w:r>
    <w:r w:rsidRPr="000C3A57">
      <w:rPr>
        <w:rStyle w:val="SidhuvudUtskott"/>
      </w:rPr>
      <w:fldChar w:fldCharType="separate"/>
    </w:r>
    <w:r w:rsidRPr="000C3A57">
      <w:rPr>
        <w:rStyle w:val="SidhuvudUtskott"/>
      </w:rPr>
      <w:instrText>Nej</w:instrText>
    </w:r>
    <w:r w:rsidRPr="000C3A57">
      <w:rPr>
        <w:rStyle w:val="SidhuvudUtskott"/>
      </w:rPr>
      <w:fldChar w:fldCharType="end"/>
    </w:r>
    <w:r w:rsidRPr="000C3A57">
      <w:rPr>
        <w:rStyle w:val="SidhuvudUtskott"/>
      </w:rPr>
      <w:instrText xml:space="preserve"> = "Ja" "</w:instrText>
    </w:r>
    <w:r w:rsidRPr="000C3A57">
      <w:rPr>
        <w:rStyle w:val="SidhuvudUtskott"/>
      </w:rPr>
      <w:fldChar w:fldCharType="begin" w:fldLock="1"/>
    </w:r>
    <w:r w:rsidRPr="000C3A57">
      <w:rPr>
        <w:rStyle w:val="SidhuvudUtskott"/>
      </w:rPr>
      <w:instrText xml:space="preserve"> PRINTDATE \@ "yyyy-MM-dd HH.mm    " </w:instrText>
    </w:r>
    <w:r w:rsidRPr="000C3A57">
      <w:rPr>
        <w:rStyle w:val="SidhuvudUtskott"/>
      </w:rPr>
      <w:fldChar w:fldCharType="separate"/>
    </w:r>
    <w:r w:rsidRPr="000C3A57">
      <w:rPr>
        <w:rStyle w:val="SidhuvudUtskott"/>
      </w:rPr>
      <w:instrText>2000-08-11 16.42</w:instrText>
    </w:r>
    <w:r w:rsidRPr="000C3A57">
      <w:rPr>
        <w:rStyle w:val="SidhuvudUtskott"/>
      </w:rPr>
      <w:fldChar w:fldCharType="end"/>
    </w:r>
    <w:r w:rsidRPr="000C3A57">
      <w:rPr>
        <w:rStyle w:val="SidhuvudUtskott"/>
      </w:rPr>
      <w:instrText xml:space="preserve">" </w:instrTex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w:instrText>
    </w:r>
    <w:r w:rsidRPr="000C3A57">
      <w:rPr>
        <w:rStyle w:val="SidhuvudUtskott"/>
      </w:rPr>
      <w:instrText>O</w:instrText>
    </w:r>
    <w:r w:rsidRPr="000C3A57">
      <w:rPr>
        <w:rStyle w:val="SidhuvudUtskott"/>
      </w:rPr>
      <w:instrText>PERTY Status</w:instrText>
    </w:r>
    <w:r w:rsidRPr="000C3A57">
      <w:rPr>
        <w:rStyle w:val="SidhuvudUtskott"/>
      </w:rPr>
      <w:fldChar w:fldCharType="end"/>
    </w:r>
  </w:p>
  <w:p w:rsidR="003E5B2C" w:rsidRPr="000C3A57" w:rsidRDefault="003E5B2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C5" w:rsidRPr="000C3A57" w:rsidRDefault="005D27C5">
    <w:pPr>
      <w:pStyle w:val="SidhuvudKantUdda"/>
      <w:framePr w:w="8732" w:h="567" w:hRule="exact" w:vSpace="0" w:wrap="around" w:vAnchor="page" w:y="341" w:anchorLock="0"/>
    </w:pPr>
    <w:r w:rsidRPr="000C3A57">
      <w:t xml:space="preserve">  </w:t>
    </w:r>
    <w:r w:rsidRPr="000C3A57">
      <w:rPr>
        <w:rStyle w:val="SidhuvudUtskott"/>
      </w:rPr>
      <w:t>2005/06:EUN1y</w:t>
    </w:r>
  </w:p>
  <w:p w:rsidR="003E5B2C" w:rsidRPr="000C3A57" w:rsidRDefault="003E5B2C">
    <w:pPr>
      <w:pStyle w:val="SidhuvudKantUdda"/>
      <w:framePr w:w="8732" w:h="567" w:hRule="exact" w:vSpace="0" w:wrap="around" w:vAnchor="page" w:y="341" w:anchorLock="0"/>
    </w:pPr>
  </w:p>
  <w:p w:rsidR="003E5B2C" w:rsidRPr="000C3A57" w:rsidRDefault="003E5B2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Udda"/>
      <w:framePr w:w="8732" w:h="567" w:hRule="exact" w:vSpace="0" w:wrap="around" w:vAnchor="page" w:y="341" w:anchorLock="0"/>
    </w:pPr>
    <w:r w:rsidRPr="000C3A57">
      <w:rPr>
        <w:rStyle w:val="SidhuvudRubrikReferens"/>
      </w:rPr>
      <w:fldChar w:fldCharType="begin" w:fldLock="1"/>
    </w:r>
    <w:r w:rsidRPr="000C3A57">
      <w:rPr>
        <w:rStyle w:val="SidhuvudRubrikReferens"/>
      </w:rPr>
      <w:instrText xml:space="preserve"> StyleREF "Rubrik 1" </w:instrText>
    </w:r>
    <w:r w:rsidRPr="000C3A57">
      <w:rPr>
        <w:rStyle w:val="SidhuvudRubrikReferens"/>
      </w:rPr>
      <w:fldChar w:fldCharType="separate"/>
    </w:r>
    <w:r w:rsidRPr="000C3A57">
      <w:rPr>
        <w:rStyle w:val="SidhuvudRubrikReferens"/>
      </w:rPr>
      <w:t>Sammanfattning</w:t>
    </w:r>
    <w:r w:rsidRPr="000C3A57">
      <w:rPr>
        <w:rStyle w:val="SidhuvudRubrikReferens"/>
      </w:rPr>
      <w:fldChar w:fldCharType="end"/>
    </w:r>
    <w:r w:rsidRPr="000C3A57">
      <w:rPr>
        <w:rStyle w:val="SidhuvudBilaga"/>
      </w:rPr>
      <w:t xml:space="preserve"> </w:t>
    </w:r>
    <w:r w:rsidRPr="000C3A57">
      <w:t xml:space="preserve">     </w:t>
    </w:r>
    <w:r w:rsidRPr="000C3A57">
      <w:rPr>
        <w:rStyle w:val="SidhuvudUtskott"/>
      </w:rPr>
      <w:fldChar w:fldCharType="begin" w:fldLock="1"/>
    </w:r>
    <w:r w:rsidRPr="000C3A57">
      <w:rPr>
        <w:rStyle w:val="SidhuvudUtskott"/>
      </w:rPr>
      <w:instrText xml:space="preserve"> DOCPROPERTY BetänkandeÅr</w:instrText>
    </w:r>
    <w:r w:rsidRPr="000C3A57">
      <w:rPr>
        <w:rStyle w:val="SidhuvudUtskott"/>
      </w:rPr>
      <w:fldChar w:fldCharType="separate"/>
    </w:r>
    <w:r w:rsidRPr="000C3A57">
      <w:rPr>
        <w:rStyle w:val="SidhuvudUtskott"/>
      </w:rPr>
      <w:t>2005/06</w:t>
    </w:r>
    <w:r w:rsidRPr="000C3A57">
      <w:rPr>
        <w:rStyle w:val="SidhuvudUtskott"/>
      </w:rPr>
      <w:fldChar w:fldCharType="end"/>
    </w:r>
    <w:r w:rsidRPr="000C3A57">
      <w:rPr>
        <w:rStyle w:val="SidhuvudUtskott"/>
      </w:rPr>
      <w:t>:</w:t>
    </w:r>
    <w:r w:rsidRPr="000C3A57">
      <w:rPr>
        <w:rStyle w:val="SidhuvudUtskott"/>
      </w:rPr>
      <w:fldChar w:fldCharType="begin" w:fldLock="1"/>
    </w:r>
    <w:r w:rsidRPr="000C3A57">
      <w:rPr>
        <w:rStyle w:val="SidhuvudUtskott"/>
      </w:rPr>
      <w:instrText xml:space="preserve"> DOCPROPERTY</w:instrText>
    </w:r>
    <w:r w:rsidRPr="000C3A57">
      <w:instrText xml:space="preserve"> </w:instrText>
    </w:r>
    <w:r w:rsidRPr="000C3A57">
      <w:rPr>
        <w:rStyle w:val="SidhuvudUtskott"/>
      </w:rPr>
      <w:instrText>Utskott</w:instrText>
    </w:r>
    <w:r w:rsidRPr="000C3A57">
      <w:rPr>
        <w:rStyle w:val="SidhuvudUtskott"/>
      </w:rPr>
      <w:fldChar w:fldCharType="separate"/>
    </w:r>
    <w:r w:rsidRPr="000C3A57">
      <w:rPr>
        <w:rStyle w:val="SidhuvudUtskott"/>
      </w:rPr>
      <w:t>EUN</w: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DOCPROPERTY Betä</w:instrText>
    </w:r>
    <w:r w:rsidRPr="000C3A57">
      <w:rPr>
        <w:rStyle w:val="SidhuvudUtskott"/>
      </w:rPr>
      <w:instrText>n</w:instrText>
    </w:r>
    <w:r w:rsidRPr="000C3A57">
      <w:rPr>
        <w:rStyle w:val="SidhuvudUtskott"/>
      </w:rPr>
      <w:instrText>kandeNr</w:instrText>
    </w:r>
    <w:r w:rsidRPr="000C3A57">
      <w:rPr>
        <w:rStyle w:val="SidhuvudUtskott"/>
      </w:rPr>
      <w:fldChar w:fldCharType="separate"/>
    </w:r>
    <w:r w:rsidRPr="000C3A57">
      <w:rPr>
        <w:rStyle w:val="SidhuvudUtskott"/>
      </w:rPr>
      <w:t>1y</w:t>
    </w:r>
    <w:r w:rsidRPr="000C3A57">
      <w:rPr>
        <w:rStyle w:val="SidhuvudUtskott"/>
      </w:rPr>
      <w:fldChar w:fldCharType="end"/>
    </w:r>
  </w:p>
  <w:p w:rsidR="003E5B2C" w:rsidRPr="000C3A57" w:rsidRDefault="003E5B2C">
    <w:pPr>
      <w:pStyle w:val="SidhuvudKantUdda"/>
      <w:framePr w:w="8732" w:h="567" w:hRule="exact" w:vSpace="0" w:wrap="around" w:vAnchor="page" w:y="341" w:anchorLock="0"/>
    </w:pPr>
    <w:r w:rsidRPr="000C3A57">
      <w:rPr>
        <w:rStyle w:val="SidhuvudUtskott"/>
      </w:rPr>
      <w:fldChar w:fldCharType="begin" w:fldLock="1"/>
    </w:r>
    <w:r w:rsidRPr="000C3A57">
      <w:rPr>
        <w:rStyle w:val="SidhuvudUtskott"/>
      </w:rPr>
      <w:instrText xml:space="preserve"> if </w:instrText>
    </w:r>
    <w:r w:rsidRPr="000C3A57">
      <w:rPr>
        <w:rStyle w:val="SidhuvudUtskott"/>
      </w:rPr>
      <w:fldChar w:fldCharType="begin" w:fldLock="1"/>
    </w:r>
    <w:r w:rsidRPr="000C3A57">
      <w:rPr>
        <w:rStyle w:val="SidhuvudUtskott"/>
      </w:rPr>
      <w:instrText xml:space="preserve"> DOCPROPERTY "UtkastDatum"</w:instrText>
    </w:r>
    <w:r w:rsidRPr="000C3A57">
      <w:rPr>
        <w:rStyle w:val="SidhuvudUtskott"/>
      </w:rPr>
      <w:fldChar w:fldCharType="separate"/>
    </w:r>
    <w:r w:rsidRPr="000C3A57">
      <w:rPr>
        <w:rStyle w:val="SidhuvudUtskott"/>
      </w:rPr>
      <w:instrText>Nej</w:instrText>
    </w:r>
    <w:r w:rsidRPr="000C3A57">
      <w:rPr>
        <w:rStyle w:val="SidhuvudUtskott"/>
      </w:rPr>
      <w:fldChar w:fldCharType="end"/>
    </w:r>
    <w:r w:rsidRPr="000C3A57">
      <w:rPr>
        <w:rStyle w:val="SidhuvudUtskott"/>
      </w:rPr>
      <w:instrText xml:space="preserve"> = "Ja" "</w:instrText>
    </w:r>
    <w:r w:rsidRPr="000C3A57">
      <w:rPr>
        <w:rStyle w:val="SidhuvudUtskott"/>
      </w:rPr>
      <w:fldChar w:fldCharType="begin" w:fldLock="1"/>
    </w:r>
    <w:r w:rsidRPr="000C3A57">
      <w:rPr>
        <w:rStyle w:val="SidhuvudUtskott"/>
      </w:rPr>
      <w:instrText xml:space="preserve"> PRINTDATE \@ "yyyy-MM-dd HH.mm    " </w:instrText>
    </w:r>
    <w:r w:rsidRPr="000C3A57">
      <w:rPr>
        <w:rStyle w:val="SidhuvudUtskott"/>
      </w:rPr>
      <w:fldChar w:fldCharType="separate"/>
    </w:r>
    <w:r w:rsidRPr="000C3A57">
      <w:rPr>
        <w:rStyle w:val="SidhuvudUtskott"/>
      </w:rPr>
      <w:instrText>2000-08-11 16.42</w:instrText>
    </w:r>
    <w:r w:rsidRPr="000C3A57">
      <w:rPr>
        <w:rStyle w:val="SidhuvudUtskott"/>
      </w:rPr>
      <w:fldChar w:fldCharType="end"/>
    </w:r>
    <w:r w:rsidRPr="000C3A57">
      <w:rPr>
        <w:rStyle w:val="SidhuvudUtskott"/>
      </w:rPr>
      <w:instrText xml:space="preserve">" </w:instrTex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w:instrText>
    </w:r>
    <w:r w:rsidRPr="000C3A57">
      <w:rPr>
        <w:rStyle w:val="SidhuvudUtskott"/>
      </w:rPr>
      <w:instrText>O</w:instrText>
    </w:r>
    <w:r w:rsidRPr="000C3A57">
      <w:rPr>
        <w:rStyle w:val="SidhuvudUtskott"/>
      </w:rPr>
      <w:instrText>PERTY Status</w:instrText>
    </w:r>
    <w:r w:rsidRPr="000C3A57">
      <w:rPr>
        <w:rStyle w:val="SidhuvudUtskott"/>
      </w:rPr>
      <w:fldChar w:fldCharType="end"/>
    </w:r>
  </w:p>
  <w:p w:rsidR="003E5B2C" w:rsidRPr="000C3A57" w:rsidRDefault="003E5B2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5D27C5">
    <w:pPr>
      <w:pStyle w:val="SidhuvudKantUdda"/>
      <w:framePr w:w="8732" w:h="567" w:hRule="exact" w:vSpace="0" w:wrap="around" w:vAnchor="page" w:y="341" w:anchorLock="0"/>
    </w:pPr>
    <w:r w:rsidRPr="000C3A57">
      <w:t xml:space="preserve"> </w:t>
    </w:r>
  </w:p>
  <w:p w:rsidR="003E5B2C" w:rsidRPr="000C3A57" w:rsidRDefault="003E5B2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Jmn"/>
      <w:framePr w:w="8732" w:h="567" w:hRule="exact" w:vSpace="0" w:wrap="around" w:vAnchor="page" w:y="341" w:anchorLock="0"/>
    </w:pPr>
    <w:r w:rsidRPr="000C3A57">
      <w:rPr>
        <w:rStyle w:val="SidhuvudUtskott"/>
      </w:rPr>
      <w:fldChar w:fldCharType="begin" w:fldLock="1"/>
    </w:r>
    <w:r w:rsidRPr="000C3A57">
      <w:rPr>
        <w:rStyle w:val="SidhuvudUtskott"/>
      </w:rPr>
      <w:instrText xml:space="preserve"> DOCPROPERTY BetänkandeÅr</w:instrText>
    </w:r>
    <w:r w:rsidRPr="000C3A57">
      <w:rPr>
        <w:rStyle w:val="SidhuvudUtskott"/>
      </w:rPr>
      <w:fldChar w:fldCharType="separate"/>
    </w:r>
    <w:r w:rsidRPr="000C3A57">
      <w:rPr>
        <w:rStyle w:val="SidhuvudUtskott"/>
      </w:rPr>
      <w:t>2005/06</w:t>
    </w:r>
    <w:r w:rsidRPr="000C3A57">
      <w:rPr>
        <w:rStyle w:val="SidhuvudUtskott"/>
      </w:rPr>
      <w:fldChar w:fldCharType="end"/>
    </w:r>
    <w:r w:rsidRPr="000C3A57">
      <w:rPr>
        <w:rStyle w:val="SidhuvudUtskott"/>
      </w:rPr>
      <w:t>:</w:t>
    </w:r>
    <w:r w:rsidRPr="000C3A57">
      <w:rPr>
        <w:rStyle w:val="SidhuvudUtskott"/>
      </w:rPr>
      <w:fldChar w:fldCharType="begin" w:fldLock="1"/>
    </w:r>
    <w:r w:rsidRPr="000C3A57">
      <w:rPr>
        <w:rStyle w:val="SidhuvudUtskott"/>
      </w:rPr>
      <w:instrText xml:space="preserve"> DOCPROPERTY Utskott</w:instrText>
    </w:r>
    <w:r w:rsidRPr="000C3A57">
      <w:rPr>
        <w:rStyle w:val="SidhuvudUtskott"/>
      </w:rPr>
      <w:fldChar w:fldCharType="separate"/>
    </w:r>
    <w:r w:rsidRPr="000C3A57">
      <w:rPr>
        <w:rStyle w:val="SidhuvudUtskott"/>
      </w:rPr>
      <w:t>EUN</w: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DOCPROPERTY BetänkandeNr</w:instrText>
    </w:r>
    <w:r w:rsidRPr="000C3A57">
      <w:rPr>
        <w:rStyle w:val="SidhuvudUtskott"/>
      </w:rPr>
      <w:fldChar w:fldCharType="separate"/>
    </w:r>
    <w:r w:rsidRPr="000C3A57">
      <w:rPr>
        <w:rStyle w:val="SidhuvudUtskott"/>
      </w:rPr>
      <w:t>1y</w:t>
    </w:r>
    <w:r w:rsidRPr="000C3A57">
      <w:rPr>
        <w:rStyle w:val="SidhuvudUtskott"/>
      </w:rPr>
      <w:fldChar w:fldCharType="end"/>
    </w:r>
    <w:r w:rsidRPr="000C3A57">
      <w:t xml:space="preserve">     </w:t>
    </w:r>
    <w:r w:rsidRPr="000C3A57">
      <w:rPr>
        <w:rStyle w:val="SidhuvudBilaga"/>
      </w:rPr>
      <w:t xml:space="preserve"> </w:t>
    </w:r>
    <w:r w:rsidRPr="000C3A57">
      <w:rPr>
        <w:rStyle w:val="SidhuvudRubrikReferens"/>
      </w:rPr>
      <w:fldChar w:fldCharType="begin" w:fldLock="1"/>
    </w:r>
    <w:r w:rsidRPr="000C3A57">
      <w:rPr>
        <w:rStyle w:val="SidhuvudRubrikReferens"/>
      </w:rPr>
      <w:instrText xml:space="preserve"> StyleREF "Rubrik 1" </w:instrText>
    </w:r>
    <w:r w:rsidRPr="000C3A57">
      <w:rPr>
        <w:rStyle w:val="SidhuvudRubrikReferens"/>
      </w:rPr>
      <w:fldChar w:fldCharType="end"/>
    </w:r>
  </w:p>
  <w:p w:rsidR="003E5B2C" w:rsidRPr="000C3A57" w:rsidRDefault="003E5B2C">
    <w:pPr>
      <w:pStyle w:val="SidhuvudKantJmn"/>
      <w:framePr w:w="8732" w:h="567" w:hRule="exact" w:vSpace="0" w:wrap="around" w:vAnchor="page" w:y="341" w:anchorLock="0"/>
    </w:pPr>
    <w:r w:rsidRPr="000C3A57">
      <w:rPr>
        <w:rStyle w:val="SidhuvudUtskott"/>
      </w:rPr>
      <w:fldChar w:fldCharType="begin" w:fldLock="1"/>
    </w:r>
    <w:r w:rsidRPr="000C3A57">
      <w:rPr>
        <w:rStyle w:val="SidhuvudUtskott"/>
      </w:rPr>
      <w:instrText xml:space="preserve"> DOCPROPERTY Status</w:instrText>
    </w:r>
    <w:r w:rsidRPr="000C3A57">
      <w:rPr>
        <w:rStyle w:val="SidhuvudUtskott"/>
      </w:rPr>
      <w:fldChar w:fldCharType="end"/>
    </w:r>
    <w:r w:rsidRPr="000C3A57">
      <w:rPr>
        <w:rStyle w:val="SidhuvudUtskott"/>
      </w:rPr>
      <w:fldChar w:fldCharType="begin" w:fldLock="1"/>
    </w:r>
    <w:r w:rsidRPr="000C3A57">
      <w:rPr>
        <w:rStyle w:val="SidhuvudUtskott"/>
      </w:rPr>
      <w:instrText xml:space="preserve"> if </w:instrText>
    </w:r>
    <w:r w:rsidRPr="000C3A57">
      <w:rPr>
        <w:rStyle w:val="SidhuvudUtskott"/>
      </w:rPr>
      <w:fldChar w:fldCharType="begin" w:fldLock="1"/>
    </w:r>
    <w:r w:rsidRPr="000C3A57">
      <w:rPr>
        <w:rStyle w:val="SidhuvudUtskott"/>
      </w:rPr>
      <w:instrText xml:space="preserve"> DOCPROPERTY "UtkastDatum"</w:instrText>
    </w:r>
    <w:r w:rsidRPr="000C3A57">
      <w:rPr>
        <w:rStyle w:val="SidhuvudUtskott"/>
      </w:rPr>
      <w:fldChar w:fldCharType="separate"/>
    </w:r>
    <w:r w:rsidRPr="000C3A57">
      <w:rPr>
        <w:rStyle w:val="SidhuvudUtskott"/>
      </w:rPr>
      <w:instrText>Nej</w:instrText>
    </w:r>
    <w:r w:rsidRPr="000C3A57">
      <w:rPr>
        <w:rStyle w:val="SidhuvudUtskott"/>
      </w:rPr>
      <w:fldChar w:fldCharType="end"/>
    </w:r>
    <w:r w:rsidRPr="000C3A57">
      <w:rPr>
        <w:rStyle w:val="SidhuvudUtskott"/>
      </w:rPr>
      <w:instrText xml:space="preserve"> = "Ja" "    </w:instrText>
    </w:r>
    <w:r w:rsidRPr="000C3A57">
      <w:rPr>
        <w:rStyle w:val="SidhuvudUtskott"/>
      </w:rPr>
      <w:fldChar w:fldCharType="begin" w:fldLock="1"/>
    </w:r>
    <w:r w:rsidRPr="000C3A57">
      <w:rPr>
        <w:rStyle w:val="SidhuvudUtskott"/>
      </w:rPr>
      <w:instrText xml:space="preserve"> PRINTDATE \@ "yyyy-MM-dd HH.mm" </w:instrText>
    </w:r>
    <w:r w:rsidRPr="000C3A57">
      <w:rPr>
        <w:rStyle w:val="SidhuvudUtskott"/>
      </w:rPr>
      <w:fldChar w:fldCharType="separate"/>
    </w:r>
    <w:r w:rsidRPr="000C3A57">
      <w:rPr>
        <w:rStyle w:val="SidhuvudUtskott"/>
      </w:rPr>
      <w:instrText>2000-08-11 16.42</w:instrText>
    </w:r>
    <w:r w:rsidRPr="000C3A57">
      <w:rPr>
        <w:rStyle w:val="SidhuvudUtskott"/>
      </w:rPr>
      <w:fldChar w:fldCharType="end"/>
    </w:r>
    <w:r w:rsidRPr="000C3A57">
      <w:rPr>
        <w:rStyle w:val="SidhuvudUtskott"/>
      </w:rPr>
      <w:instrText xml:space="preserve">" </w:instrText>
    </w:r>
    <w:r w:rsidRPr="000C3A57">
      <w:rPr>
        <w:rStyle w:val="SidhuvudUtskott"/>
      </w:rPr>
      <w:fldChar w:fldCharType="end"/>
    </w:r>
  </w:p>
  <w:p w:rsidR="003E5B2C" w:rsidRPr="000C3A57" w:rsidRDefault="003E5B2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Udda"/>
      <w:framePr w:w="8732" w:h="567" w:hRule="exact" w:vSpace="0" w:wrap="around" w:vAnchor="page" w:y="341" w:anchorLock="0"/>
    </w:pPr>
    <w:r w:rsidRPr="000C3A57">
      <w:rPr>
        <w:rStyle w:val="SidhuvudRubrikReferens"/>
      </w:rPr>
      <w:fldChar w:fldCharType="begin" w:fldLock="1"/>
    </w:r>
    <w:r w:rsidRPr="000C3A57">
      <w:rPr>
        <w:rStyle w:val="SidhuvudRubrikReferens"/>
      </w:rPr>
      <w:instrText xml:space="preserve"> StyleREF "Rubrik 1" </w:instrText>
    </w:r>
    <w:r w:rsidRPr="000C3A57">
      <w:rPr>
        <w:rStyle w:val="SidhuvudRubrikReferens"/>
      </w:rPr>
      <w:fldChar w:fldCharType="end"/>
    </w:r>
    <w:r w:rsidRPr="000C3A57">
      <w:rPr>
        <w:rStyle w:val="SidhuvudBilaga"/>
      </w:rPr>
      <w:t xml:space="preserve"> </w:t>
    </w:r>
    <w:r w:rsidRPr="000C3A57">
      <w:t xml:space="preserve">     </w:t>
    </w:r>
    <w:r w:rsidRPr="000C3A57">
      <w:rPr>
        <w:rStyle w:val="SidhuvudUtskott"/>
      </w:rPr>
      <w:fldChar w:fldCharType="begin" w:fldLock="1"/>
    </w:r>
    <w:r w:rsidRPr="000C3A57">
      <w:rPr>
        <w:rStyle w:val="SidhuvudUtskott"/>
      </w:rPr>
      <w:instrText xml:space="preserve"> DOCPROPERTY BetänkandeÅr</w:instrText>
    </w:r>
    <w:r w:rsidRPr="000C3A57">
      <w:rPr>
        <w:rStyle w:val="SidhuvudUtskott"/>
      </w:rPr>
      <w:fldChar w:fldCharType="separate"/>
    </w:r>
    <w:r w:rsidRPr="000C3A57">
      <w:rPr>
        <w:rStyle w:val="SidhuvudUtskott"/>
      </w:rPr>
      <w:t>2005/06</w:t>
    </w:r>
    <w:r w:rsidRPr="000C3A57">
      <w:rPr>
        <w:rStyle w:val="SidhuvudUtskott"/>
      </w:rPr>
      <w:fldChar w:fldCharType="end"/>
    </w:r>
    <w:r w:rsidRPr="000C3A57">
      <w:rPr>
        <w:rStyle w:val="SidhuvudUtskott"/>
      </w:rPr>
      <w:t>:</w:t>
    </w:r>
    <w:r w:rsidRPr="000C3A57">
      <w:rPr>
        <w:rStyle w:val="SidhuvudUtskott"/>
      </w:rPr>
      <w:fldChar w:fldCharType="begin" w:fldLock="1"/>
    </w:r>
    <w:r w:rsidRPr="000C3A57">
      <w:rPr>
        <w:rStyle w:val="SidhuvudUtskott"/>
      </w:rPr>
      <w:instrText xml:space="preserve"> DOCPROPERTY</w:instrText>
    </w:r>
    <w:r w:rsidRPr="000C3A57">
      <w:instrText xml:space="preserve"> </w:instrText>
    </w:r>
    <w:r w:rsidRPr="000C3A57">
      <w:rPr>
        <w:rStyle w:val="SidhuvudUtskott"/>
      </w:rPr>
      <w:instrText>Utskott</w:instrText>
    </w:r>
    <w:r w:rsidRPr="000C3A57">
      <w:rPr>
        <w:rStyle w:val="SidhuvudUtskott"/>
      </w:rPr>
      <w:fldChar w:fldCharType="separate"/>
    </w:r>
    <w:r w:rsidRPr="000C3A57">
      <w:rPr>
        <w:rStyle w:val="SidhuvudUtskott"/>
      </w:rPr>
      <w:t>EUN</w: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DOCPROPERTY Betä</w:instrText>
    </w:r>
    <w:r w:rsidRPr="000C3A57">
      <w:rPr>
        <w:rStyle w:val="SidhuvudUtskott"/>
      </w:rPr>
      <w:instrText>n</w:instrText>
    </w:r>
    <w:r w:rsidRPr="000C3A57">
      <w:rPr>
        <w:rStyle w:val="SidhuvudUtskott"/>
      </w:rPr>
      <w:instrText>kandeNr</w:instrText>
    </w:r>
    <w:r w:rsidRPr="000C3A57">
      <w:rPr>
        <w:rStyle w:val="SidhuvudUtskott"/>
      </w:rPr>
      <w:fldChar w:fldCharType="separate"/>
    </w:r>
    <w:r w:rsidRPr="000C3A57">
      <w:rPr>
        <w:rStyle w:val="SidhuvudUtskott"/>
      </w:rPr>
      <w:t>1y</w:t>
    </w:r>
    <w:r w:rsidRPr="000C3A57">
      <w:rPr>
        <w:rStyle w:val="SidhuvudUtskott"/>
      </w:rPr>
      <w:fldChar w:fldCharType="end"/>
    </w:r>
  </w:p>
  <w:p w:rsidR="003E5B2C" w:rsidRPr="000C3A57" w:rsidRDefault="003E5B2C">
    <w:pPr>
      <w:pStyle w:val="SidhuvudKantUdda"/>
      <w:framePr w:w="8732" w:h="567" w:hRule="exact" w:vSpace="0" w:wrap="around" w:vAnchor="page" w:y="341" w:anchorLock="0"/>
    </w:pPr>
    <w:r w:rsidRPr="000C3A57">
      <w:rPr>
        <w:rStyle w:val="SidhuvudUtskott"/>
      </w:rPr>
      <w:fldChar w:fldCharType="begin" w:fldLock="1"/>
    </w:r>
    <w:r w:rsidRPr="000C3A57">
      <w:rPr>
        <w:rStyle w:val="SidhuvudUtskott"/>
      </w:rPr>
      <w:instrText xml:space="preserve"> if </w:instrText>
    </w:r>
    <w:r w:rsidRPr="000C3A57">
      <w:rPr>
        <w:rStyle w:val="SidhuvudUtskott"/>
      </w:rPr>
      <w:fldChar w:fldCharType="begin" w:fldLock="1"/>
    </w:r>
    <w:r w:rsidRPr="000C3A57">
      <w:rPr>
        <w:rStyle w:val="SidhuvudUtskott"/>
      </w:rPr>
      <w:instrText xml:space="preserve"> DOCPROPERTY "UtkastDatum"</w:instrText>
    </w:r>
    <w:r w:rsidRPr="000C3A57">
      <w:rPr>
        <w:rStyle w:val="SidhuvudUtskott"/>
      </w:rPr>
      <w:fldChar w:fldCharType="separate"/>
    </w:r>
    <w:r w:rsidRPr="000C3A57">
      <w:rPr>
        <w:rStyle w:val="SidhuvudUtskott"/>
      </w:rPr>
      <w:instrText>Nej</w:instrText>
    </w:r>
    <w:r w:rsidRPr="000C3A57">
      <w:rPr>
        <w:rStyle w:val="SidhuvudUtskott"/>
      </w:rPr>
      <w:fldChar w:fldCharType="end"/>
    </w:r>
    <w:r w:rsidRPr="000C3A57">
      <w:rPr>
        <w:rStyle w:val="SidhuvudUtskott"/>
      </w:rPr>
      <w:instrText xml:space="preserve"> = "Ja" "</w:instrText>
    </w:r>
    <w:r w:rsidRPr="000C3A57">
      <w:rPr>
        <w:rStyle w:val="SidhuvudUtskott"/>
      </w:rPr>
      <w:fldChar w:fldCharType="begin" w:fldLock="1"/>
    </w:r>
    <w:r w:rsidRPr="000C3A57">
      <w:rPr>
        <w:rStyle w:val="SidhuvudUtskott"/>
      </w:rPr>
      <w:instrText xml:space="preserve"> PRINTDATE \@ "yyyy-MM-dd HH.mm    " </w:instrText>
    </w:r>
    <w:r w:rsidRPr="000C3A57">
      <w:rPr>
        <w:rStyle w:val="SidhuvudUtskott"/>
      </w:rPr>
      <w:fldChar w:fldCharType="separate"/>
    </w:r>
    <w:r w:rsidRPr="000C3A57">
      <w:rPr>
        <w:rStyle w:val="SidhuvudUtskott"/>
      </w:rPr>
      <w:instrText>2000-08-11 16.42</w:instrText>
    </w:r>
    <w:r w:rsidRPr="000C3A57">
      <w:rPr>
        <w:rStyle w:val="SidhuvudUtskott"/>
      </w:rPr>
      <w:fldChar w:fldCharType="end"/>
    </w:r>
    <w:r w:rsidRPr="000C3A57">
      <w:rPr>
        <w:rStyle w:val="SidhuvudUtskott"/>
      </w:rPr>
      <w:instrText xml:space="preserve">" </w:instrText>
    </w:r>
    <w:r w:rsidRPr="000C3A57">
      <w:rPr>
        <w:rStyle w:val="SidhuvudUtskott"/>
      </w:rPr>
      <w:fldChar w:fldCharType="end"/>
    </w:r>
    <w:r w:rsidRPr="000C3A57">
      <w:rPr>
        <w:rStyle w:val="SidhuvudUtskott"/>
      </w:rPr>
      <w:fldChar w:fldCharType="begin" w:fldLock="1"/>
    </w:r>
    <w:r w:rsidRPr="000C3A57">
      <w:rPr>
        <w:rStyle w:val="SidhuvudUtskott"/>
      </w:rPr>
      <w:instrText xml:space="preserve"> DOCPR</w:instrText>
    </w:r>
    <w:r w:rsidRPr="000C3A57">
      <w:rPr>
        <w:rStyle w:val="SidhuvudUtskott"/>
      </w:rPr>
      <w:instrText>O</w:instrText>
    </w:r>
    <w:r w:rsidRPr="000C3A57">
      <w:rPr>
        <w:rStyle w:val="SidhuvudUtskott"/>
      </w:rPr>
      <w:instrText>PERTY Status</w:instrText>
    </w:r>
    <w:r w:rsidRPr="000C3A57">
      <w:rPr>
        <w:rStyle w:val="SidhuvudUtskott"/>
      </w:rPr>
      <w:fldChar w:fldCharType="end"/>
    </w:r>
  </w:p>
  <w:p w:rsidR="003E5B2C" w:rsidRPr="000C3A57" w:rsidRDefault="003E5B2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C5" w:rsidRPr="000C3A57" w:rsidRDefault="005D27C5">
    <w:pPr>
      <w:pStyle w:val="SidhuvudKantJmn"/>
      <w:framePr w:w="8732" w:h="567" w:hRule="exact" w:vSpace="0" w:wrap="around" w:vAnchor="page" w:y="341" w:anchorLock="0"/>
    </w:pPr>
    <w:r w:rsidRPr="000C3A57">
      <w:rPr>
        <w:rStyle w:val="SidhuvudUtskott"/>
      </w:rPr>
      <w:t>2005/06:EUN1y</w:t>
    </w:r>
    <w:r w:rsidRPr="000C3A57">
      <w:t xml:space="preserve">    </w:t>
    </w:r>
  </w:p>
  <w:p w:rsidR="005D27C5" w:rsidRPr="000C3A57" w:rsidRDefault="005D27C5">
    <w:pPr>
      <w:pStyle w:val="SidhuvudKantJmn"/>
      <w:framePr w:w="8732" w:h="567" w:hRule="exact" w:vSpace="0" w:wrap="around" w:vAnchor="page" w:y="341" w:anchorLock="0"/>
    </w:pPr>
  </w:p>
  <w:p w:rsidR="003E5B2C" w:rsidRPr="000C3A57" w:rsidRDefault="005D27C5">
    <w:pPr>
      <w:pStyle w:val="SidhuvudKantUdda"/>
      <w:framePr w:w="8732" w:h="567" w:hRule="exact" w:vSpace="0" w:wrap="around" w:vAnchor="page" w:y="341" w:anchorLock="0"/>
    </w:pPr>
    <w:r w:rsidRPr="000C3A57">
      <w:rPr>
        <w:rStyle w:val="SidhuvudRubrikReferens"/>
        <w:smallCaps w:val="0"/>
      </w:rPr>
      <w:t xml:space="preserve"> </w:t>
    </w:r>
  </w:p>
  <w:p w:rsidR="003E5B2C" w:rsidRPr="000C3A57" w:rsidRDefault="003E5B2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3E5B2C">
    <w:pPr>
      <w:pStyle w:val="SidhuvudKantJmn"/>
      <w:framePr w:w="8732" w:h="567" w:hRule="exact" w:vSpace="0" w:wrap="around" w:vAnchor="page" w:y="341" w:anchorLock="0"/>
    </w:pPr>
    <w:r w:rsidRPr="000C3A57">
      <w:rPr>
        <w:rStyle w:val="SidhuvudUtskott"/>
      </w:rPr>
      <w:t>2005/06:EUN1y</w:t>
    </w:r>
    <w:r w:rsidRPr="000C3A57">
      <w:t xml:space="preserve">     </w:t>
    </w:r>
    <w:r w:rsidRPr="000C3A57">
      <w:rPr>
        <w:rStyle w:val="SidhuvudBilaga"/>
      </w:rPr>
      <w:t xml:space="preserve"> </w:t>
    </w:r>
    <w:r w:rsidR="005D27C5" w:rsidRPr="000C3A57">
      <w:rPr>
        <w:rStyle w:val="SidhuvudRubrikReferens"/>
      </w:rPr>
      <w:t>EU-nämndens överväganden</w:t>
    </w:r>
  </w:p>
  <w:p w:rsidR="003E5B2C" w:rsidRPr="000C3A57" w:rsidRDefault="003E5B2C">
    <w:pPr>
      <w:pStyle w:val="SidhuvudKantJmn"/>
      <w:framePr w:w="8732" w:h="567" w:hRule="exact" w:vSpace="0" w:wrap="around" w:vAnchor="page" w:y="341" w:anchorLock="0"/>
    </w:pPr>
  </w:p>
  <w:p w:rsidR="003E5B2C" w:rsidRPr="000C3A57" w:rsidRDefault="003E5B2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B2C" w:rsidRPr="000C3A57" w:rsidRDefault="005D27C5">
    <w:pPr>
      <w:pStyle w:val="SidhuvudKantUdda"/>
      <w:framePr w:w="8732" w:h="567" w:hRule="exact" w:vSpace="0" w:wrap="around" w:vAnchor="page" w:y="341" w:anchorLock="0"/>
    </w:pPr>
    <w:r w:rsidRPr="000C3A57">
      <w:rPr>
        <w:rStyle w:val="SidhuvudRubrikReferens"/>
      </w:rPr>
      <w:t>EU-nämndens överväganden</w:t>
    </w:r>
    <w:r w:rsidR="003E5B2C" w:rsidRPr="000C3A57">
      <w:rPr>
        <w:rStyle w:val="SidhuvudBilaga"/>
      </w:rPr>
      <w:t xml:space="preserve"> </w:t>
    </w:r>
    <w:r w:rsidR="003E5B2C" w:rsidRPr="000C3A57">
      <w:t xml:space="preserve">     </w:t>
    </w:r>
    <w:r w:rsidR="003E5B2C" w:rsidRPr="000C3A57">
      <w:rPr>
        <w:rStyle w:val="SidhuvudUtskott"/>
      </w:rPr>
      <w:t>2005/06:EUN1y</w:t>
    </w:r>
  </w:p>
  <w:p w:rsidR="003E5B2C" w:rsidRPr="000C3A57" w:rsidRDefault="003E5B2C">
    <w:pPr>
      <w:pStyle w:val="SidhuvudKantUdda"/>
      <w:framePr w:w="8732" w:h="567" w:hRule="exact" w:vSpace="0" w:wrap="around" w:vAnchor="page" w:y="341" w:anchorLock="0"/>
    </w:pPr>
  </w:p>
  <w:p w:rsidR="003E5B2C" w:rsidRPr="000C3A57" w:rsidRDefault="003E5B2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C5" w:rsidRPr="000C3A57" w:rsidRDefault="005D27C5">
    <w:pPr>
      <w:pStyle w:val="SidhuvudKantUdda"/>
      <w:framePr w:w="8732" w:h="567" w:hRule="exact" w:vSpace="0" w:wrap="around" w:vAnchor="page" w:y="341" w:anchorLock="0"/>
    </w:pPr>
    <w:r w:rsidRPr="000C3A57">
      <w:t xml:space="preserve">  </w:t>
    </w:r>
    <w:r w:rsidRPr="000C3A57">
      <w:rPr>
        <w:rStyle w:val="SidhuvudUtskott"/>
      </w:rPr>
      <w:t>2005/06:EUN1y</w:t>
    </w:r>
  </w:p>
  <w:p w:rsidR="003E5B2C" w:rsidRPr="000C3A57" w:rsidRDefault="003E5B2C">
    <w:pPr>
      <w:pStyle w:val="SidhuvudKantUdda"/>
      <w:framePr w:w="8732" w:h="567" w:hRule="exact" w:vSpace="0" w:wrap="around" w:vAnchor="page" w:y="341" w:anchorLock="0"/>
    </w:pPr>
  </w:p>
  <w:p w:rsidR="003E5B2C" w:rsidRPr="000C3A57" w:rsidRDefault="003E5B2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25854703">
    <w:abstractNumId w:val="10"/>
  </w:num>
  <w:num w:numId="2" w16cid:durableId="200748661">
    <w:abstractNumId w:val="8"/>
  </w:num>
  <w:num w:numId="3" w16cid:durableId="146676819">
    <w:abstractNumId w:val="3"/>
  </w:num>
  <w:num w:numId="4" w16cid:durableId="1497846438">
    <w:abstractNumId w:val="2"/>
  </w:num>
  <w:num w:numId="5" w16cid:durableId="2083795921">
    <w:abstractNumId w:val="1"/>
  </w:num>
  <w:num w:numId="6" w16cid:durableId="569736803">
    <w:abstractNumId w:val="0"/>
  </w:num>
  <w:num w:numId="7" w16cid:durableId="2076465551">
    <w:abstractNumId w:val="9"/>
  </w:num>
  <w:num w:numId="8" w16cid:durableId="505747644">
    <w:abstractNumId w:val="7"/>
  </w:num>
  <w:num w:numId="9" w16cid:durableId="145436326">
    <w:abstractNumId w:val="6"/>
  </w:num>
  <w:num w:numId="10" w16cid:durableId="1067190725">
    <w:abstractNumId w:val="5"/>
  </w:num>
  <w:num w:numId="11" w16cid:durableId="52392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506"/>
  </w:docVars>
  <w:rsids>
    <w:rsidRoot w:val="00284C15"/>
    <w:rsid w:val="0000675D"/>
    <w:rsid w:val="00032329"/>
    <w:rsid w:val="00053026"/>
    <w:rsid w:val="000631F8"/>
    <w:rsid w:val="000B76C7"/>
    <w:rsid w:val="000C3A57"/>
    <w:rsid w:val="000C5C70"/>
    <w:rsid w:val="000F720C"/>
    <w:rsid w:val="00143521"/>
    <w:rsid w:val="00170C50"/>
    <w:rsid w:val="001728E5"/>
    <w:rsid w:val="001730A3"/>
    <w:rsid w:val="00174134"/>
    <w:rsid w:val="001C06E9"/>
    <w:rsid w:val="001C2C91"/>
    <w:rsid w:val="001D61C9"/>
    <w:rsid w:val="00230F1E"/>
    <w:rsid w:val="002316D8"/>
    <w:rsid w:val="00234A3E"/>
    <w:rsid w:val="0023664C"/>
    <w:rsid w:val="00236D8A"/>
    <w:rsid w:val="0025268B"/>
    <w:rsid w:val="00267AE0"/>
    <w:rsid w:val="00272C63"/>
    <w:rsid w:val="00273E98"/>
    <w:rsid w:val="00275ACF"/>
    <w:rsid w:val="00284C15"/>
    <w:rsid w:val="00292890"/>
    <w:rsid w:val="00296B17"/>
    <w:rsid w:val="002B6F63"/>
    <w:rsid w:val="002C1B26"/>
    <w:rsid w:val="0031614E"/>
    <w:rsid w:val="00323314"/>
    <w:rsid w:val="0035321C"/>
    <w:rsid w:val="00366DB3"/>
    <w:rsid w:val="003A430A"/>
    <w:rsid w:val="003C1C5C"/>
    <w:rsid w:val="003E30DE"/>
    <w:rsid w:val="003E5B2C"/>
    <w:rsid w:val="0046177F"/>
    <w:rsid w:val="00465A98"/>
    <w:rsid w:val="00466F87"/>
    <w:rsid w:val="0048092A"/>
    <w:rsid w:val="004A27DE"/>
    <w:rsid w:val="004A33BC"/>
    <w:rsid w:val="004A61F3"/>
    <w:rsid w:val="004B15F8"/>
    <w:rsid w:val="004B611C"/>
    <w:rsid w:val="004C6C95"/>
    <w:rsid w:val="004D14E0"/>
    <w:rsid w:val="004D1B60"/>
    <w:rsid w:val="004D22B4"/>
    <w:rsid w:val="004F3AC3"/>
    <w:rsid w:val="004F62C6"/>
    <w:rsid w:val="00513858"/>
    <w:rsid w:val="00540B4E"/>
    <w:rsid w:val="0054517A"/>
    <w:rsid w:val="00567D72"/>
    <w:rsid w:val="005832C1"/>
    <w:rsid w:val="00594277"/>
    <w:rsid w:val="0059656E"/>
    <w:rsid w:val="005A1686"/>
    <w:rsid w:val="005A581A"/>
    <w:rsid w:val="005B3579"/>
    <w:rsid w:val="005B7FB8"/>
    <w:rsid w:val="005D27C5"/>
    <w:rsid w:val="005D3B2F"/>
    <w:rsid w:val="005D3F7D"/>
    <w:rsid w:val="005D703E"/>
    <w:rsid w:val="005F2643"/>
    <w:rsid w:val="006020B3"/>
    <w:rsid w:val="006646CF"/>
    <w:rsid w:val="00675C4B"/>
    <w:rsid w:val="006A5BD4"/>
    <w:rsid w:val="006B5E70"/>
    <w:rsid w:val="006D2729"/>
    <w:rsid w:val="006D7DC9"/>
    <w:rsid w:val="0072665E"/>
    <w:rsid w:val="00731753"/>
    <w:rsid w:val="007319C9"/>
    <w:rsid w:val="00741370"/>
    <w:rsid w:val="0076180C"/>
    <w:rsid w:val="007E5DF3"/>
    <w:rsid w:val="007F0AA1"/>
    <w:rsid w:val="007F48AF"/>
    <w:rsid w:val="00801BEC"/>
    <w:rsid w:val="008030C6"/>
    <w:rsid w:val="008256D1"/>
    <w:rsid w:val="00875F54"/>
    <w:rsid w:val="00881DE2"/>
    <w:rsid w:val="0089664A"/>
    <w:rsid w:val="008B67A1"/>
    <w:rsid w:val="008B6EDF"/>
    <w:rsid w:val="008D1663"/>
    <w:rsid w:val="00904469"/>
    <w:rsid w:val="00904D2A"/>
    <w:rsid w:val="00905CB4"/>
    <w:rsid w:val="009167EB"/>
    <w:rsid w:val="00926BE0"/>
    <w:rsid w:val="00962785"/>
    <w:rsid w:val="00981F1D"/>
    <w:rsid w:val="00985D67"/>
    <w:rsid w:val="00991B77"/>
    <w:rsid w:val="009934ED"/>
    <w:rsid w:val="009D164C"/>
    <w:rsid w:val="009F29F4"/>
    <w:rsid w:val="009F68BF"/>
    <w:rsid w:val="00A1042B"/>
    <w:rsid w:val="00A210F6"/>
    <w:rsid w:val="00A2594D"/>
    <w:rsid w:val="00A537BD"/>
    <w:rsid w:val="00A57008"/>
    <w:rsid w:val="00A67269"/>
    <w:rsid w:val="00A93F13"/>
    <w:rsid w:val="00A95378"/>
    <w:rsid w:val="00AB6C05"/>
    <w:rsid w:val="00AD4923"/>
    <w:rsid w:val="00AF1BA9"/>
    <w:rsid w:val="00B07B1F"/>
    <w:rsid w:val="00B17B73"/>
    <w:rsid w:val="00B40542"/>
    <w:rsid w:val="00BB4EFC"/>
    <w:rsid w:val="00BB7C5F"/>
    <w:rsid w:val="00BE4B82"/>
    <w:rsid w:val="00BE5B41"/>
    <w:rsid w:val="00BF5C53"/>
    <w:rsid w:val="00C07A82"/>
    <w:rsid w:val="00C07C09"/>
    <w:rsid w:val="00C1574E"/>
    <w:rsid w:val="00C23C88"/>
    <w:rsid w:val="00C25035"/>
    <w:rsid w:val="00C50435"/>
    <w:rsid w:val="00C561B4"/>
    <w:rsid w:val="00C57F01"/>
    <w:rsid w:val="00C728A1"/>
    <w:rsid w:val="00C97E0B"/>
    <w:rsid w:val="00CB2CE0"/>
    <w:rsid w:val="00CC7756"/>
    <w:rsid w:val="00CF3BA9"/>
    <w:rsid w:val="00D10A4D"/>
    <w:rsid w:val="00D80249"/>
    <w:rsid w:val="00D81754"/>
    <w:rsid w:val="00D85BAE"/>
    <w:rsid w:val="00D943A7"/>
    <w:rsid w:val="00DA15CE"/>
    <w:rsid w:val="00DB6D69"/>
    <w:rsid w:val="00DC2758"/>
    <w:rsid w:val="00DD365D"/>
    <w:rsid w:val="00DD4E70"/>
    <w:rsid w:val="00E0078A"/>
    <w:rsid w:val="00E12733"/>
    <w:rsid w:val="00E13C2F"/>
    <w:rsid w:val="00E20D56"/>
    <w:rsid w:val="00E454ED"/>
    <w:rsid w:val="00E7572F"/>
    <w:rsid w:val="00EA7FB3"/>
    <w:rsid w:val="00F119C7"/>
    <w:rsid w:val="00F2096A"/>
    <w:rsid w:val="00F329EB"/>
    <w:rsid w:val="00F41A04"/>
    <w:rsid w:val="00F53A97"/>
    <w:rsid w:val="00F7048C"/>
    <w:rsid w:val="00F90EA9"/>
    <w:rsid w:val="00FB1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107FFD-EFA4-4882-BFB8-CA88513B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pPr>
      <w:spacing w:before="240" w:after="120"/>
      <w:jc w:val="left"/>
    </w:pPr>
    <w:rPr>
      <w:b/>
      <w:bCs/>
      <w:sz w:val="20"/>
    </w:rPr>
  </w:style>
  <w:style w:type="paragraph" w:styleId="Innehll2">
    <w:name w:val="toc 2"/>
    <w:basedOn w:val="Innehll1"/>
    <w:rsid w:val="00C561B4"/>
    <w:pPr>
      <w:spacing w:before="120" w:after="0"/>
      <w:ind w:left="190"/>
    </w:pPr>
    <w:rPr>
      <w:b w:val="0"/>
      <w:bCs w:val="0"/>
      <w:iCs/>
    </w:rPr>
  </w:style>
  <w:style w:type="paragraph" w:styleId="Innehll3">
    <w:name w:val="toc 3"/>
    <w:basedOn w:val="Innehll1"/>
    <w:pPr>
      <w:spacing w:before="0" w:after="0"/>
      <w:ind w:left="380"/>
    </w:pPr>
    <w:rPr>
      <w:b w:val="0"/>
      <w:bCs w:val="0"/>
    </w:rPr>
  </w:style>
  <w:style w:type="paragraph" w:styleId="Innehll4">
    <w:name w:val="toc 4"/>
    <w:basedOn w:val="Innehll1"/>
    <w:semiHidden/>
    <w:pPr>
      <w:spacing w:before="0" w:after="0"/>
      <w:ind w:left="570"/>
    </w:pPr>
    <w:rPr>
      <w:b w:val="0"/>
      <w:bCs w:val="0"/>
    </w:rPr>
  </w:style>
  <w:style w:type="paragraph" w:styleId="Innehll5">
    <w:name w:val="toc 5"/>
    <w:basedOn w:val="Innehll4"/>
    <w:next w:val="Normal"/>
    <w:semiHidden/>
    <w:pPr>
      <w:ind w:left="760"/>
    </w:pPr>
  </w:style>
  <w:style w:type="paragraph" w:styleId="Innehll6">
    <w:name w:val="toc 6"/>
    <w:basedOn w:val="Innehll5"/>
    <w:next w:val="Normal"/>
    <w:semiHidden/>
    <w:pPr>
      <w:ind w:left="950"/>
    </w:pPr>
  </w:style>
  <w:style w:type="paragraph" w:styleId="Innehll7">
    <w:name w:val="toc 7"/>
    <w:basedOn w:val="Innehll6"/>
    <w:next w:val="Normal"/>
    <w:semiHidden/>
    <w:pPr>
      <w:ind w:left="1140"/>
    </w:pPr>
  </w:style>
  <w:style w:type="paragraph" w:styleId="Innehll8">
    <w:name w:val="toc 8"/>
    <w:basedOn w:val="Innehll7"/>
    <w:next w:val="Normal"/>
    <w:semiHidden/>
    <w:pPr>
      <w:ind w:left="1330"/>
    </w:pPr>
  </w:style>
  <w:style w:type="paragraph" w:styleId="Innehll9">
    <w:name w:val="toc 9"/>
    <w:basedOn w:val="Normal"/>
    <w:next w:val="Normal"/>
    <w:semiHidden/>
    <w:pPr>
      <w:spacing w:before="0"/>
      <w:ind w:left="1520"/>
      <w:jc w:val="left"/>
    </w:pPr>
    <w:rPr>
      <w:sz w:val="20"/>
    </w:r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R2Char">
    <w:name w:val="R2 Char"/>
    <w:basedOn w:val="Standardstycketeckensnitt"/>
    <w:link w:val="R2"/>
    <w:rsid w:val="005F2643"/>
    <w:rPr>
      <w:sz w:val="27"/>
      <w:lang w:val="sv-SE" w:eastAsia="sv-SE" w:bidi="ar-SA"/>
    </w:rPr>
  </w:style>
  <w:style w:type="character" w:styleId="Hyperlnk">
    <w:name w:val="Hyperlink"/>
    <w:basedOn w:val="Standardstycketeckensnitt"/>
    <w:rsid w:val="00C504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6505</Words>
  <Characters>40074</Characters>
  <Application>Microsoft Office Word</Application>
  <DocSecurity>4</DocSecurity>
  <Lines>715</Lines>
  <Paragraphs>136</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
  <cp:lastModifiedBy>Lars Brink</cp:lastModifiedBy>
  <cp:revision>2</cp:revision>
  <cp:lastPrinted>2006-03-31T11:33:00Z</cp:lastPrinted>
  <dcterms:created xsi:type="dcterms:W3CDTF">2025-12-16T22:26:00Z</dcterms:created>
  <dcterms:modified xsi:type="dcterms:W3CDTF">2025-12-16T22:26:00Z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