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6D478E">
              <w:rPr>
                <w:b/>
              </w:rPr>
              <w:t>05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6D478E">
              <w:t>10</w:t>
            </w:r>
            <w:r w:rsidR="00520D71">
              <w:t>-</w:t>
            </w:r>
            <w:r w:rsidR="006D478E">
              <w:t>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>
            <w:r>
              <w:t>11:</w:t>
            </w:r>
            <w:r w:rsidR="00B2693D">
              <w:t>00</w:t>
            </w:r>
            <w:r w:rsidR="00FA543D">
              <w:t>–</w:t>
            </w:r>
            <w:r w:rsidR="00505D77">
              <w:t>11:35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6D47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EU-överläggning med regeringen enligt RO 7 kap. 12 § om </w:t>
            </w:r>
            <w:r w:rsidR="00B740A3">
              <w:rPr>
                <w:b/>
                <w:bCs/>
                <w:color w:val="000000"/>
                <w:szCs w:val="24"/>
              </w:rPr>
              <w:t xml:space="preserve">förslag till omarbetning av förordningen om </w:t>
            </w:r>
            <w:proofErr w:type="gramStart"/>
            <w:r w:rsidR="00B740A3">
              <w:rPr>
                <w:b/>
                <w:bCs/>
                <w:color w:val="000000"/>
                <w:szCs w:val="24"/>
              </w:rPr>
              <w:t>Europeiska</w:t>
            </w:r>
            <w:proofErr w:type="gramEnd"/>
            <w:r w:rsidR="00B740A3">
              <w:rPr>
                <w:b/>
                <w:bCs/>
                <w:color w:val="000000"/>
                <w:szCs w:val="24"/>
              </w:rPr>
              <w:t xml:space="preserve"> institutet för innovation och teknik (EIT) samt förslag till strategiskt innovationsprogram för EIT för perioden 2021-27</w:t>
            </w:r>
            <w:r>
              <w:rPr>
                <w:b/>
                <w:snapToGrid w:val="0"/>
              </w:rPr>
              <w:t xml:space="preserve"> </w:t>
            </w:r>
          </w:p>
          <w:p w:rsidR="006D478E" w:rsidRDefault="006D478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40A3" w:rsidRDefault="006D478E" w:rsidP="00B740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869FE">
              <w:rPr>
                <w:snapToGrid w:val="0"/>
              </w:rPr>
              <w:t xml:space="preserve">Utskottet överlade med </w:t>
            </w:r>
            <w:r w:rsidR="002869FE" w:rsidRPr="002869FE">
              <w:rPr>
                <w:snapToGrid w:val="0"/>
              </w:rPr>
              <w:t>s</w:t>
            </w:r>
            <w:r w:rsidR="002869FE" w:rsidRPr="002869FE">
              <w:rPr>
                <w:color w:val="000000"/>
                <w:szCs w:val="24"/>
              </w:rPr>
              <w:t>t</w:t>
            </w:r>
            <w:r w:rsidR="002869FE">
              <w:rPr>
                <w:color w:val="000000"/>
                <w:szCs w:val="24"/>
              </w:rPr>
              <w:t xml:space="preserve">atssekreteraren Malin </w:t>
            </w:r>
            <w:proofErr w:type="spellStart"/>
            <w:r w:rsidR="002869FE">
              <w:rPr>
                <w:color w:val="000000"/>
                <w:szCs w:val="24"/>
              </w:rPr>
              <w:t>Cederfeldt</w:t>
            </w:r>
            <w:proofErr w:type="spellEnd"/>
            <w:r w:rsidR="002869FE">
              <w:rPr>
                <w:color w:val="000000"/>
                <w:szCs w:val="24"/>
              </w:rPr>
              <w:t xml:space="preserve"> Östberg med medarbetare från </w:t>
            </w:r>
            <w:r w:rsidR="00C14BAA" w:rsidRPr="00C14BAA">
              <w:rPr>
                <w:color w:val="000000"/>
                <w:szCs w:val="24"/>
              </w:rPr>
              <w:t>Utbildningsdepartementet och Näringsdepartementet</w:t>
            </w:r>
            <w:r w:rsidR="00C14BAA">
              <w:rPr>
                <w:color w:val="000000"/>
                <w:szCs w:val="24"/>
              </w:rPr>
              <w:t xml:space="preserve"> </w:t>
            </w:r>
            <w:r w:rsidR="002869FE" w:rsidRPr="002869FE">
              <w:rPr>
                <w:snapToGrid w:val="0"/>
              </w:rPr>
              <w:t>o</w:t>
            </w:r>
            <w:r w:rsidR="002869FE" w:rsidRPr="00B740A3">
              <w:rPr>
                <w:color w:val="000000"/>
                <w:szCs w:val="24"/>
              </w:rPr>
              <w:t xml:space="preserve">m </w:t>
            </w:r>
            <w:r w:rsidR="00B740A3" w:rsidRPr="00B740A3">
              <w:rPr>
                <w:color w:val="000000"/>
                <w:szCs w:val="24"/>
              </w:rPr>
              <w:t xml:space="preserve">förslag till omarbetning av förordningen om </w:t>
            </w:r>
            <w:proofErr w:type="gramStart"/>
            <w:r w:rsidR="00B740A3" w:rsidRPr="00B740A3">
              <w:rPr>
                <w:color w:val="000000"/>
                <w:szCs w:val="24"/>
              </w:rPr>
              <w:t>Europeiska</w:t>
            </w:r>
            <w:proofErr w:type="gramEnd"/>
            <w:r w:rsidR="00B740A3" w:rsidRPr="00B740A3">
              <w:rPr>
                <w:color w:val="000000"/>
                <w:szCs w:val="24"/>
              </w:rPr>
              <w:t xml:space="preserve"> institutet för innovation och teknik (EIT) samt förslag till strategiskt innovationsprogram för EIT för perioden 2021-27</w:t>
            </w:r>
            <w:r w:rsidR="00B740A3">
              <w:rPr>
                <w:color w:val="000000"/>
                <w:szCs w:val="24"/>
              </w:rPr>
              <w:t>.</w:t>
            </w:r>
          </w:p>
          <w:p w:rsidR="006D478E" w:rsidRDefault="006D478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505D77">
              <w:rPr>
                <w:i/>
                <w:snapToGrid w:val="0"/>
              </w:rPr>
              <w:t>Underlag för överläggningen</w:t>
            </w: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 xml:space="preserve">Promemoria från Utbildningsdepartementet (Dnr </w:t>
            </w:r>
            <w:r>
              <w:rPr>
                <w:snapToGrid w:val="0"/>
              </w:rPr>
              <w:t>354</w:t>
            </w:r>
            <w:r w:rsidRPr="00505D77">
              <w:rPr>
                <w:snapToGrid w:val="0"/>
              </w:rPr>
              <w:t>-201</w:t>
            </w:r>
            <w:r w:rsidR="001C70A5">
              <w:rPr>
                <w:snapToGrid w:val="0"/>
              </w:rPr>
              <w:t>9</w:t>
            </w:r>
            <w:r w:rsidRPr="00505D77">
              <w:rPr>
                <w:snapToGrid w:val="0"/>
              </w:rPr>
              <w:t>/</w:t>
            </w:r>
            <w:r w:rsidR="001C70A5">
              <w:rPr>
                <w:snapToGrid w:val="0"/>
              </w:rPr>
              <w:t>20</w:t>
            </w:r>
            <w:r w:rsidRPr="00505D77">
              <w:rPr>
                <w:snapToGrid w:val="0"/>
              </w:rPr>
              <w:t>)</w:t>
            </w:r>
            <w:r>
              <w:rPr>
                <w:snapToGrid w:val="0"/>
              </w:rPr>
              <w:br/>
              <w:t>Faktapromemoria från Utbildningsdepartementet (2018/</w:t>
            </w:r>
            <w:proofErr w:type="gramStart"/>
            <w:r>
              <w:rPr>
                <w:snapToGrid w:val="0"/>
              </w:rPr>
              <w:t>19:FPM</w:t>
            </w:r>
            <w:proofErr w:type="gramEnd"/>
            <w:r>
              <w:rPr>
                <w:snapToGrid w:val="0"/>
              </w:rPr>
              <w:t>56)</w:t>
            </w: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505D77">
              <w:rPr>
                <w:i/>
                <w:snapToGrid w:val="0"/>
              </w:rPr>
              <w:t>Regeringens förslag till svensk ståndpunkt</w:t>
            </w: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>Regeringen anser att modellen från det europeiska institutet för innovation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och teknik (EIT) med integration av kunskapstriangeln (som omfattar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forskning, utbildning och innovation), med inriktning på samhällsutmaningar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och syftande till global konkurrenskraft, på ett konkret sätt kan ge ett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europeiskt mervärde. Regeringen betonar vikten av att EIT skapar synergier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med andra program och initiativ på EU och nationell nivå, särskilt med</w:t>
            </w:r>
            <w:r>
              <w:rPr>
                <w:snapToGrid w:val="0"/>
              </w:rPr>
              <w:t xml:space="preserve"> </w:t>
            </w:r>
            <w:proofErr w:type="gramStart"/>
            <w:r w:rsidRPr="00505D77">
              <w:rPr>
                <w:snapToGrid w:val="0"/>
              </w:rPr>
              <w:t>Europeiska</w:t>
            </w:r>
            <w:proofErr w:type="gramEnd"/>
            <w:r w:rsidRPr="00505D77">
              <w:rPr>
                <w:snapToGrid w:val="0"/>
              </w:rPr>
              <w:t xml:space="preserve"> innovationsrådet, samt tydligare roll för medlemsstaternas grupp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av företrädare. Regeringen anser det även vara av vikt med en internationell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öppenhet, att excellens främjas i kunskapstriangelns alla delar samt att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näringslivet aktivt deltar. Det är positivt att stärka den regionala förankringen</w:t>
            </w:r>
          </w:p>
          <w:p w:rsid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>av KI-gruppernas verksamhet. Regeringen anser att Sverige kan ställa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sig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bakom förslaget på kulturella och kreativa näringar som ett område för en ny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KI-grupp. Regeringen anser att de kulturella och kreativa näringarna har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potential att främja europeisk konkurrenskraft och stärka andra insatser inom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områden såsom kulturarv, demokrati, social inkludering och social</w:t>
            </w:r>
            <w:r>
              <w:rPr>
                <w:snapToGrid w:val="0"/>
              </w:rPr>
              <w:t xml:space="preserve"> </w:t>
            </w:r>
            <w:r w:rsidRPr="00505D77">
              <w:rPr>
                <w:snapToGrid w:val="0"/>
              </w:rPr>
              <w:t>innovation.</w:t>
            </w:r>
          </w:p>
          <w:p w:rsid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 xml:space="preserve">När Kunskaps- och innovationsgrupperna (KI-grupperna) inte längre erhåller medfinansiering från EIT, bör de kunna erhålla strategiskt stöd från EIT för att uppnå finansiell hållbarhet. Stödet kan till exempel bestå av rådgivning om hur KI-grupperna kan attrahera medel från andra EU-program, privata investeringar och andra </w:t>
            </w:r>
            <w:r w:rsidRPr="00505D77">
              <w:rPr>
                <w:snapToGrid w:val="0"/>
              </w:rPr>
              <w:lastRenderedPageBreak/>
              <w:t xml:space="preserve">finansieringskällor. Även efter det att medfinansiering från EIT upphört, bör KI-grupper ges möjlighet att delta i EIT-finansierade aktiviteter. </w:t>
            </w:r>
          </w:p>
          <w:p w:rsid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</w:p>
          <w:p w:rsid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>Vidare bör förslag till nya KI-grupper beredas inom ramen för den strategiska planeringsprocessen för Horisont Europa.</w:t>
            </w: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505D77">
              <w:rPr>
                <w:i/>
                <w:snapToGrid w:val="0"/>
              </w:rPr>
              <w:t>Utskottet</w:t>
            </w: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 xml:space="preserve">Ordföranden konstaterade att det fanns stöd i utskottet för regeringens ståndpunkt. </w:t>
            </w: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</w:p>
          <w:p w:rsidR="00505D77" w:rsidRPr="00505D77" w:rsidRDefault="00505D77" w:rsidP="00505D77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>Denna paragraf förklarades omedelbart justerad.</w:t>
            </w:r>
          </w:p>
          <w:p w:rsidR="002869FE" w:rsidRDefault="002869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0A3" w:rsidTr="0001177E">
        <w:tc>
          <w:tcPr>
            <w:tcW w:w="567" w:type="dxa"/>
          </w:tcPr>
          <w:p w:rsidR="00B740A3" w:rsidRPr="003B4DE8" w:rsidRDefault="00B740A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740A3" w:rsidRDefault="00B740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EU-överläggning med regeringen enligt RO 7 kap. 12 § om </w:t>
            </w:r>
            <w:r>
              <w:rPr>
                <w:b/>
                <w:bCs/>
                <w:color w:val="000000"/>
                <w:szCs w:val="24"/>
              </w:rPr>
              <w:t>förslag till rådslutsatser om rymdlösningar för ett hållbart Arktis</w:t>
            </w:r>
          </w:p>
          <w:p w:rsidR="00B740A3" w:rsidRDefault="00B74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40A3" w:rsidRDefault="00B740A3" w:rsidP="00B740A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869FE">
              <w:rPr>
                <w:snapToGrid w:val="0"/>
              </w:rPr>
              <w:t>Utskottet överlade med s</w:t>
            </w:r>
            <w:r w:rsidRPr="002869FE">
              <w:rPr>
                <w:color w:val="000000"/>
                <w:szCs w:val="24"/>
              </w:rPr>
              <w:t>t</w:t>
            </w:r>
            <w:r>
              <w:rPr>
                <w:color w:val="000000"/>
                <w:szCs w:val="24"/>
              </w:rPr>
              <w:t xml:space="preserve">atssekreteraren Malin </w:t>
            </w:r>
            <w:proofErr w:type="spellStart"/>
            <w:r>
              <w:rPr>
                <w:color w:val="000000"/>
                <w:szCs w:val="24"/>
              </w:rPr>
              <w:t>Cederfeldt</w:t>
            </w:r>
            <w:proofErr w:type="spellEnd"/>
            <w:r>
              <w:rPr>
                <w:color w:val="000000"/>
                <w:szCs w:val="24"/>
              </w:rPr>
              <w:t xml:space="preserve"> Östberg med medarbetare från </w:t>
            </w:r>
            <w:r w:rsidR="00C14BAA" w:rsidRPr="00C14BAA">
              <w:rPr>
                <w:color w:val="000000"/>
                <w:szCs w:val="24"/>
              </w:rPr>
              <w:t>Utbildningsdepartementet och Näringsdepartementet</w:t>
            </w:r>
            <w:r w:rsidR="00C14BAA">
              <w:rPr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Pr="00B740A3">
              <w:rPr>
                <w:color w:val="000000"/>
                <w:szCs w:val="24"/>
              </w:rPr>
              <w:t>om förslag till rådslutsatser om rymdlösningar för ett hållbart Arktis.</w:t>
            </w:r>
          </w:p>
          <w:p w:rsidR="001C70A5" w:rsidRDefault="001C70A5" w:rsidP="00B740A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C70A5" w:rsidRPr="00505D77" w:rsidRDefault="001C70A5" w:rsidP="001C70A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505D77">
              <w:rPr>
                <w:i/>
                <w:snapToGrid w:val="0"/>
              </w:rPr>
              <w:t>Underlag för överläggningen</w:t>
            </w:r>
          </w:p>
          <w:p w:rsidR="001C70A5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 xml:space="preserve">Promemoria från Utbildningsdepartementet (Dnr </w:t>
            </w:r>
            <w:proofErr w:type="gramStart"/>
            <w:r>
              <w:rPr>
                <w:snapToGrid w:val="0"/>
              </w:rPr>
              <w:t>355</w:t>
            </w:r>
            <w:r w:rsidRPr="00505D77">
              <w:rPr>
                <w:snapToGrid w:val="0"/>
              </w:rPr>
              <w:t>-201</w:t>
            </w:r>
            <w:r>
              <w:rPr>
                <w:snapToGrid w:val="0"/>
              </w:rPr>
              <w:t>9</w:t>
            </w:r>
            <w:proofErr w:type="gramEnd"/>
            <w:r w:rsidRPr="00505D77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505D77">
              <w:rPr>
                <w:snapToGrid w:val="0"/>
              </w:rPr>
              <w:t>)</w:t>
            </w:r>
          </w:p>
          <w:p w:rsidR="001C70A5" w:rsidRPr="00505D77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  <w:r w:rsidRPr="001C70A5">
              <w:rPr>
                <w:snapToGrid w:val="0"/>
              </w:rPr>
              <w:t>Rådsdokument 12645/19</w:t>
            </w:r>
            <w:r>
              <w:rPr>
                <w:snapToGrid w:val="0"/>
              </w:rPr>
              <w:br/>
            </w:r>
          </w:p>
          <w:p w:rsidR="001C70A5" w:rsidRDefault="001C70A5" w:rsidP="001C70A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505D77">
              <w:rPr>
                <w:i/>
                <w:snapToGrid w:val="0"/>
              </w:rPr>
              <w:t>Regeringens förslag till svensk ståndpunkt</w:t>
            </w:r>
          </w:p>
          <w:p w:rsidR="001C70A5" w:rsidRPr="001C70A5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  <w:r w:rsidRPr="001C70A5">
              <w:rPr>
                <w:snapToGrid w:val="0"/>
              </w:rPr>
              <w:t>Regeringen föreslår att Sverige kan välkomna att det finska ordförandeskapet i EU föreslår rådslutsatser som lyfter fram hur rymdlösningar kan bidra till att möta Arktisregionens särskilda utmaningar och möjligheter.</w:t>
            </w:r>
          </w:p>
          <w:p w:rsidR="001C70A5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</w:p>
          <w:p w:rsidR="001C70A5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  <w:r w:rsidRPr="001C70A5">
              <w:rPr>
                <w:snapToGrid w:val="0"/>
              </w:rPr>
              <w:t xml:space="preserve">Rådslutsatserna ger en kortfattad men konkret och väl underbyggd beskrivning av vad EU:s rymdlösningar kan bidra med för att stödja ett hållbart Arktis. </w:t>
            </w:r>
          </w:p>
          <w:p w:rsidR="001C70A5" w:rsidRPr="001C70A5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</w:p>
          <w:p w:rsidR="001C70A5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  <w:r w:rsidRPr="001C70A5">
              <w:rPr>
                <w:snapToGrid w:val="0"/>
              </w:rPr>
              <w:t>Rådslutsatserna ligger väl i linje med den svenska Arktisstrategins huvudprioriteringar genom att europeiska rymdlösningar kan verka stödjande inom strategins tre tematiska områden; klimat och miljö, ekonomisk utveckling och den mänskliga dimensionen.</w:t>
            </w:r>
          </w:p>
          <w:p w:rsidR="001C70A5" w:rsidRPr="001C70A5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</w:p>
          <w:p w:rsidR="001C70A5" w:rsidRPr="001C70A5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  <w:r w:rsidRPr="001C70A5">
              <w:rPr>
                <w:snapToGrid w:val="0"/>
              </w:rPr>
              <w:t>De rekommendationer som anges i denna tidiga version av rådslutsatserna är väl valda och regeringen föreslår att rådslutsatserna som helhet kan stödjas.</w:t>
            </w:r>
          </w:p>
          <w:p w:rsidR="001C70A5" w:rsidRDefault="001C70A5" w:rsidP="001C70A5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1C70A5" w:rsidRPr="00505D77" w:rsidRDefault="001C70A5" w:rsidP="001C70A5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505D77">
              <w:rPr>
                <w:i/>
                <w:snapToGrid w:val="0"/>
              </w:rPr>
              <w:t>Utskottet</w:t>
            </w:r>
          </w:p>
          <w:p w:rsidR="001C70A5" w:rsidRPr="00505D77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 xml:space="preserve">Ordföranden konstaterade att det fanns stöd i utskottet för regeringens ståndpunkt. </w:t>
            </w:r>
          </w:p>
          <w:p w:rsidR="001C70A5" w:rsidRPr="00505D77" w:rsidRDefault="001C70A5" w:rsidP="001C70A5">
            <w:pPr>
              <w:tabs>
                <w:tab w:val="left" w:pos="1701"/>
              </w:tabs>
              <w:rPr>
                <w:snapToGrid w:val="0"/>
              </w:rPr>
            </w:pPr>
          </w:p>
          <w:p w:rsidR="001C70A5" w:rsidRPr="001C70A5" w:rsidRDefault="001C70A5" w:rsidP="00B740A3">
            <w:pPr>
              <w:tabs>
                <w:tab w:val="left" w:pos="1701"/>
              </w:tabs>
              <w:rPr>
                <w:snapToGrid w:val="0"/>
              </w:rPr>
            </w:pPr>
            <w:r w:rsidRPr="00505D77">
              <w:rPr>
                <w:snapToGrid w:val="0"/>
              </w:rPr>
              <w:t>Denna paragraf förklarades omedelbart justerad.</w:t>
            </w:r>
          </w:p>
          <w:p w:rsidR="00B740A3" w:rsidRDefault="00B740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2869FE">
              <w:rPr>
                <w:snapToGrid w:val="0"/>
              </w:rPr>
              <w:t>05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435E8" w:rsidTr="0001177E">
        <w:tc>
          <w:tcPr>
            <w:tcW w:w="567" w:type="dxa"/>
          </w:tcPr>
          <w:p w:rsidR="007435E8" w:rsidRPr="003B4DE8" w:rsidRDefault="007435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435E8" w:rsidRDefault="00F13A7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EU-överläggning</w:t>
            </w:r>
          </w:p>
          <w:p w:rsidR="00FB15D0" w:rsidRDefault="00FB15D0" w:rsidP="007435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7435E8" w:rsidRPr="007435E8" w:rsidRDefault="007435E8" w:rsidP="007435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435E8">
              <w:rPr>
                <w:bCs/>
                <w:snapToGrid w:val="0"/>
              </w:rPr>
              <w:t>Utskottet beslutade enligt 7 kap. 12 § RO att överlägga med regeringen om:</w:t>
            </w:r>
          </w:p>
          <w:p w:rsidR="007435E8" w:rsidRPr="00FB15D0" w:rsidRDefault="00FB15D0" w:rsidP="00FB15D0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FB15D0">
              <w:rPr>
                <w:bCs/>
                <w:snapToGrid w:val="0"/>
              </w:rPr>
              <w:t>artificiell intelligens i utbildningen</w:t>
            </w:r>
          </w:p>
          <w:p w:rsidR="007435E8" w:rsidRPr="007435E8" w:rsidRDefault="007435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869F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Utgiftsramar för utgiftsområdena 15 Studiestöd och 16 Utbildning och universitetsforskning (UbU1y)</w:t>
            </w:r>
          </w:p>
          <w:p w:rsidR="002869FE" w:rsidRDefault="002869F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869FE" w:rsidRDefault="002869FE" w:rsidP="002869FE">
            <w:pPr>
              <w:tabs>
                <w:tab w:val="left" w:pos="1701"/>
              </w:tabs>
              <w:rPr>
                <w:snapToGrid w:val="0"/>
              </w:rPr>
            </w:pPr>
            <w:r w:rsidRPr="00A1025D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behandlingen av frågan om yttrande till finansutskottet över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2019/20:1 och motioner</w:t>
            </w:r>
            <w:r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</w:p>
          <w:p w:rsidR="002869FE" w:rsidRDefault="002869FE" w:rsidP="002869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yttrande 2019/</w:t>
            </w:r>
            <w:proofErr w:type="gramStart"/>
            <w:r>
              <w:rPr>
                <w:snapToGrid w:val="0"/>
              </w:rPr>
              <w:t>20:UbU</w:t>
            </w:r>
            <w:proofErr w:type="gramEnd"/>
            <w:r>
              <w:rPr>
                <w:snapToGrid w:val="0"/>
              </w:rPr>
              <w:t>1y.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="0017611A" w:rsidRPr="0017611A">
              <w:rPr>
                <w:snapToGrid w:val="0"/>
              </w:rPr>
              <w:t>M</w:t>
            </w:r>
            <w:r w:rsidR="00471D91">
              <w:rPr>
                <w:snapToGrid w:val="0"/>
              </w:rPr>
              <w:t>-</w:t>
            </w:r>
            <w:r w:rsidR="0017611A" w:rsidRPr="0017611A">
              <w:rPr>
                <w:snapToGrid w:val="0"/>
              </w:rPr>
              <w:t>, SD</w:t>
            </w:r>
            <w:r w:rsidR="00471D91">
              <w:rPr>
                <w:snapToGrid w:val="0"/>
              </w:rPr>
              <w:t>-</w:t>
            </w:r>
            <w:r w:rsidR="0017611A" w:rsidRPr="0017611A">
              <w:rPr>
                <w:snapToGrid w:val="0"/>
              </w:rPr>
              <w:t>, V</w:t>
            </w:r>
            <w:r w:rsidR="00471D91">
              <w:rPr>
                <w:snapToGrid w:val="0"/>
              </w:rPr>
              <w:t>-</w:t>
            </w:r>
            <w:r w:rsidRPr="0017611A">
              <w:rPr>
                <w:snapToGrid w:val="0"/>
              </w:rPr>
              <w:t xml:space="preserve"> och </w:t>
            </w:r>
            <w:r w:rsidR="0017611A" w:rsidRPr="0017611A">
              <w:rPr>
                <w:snapToGrid w:val="0"/>
              </w:rPr>
              <w:t>KD</w:t>
            </w:r>
            <w:r w:rsidR="00471D91">
              <w:rPr>
                <w:snapToGrid w:val="0"/>
              </w:rPr>
              <w:t>-ledamöterna</w:t>
            </w:r>
            <w:r w:rsidRPr="0017611A">
              <w:rPr>
                <w:snapToGrid w:val="0"/>
              </w:rPr>
              <w:t xml:space="preserve"> anmälde avvikande meningar.</w:t>
            </w:r>
          </w:p>
          <w:p w:rsidR="002869FE" w:rsidRDefault="002869FE" w:rsidP="002869FE">
            <w:pPr>
              <w:tabs>
                <w:tab w:val="left" w:pos="1701"/>
              </w:tabs>
              <w:rPr>
                <w:snapToGrid w:val="0"/>
              </w:rPr>
            </w:pPr>
          </w:p>
          <w:p w:rsidR="002869FE" w:rsidRDefault="002869F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</w:rPr>
              <w:t xml:space="preserve">Denna paragraf förklarades omedelbart justerad. </w:t>
            </w:r>
          </w:p>
          <w:p w:rsidR="002869FE" w:rsidRDefault="002869FE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869F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Rätt till utbildning i förskoleklass för barn till beskickningsmedlemmar från tredje land (UbU6)</w:t>
            </w:r>
          </w:p>
          <w:p w:rsidR="002869FE" w:rsidRDefault="002869F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869FE" w:rsidRPr="002869FE" w:rsidRDefault="002869FE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869FE">
              <w:rPr>
                <w:bCs/>
                <w:color w:val="000000"/>
                <w:szCs w:val="24"/>
              </w:rPr>
              <w:t>Utskottet behandlade proposition 2018/19:166.</w:t>
            </w:r>
          </w:p>
          <w:p w:rsidR="002869FE" w:rsidRPr="002869FE" w:rsidRDefault="002869FE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869FE" w:rsidRPr="002869FE" w:rsidRDefault="002869FE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869FE">
              <w:rPr>
                <w:bCs/>
                <w:color w:val="000000"/>
                <w:szCs w:val="24"/>
              </w:rPr>
              <w:t>Ärendet bordlades.</w:t>
            </w:r>
          </w:p>
          <w:p w:rsidR="002869FE" w:rsidRDefault="002869FE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869FE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15 Studiestöd (UbU2)</w:t>
            </w:r>
          </w:p>
          <w:p w:rsidR="002869FE" w:rsidRDefault="002869FE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869FE" w:rsidRPr="002E0BF0" w:rsidRDefault="002869FE" w:rsidP="002869F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E0BF0">
              <w:rPr>
                <w:bCs/>
                <w:color w:val="000000"/>
                <w:szCs w:val="24"/>
              </w:rPr>
              <w:t>Utskottet behandlade proposition 201</w:t>
            </w:r>
            <w:r>
              <w:rPr>
                <w:bCs/>
                <w:color w:val="000000"/>
                <w:szCs w:val="24"/>
              </w:rPr>
              <w:t>9</w:t>
            </w:r>
            <w:r w:rsidRPr="002E0BF0">
              <w:rPr>
                <w:bCs/>
                <w:color w:val="000000"/>
                <w:szCs w:val="24"/>
              </w:rPr>
              <w:t>/</w:t>
            </w:r>
            <w:r>
              <w:rPr>
                <w:bCs/>
                <w:color w:val="000000"/>
                <w:szCs w:val="24"/>
              </w:rPr>
              <w:t>20:1</w:t>
            </w:r>
            <w:r w:rsidRPr="002E0BF0">
              <w:rPr>
                <w:bCs/>
                <w:color w:val="000000"/>
                <w:szCs w:val="24"/>
              </w:rPr>
              <w:t xml:space="preserve"> utgiftsområde 15 Studiestöd och motioner.</w:t>
            </w:r>
          </w:p>
          <w:p w:rsidR="002869FE" w:rsidRPr="002E0BF0" w:rsidRDefault="002869FE" w:rsidP="002869F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869FE" w:rsidRDefault="002869FE" w:rsidP="002869FE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E0BF0">
              <w:rPr>
                <w:bCs/>
                <w:color w:val="000000"/>
                <w:szCs w:val="24"/>
              </w:rPr>
              <w:t>Ärendet bordlades.</w:t>
            </w:r>
          </w:p>
          <w:p w:rsidR="002869FE" w:rsidRDefault="002869FE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70EC7" w:rsidTr="0001177E">
        <w:tc>
          <w:tcPr>
            <w:tcW w:w="567" w:type="dxa"/>
          </w:tcPr>
          <w:p w:rsidR="00A70EC7" w:rsidRPr="003B4DE8" w:rsidRDefault="00A70EC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70EC7" w:rsidRDefault="00A70EC7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Skolinspektionens uppföljning av brister i skolor (UbU3)</w:t>
            </w:r>
          </w:p>
          <w:p w:rsidR="00A70EC7" w:rsidRDefault="00A70EC7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70EC7" w:rsidRPr="00A70EC7" w:rsidRDefault="00A70EC7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70EC7">
              <w:rPr>
                <w:bCs/>
                <w:color w:val="000000"/>
                <w:szCs w:val="24"/>
              </w:rPr>
              <w:t>Ärendet bordlades.</w:t>
            </w:r>
          </w:p>
          <w:p w:rsidR="00A70EC7" w:rsidRDefault="00A70EC7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2869F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</w:t>
            </w:r>
          </w:p>
          <w:p w:rsidR="00584D44" w:rsidRDefault="00584D44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584D44" w:rsidRPr="006F3D79" w:rsidRDefault="00584D44" w:rsidP="00584D44">
            <w:pPr>
              <w:tabs>
                <w:tab w:val="left" w:pos="1701"/>
              </w:tabs>
              <w:rPr>
                <w:szCs w:val="24"/>
              </w:rPr>
            </w:pPr>
            <w:r w:rsidRPr="006F3D79">
              <w:rPr>
                <w:szCs w:val="24"/>
              </w:rPr>
              <w:t>Utskottet behandlade frågan om yttrande till konstitutionsutskottet över riksdagens tillämpning av subsidiaritetsprincipen.</w:t>
            </w:r>
          </w:p>
          <w:p w:rsidR="00584D44" w:rsidRPr="006F3D79" w:rsidRDefault="00584D44" w:rsidP="00584D44">
            <w:pPr>
              <w:tabs>
                <w:tab w:val="left" w:pos="1701"/>
              </w:tabs>
              <w:rPr>
                <w:szCs w:val="24"/>
              </w:rPr>
            </w:pPr>
          </w:p>
          <w:p w:rsidR="00584D44" w:rsidRDefault="00584D44" w:rsidP="00584D4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584D44" w:rsidRDefault="00584D44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869FE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2869FE">
              <w:rPr>
                <w:szCs w:val="24"/>
              </w:rPr>
              <w:t xml:space="preserve">24 oktober </w:t>
            </w:r>
            <w:r w:rsidR="00BB7028">
              <w:rPr>
                <w:szCs w:val="24"/>
              </w:rPr>
              <w:t>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2869FE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B740A3" w:rsidRDefault="00B740A3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869FE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869FE">
              <w:t>tors</w:t>
            </w:r>
            <w:r w:rsidRPr="00C56172">
              <w:t xml:space="preserve">dagen </w:t>
            </w:r>
            <w:r w:rsidR="002869FE">
              <w:t xml:space="preserve">den 24 oktober </w:t>
            </w:r>
            <w:r w:rsidR="00BB7028">
              <w:t>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6D478E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6D478E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6D478E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6D478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6D478E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2869FE">
              <w:t>05</w:t>
            </w:r>
          </w:p>
        </w:tc>
      </w:tr>
      <w:tr w:rsidR="00C150F8" w:rsidTr="006D478E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6D478E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6D478E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6D478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FA61AA">
              <w:rPr>
                <w:sz w:val="22"/>
              </w:rPr>
              <w:t>1–2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</w:t>
            </w:r>
            <w:r w:rsidR="00202DE4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09E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Arnholm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FA61AA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FA61AA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A61AA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Heindorff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FA61AA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FA61AA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FA61AA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FA61AA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6D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6D47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740A3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3F71F71"/>
    <w:multiLevelType w:val="hybridMultilevel"/>
    <w:tmpl w:val="DAB03524"/>
    <w:lvl w:ilvl="0" w:tplc="A4888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B0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73FE1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7611A"/>
    <w:rsid w:val="00186651"/>
    <w:rsid w:val="001A287E"/>
    <w:rsid w:val="001C70A5"/>
    <w:rsid w:val="001D5522"/>
    <w:rsid w:val="001F5AC6"/>
    <w:rsid w:val="00202DE4"/>
    <w:rsid w:val="002059AD"/>
    <w:rsid w:val="00207D45"/>
    <w:rsid w:val="0022226E"/>
    <w:rsid w:val="00237DB6"/>
    <w:rsid w:val="002462FF"/>
    <w:rsid w:val="00253162"/>
    <w:rsid w:val="002608E3"/>
    <w:rsid w:val="00267FC1"/>
    <w:rsid w:val="002869FE"/>
    <w:rsid w:val="002871AD"/>
    <w:rsid w:val="00293C12"/>
    <w:rsid w:val="002B2E2C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71D91"/>
    <w:rsid w:val="00483EB5"/>
    <w:rsid w:val="004875DF"/>
    <w:rsid w:val="004C4C01"/>
    <w:rsid w:val="004E024A"/>
    <w:rsid w:val="00501D18"/>
    <w:rsid w:val="00505D77"/>
    <w:rsid w:val="00520D71"/>
    <w:rsid w:val="005331E3"/>
    <w:rsid w:val="005349AA"/>
    <w:rsid w:val="00547CF9"/>
    <w:rsid w:val="005739C0"/>
    <w:rsid w:val="00576AFA"/>
    <w:rsid w:val="00584D44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1FD5"/>
    <w:rsid w:val="006D478E"/>
    <w:rsid w:val="006E0945"/>
    <w:rsid w:val="006E6B54"/>
    <w:rsid w:val="00711344"/>
    <w:rsid w:val="00721260"/>
    <w:rsid w:val="00740F7D"/>
    <w:rsid w:val="007435E8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70EC7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740A3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4BAA"/>
    <w:rsid w:val="00C150F8"/>
    <w:rsid w:val="00C21DC4"/>
    <w:rsid w:val="00C318F6"/>
    <w:rsid w:val="00C422E7"/>
    <w:rsid w:val="00C616C4"/>
    <w:rsid w:val="00C62BD3"/>
    <w:rsid w:val="00C6692B"/>
    <w:rsid w:val="00C66AC4"/>
    <w:rsid w:val="00C763B0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13A71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A61AA"/>
    <w:rsid w:val="00FB15D0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03D4B"/>
  <w15:chartTrackingRefBased/>
  <w15:docId w15:val="{D71E90EE-9DCE-4D90-A4D5-14FC6F67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584D4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84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36</TotalTime>
  <Pages>6</Pages>
  <Words>938</Words>
  <Characters>6666</Characters>
  <Application>Microsoft Office Word</Application>
  <DocSecurity>0</DocSecurity>
  <Lines>1111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Jonas Brynhildsen</cp:lastModifiedBy>
  <cp:revision>19</cp:revision>
  <cp:lastPrinted>2019-10-16T10:23:00Z</cp:lastPrinted>
  <dcterms:created xsi:type="dcterms:W3CDTF">2019-10-16T10:23:00Z</dcterms:created>
  <dcterms:modified xsi:type="dcterms:W3CDTF">2019-10-22T13:42:00Z</dcterms:modified>
</cp:coreProperties>
</file>