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1C83" w:rsidRPr="00584CC6" w:rsidRDefault="00EA1C83" w:rsidP="00EA1C83">
      <w:pPr>
        <w:pStyle w:val="RubrikInnehllsf"/>
      </w:pPr>
      <w:bookmarkStart w:id="0" w:name="_Toc116192369"/>
      <w:r w:rsidRPr="00584CC6">
        <w:t>Innehållsförteckning</w:t>
      </w:r>
      <w:bookmarkEnd w:id="0"/>
    </w:p>
    <w:p w:rsidR="00057D38" w:rsidRPr="00584CC6" w:rsidRDefault="00EA1C83">
      <w:pPr>
        <w:pStyle w:val="Innehll1"/>
      </w:pPr>
      <w:r w:rsidRPr="00584CC6">
        <w:fldChar w:fldCharType="begin" w:fldLock="1"/>
      </w:r>
      <w:r w:rsidRPr="00584CC6">
        <w:instrText xml:space="preserve"> TOC \o "1-3" \t "HEMSTL_RUBRIK" </w:instrText>
      </w:r>
      <w:r w:rsidRPr="00584CC6">
        <w:fldChar w:fldCharType="separate"/>
      </w:r>
      <w:r w:rsidR="00057D38" w:rsidRPr="00584CC6">
        <w:t>Innehållsförteckning</w:t>
      </w:r>
      <w:r w:rsidR="00057D38" w:rsidRPr="00584CC6">
        <w:tab/>
      </w:r>
      <w:r w:rsidR="00057D38" w:rsidRPr="00584CC6">
        <w:fldChar w:fldCharType="begin" w:fldLock="1"/>
      </w:r>
      <w:r w:rsidR="00057D38" w:rsidRPr="00584CC6">
        <w:instrText xml:space="preserve"> PAGEREF _Toc116192369 \h </w:instrText>
      </w:r>
      <w:r w:rsidR="00057D38" w:rsidRPr="00584CC6">
        <w:fldChar w:fldCharType="separate"/>
      </w:r>
      <w:r w:rsidR="00EF57BC" w:rsidRPr="00584CC6">
        <w:t>1</w:t>
      </w:r>
      <w:r w:rsidR="00057D38" w:rsidRPr="00584CC6">
        <w:fldChar w:fldCharType="end"/>
      </w:r>
    </w:p>
    <w:p w:rsidR="00057D38" w:rsidRPr="00584CC6" w:rsidRDefault="00057D38">
      <w:pPr>
        <w:pStyle w:val="Innehll1"/>
      </w:pPr>
      <w:r w:rsidRPr="00584CC6">
        <w:t>Förslag till riksdagsbeslut</w:t>
      </w:r>
      <w:r w:rsidRPr="00584CC6">
        <w:tab/>
      </w:r>
      <w:r w:rsidRPr="00584CC6">
        <w:fldChar w:fldCharType="begin" w:fldLock="1"/>
      </w:r>
      <w:r w:rsidRPr="00584CC6">
        <w:instrText xml:space="preserve"> PAGEREF _Toc116192370 \h </w:instrText>
      </w:r>
      <w:r w:rsidRPr="00584CC6">
        <w:fldChar w:fldCharType="separate"/>
      </w:r>
      <w:r w:rsidR="00EF57BC" w:rsidRPr="00584CC6">
        <w:t>2</w:t>
      </w:r>
      <w:r w:rsidRPr="00584CC6">
        <w:fldChar w:fldCharType="end"/>
      </w:r>
    </w:p>
    <w:p w:rsidR="00057D38" w:rsidRPr="00584CC6" w:rsidRDefault="00057D38">
      <w:pPr>
        <w:pStyle w:val="Innehll1"/>
      </w:pPr>
      <w:r w:rsidRPr="00584CC6">
        <w:t>Ett starkt rättsväsende – den demokratiska kärnuppgiften</w:t>
      </w:r>
      <w:r w:rsidRPr="00584CC6">
        <w:tab/>
      </w:r>
      <w:r w:rsidRPr="00584CC6">
        <w:fldChar w:fldCharType="begin" w:fldLock="1"/>
      </w:r>
      <w:r w:rsidRPr="00584CC6">
        <w:instrText xml:space="preserve"> PAGEREF _Toc116192371 \h </w:instrText>
      </w:r>
      <w:r w:rsidRPr="00584CC6">
        <w:fldChar w:fldCharType="separate"/>
      </w:r>
      <w:r w:rsidR="00EF57BC" w:rsidRPr="00584CC6">
        <w:t>2</w:t>
      </w:r>
      <w:r w:rsidRPr="00584CC6">
        <w:fldChar w:fldCharType="end"/>
      </w:r>
    </w:p>
    <w:p w:rsidR="00057D38" w:rsidRPr="00584CC6" w:rsidRDefault="00057D38">
      <w:pPr>
        <w:pStyle w:val="Innehll1"/>
      </w:pPr>
      <w:r w:rsidRPr="00584CC6">
        <w:t>Effekterna av s-politiken är tydliga för medborgarna</w:t>
      </w:r>
      <w:r w:rsidRPr="00584CC6">
        <w:tab/>
      </w:r>
      <w:r w:rsidRPr="00584CC6">
        <w:fldChar w:fldCharType="begin" w:fldLock="1"/>
      </w:r>
      <w:r w:rsidRPr="00584CC6">
        <w:instrText xml:space="preserve"> PAGEREF _Toc116192372 \h </w:instrText>
      </w:r>
      <w:r w:rsidRPr="00584CC6">
        <w:fldChar w:fldCharType="separate"/>
      </w:r>
      <w:r w:rsidR="00EF57BC" w:rsidRPr="00584CC6">
        <w:t>3</w:t>
      </w:r>
      <w:r w:rsidRPr="00584CC6">
        <w:fldChar w:fldCharType="end"/>
      </w:r>
    </w:p>
    <w:p w:rsidR="00057D38" w:rsidRPr="00584CC6" w:rsidRDefault="00057D38">
      <w:pPr>
        <w:pStyle w:val="Innehll2"/>
      </w:pPr>
      <w:r w:rsidRPr="00584CC6">
        <w:t>Tomma s-budgetlöften</w:t>
      </w:r>
      <w:r w:rsidRPr="00584CC6">
        <w:tab/>
      </w:r>
      <w:r w:rsidRPr="00584CC6">
        <w:fldChar w:fldCharType="begin" w:fldLock="1"/>
      </w:r>
      <w:r w:rsidRPr="00584CC6">
        <w:instrText xml:space="preserve"> PAGEREF _Toc116192373 \h </w:instrText>
      </w:r>
      <w:r w:rsidRPr="00584CC6">
        <w:fldChar w:fldCharType="separate"/>
      </w:r>
      <w:r w:rsidR="00EF57BC" w:rsidRPr="00584CC6">
        <w:t>3</w:t>
      </w:r>
      <w:r w:rsidRPr="00584CC6">
        <w:fldChar w:fldCharType="end"/>
      </w:r>
    </w:p>
    <w:p w:rsidR="00057D38" w:rsidRPr="00584CC6" w:rsidRDefault="00057D38">
      <w:pPr>
        <w:pStyle w:val="Innehll1"/>
      </w:pPr>
      <w:r w:rsidRPr="00584CC6">
        <w:t>Folkpartiet liberalernas satsningar på rättsväsendet</w:t>
      </w:r>
      <w:r w:rsidRPr="00584CC6">
        <w:tab/>
      </w:r>
      <w:r w:rsidRPr="00584CC6">
        <w:fldChar w:fldCharType="begin" w:fldLock="1"/>
      </w:r>
      <w:r w:rsidRPr="00584CC6">
        <w:instrText xml:space="preserve"> PAGEREF _Toc116192374 \h </w:instrText>
      </w:r>
      <w:r w:rsidRPr="00584CC6">
        <w:fldChar w:fldCharType="separate"/>
      </w:r>
      <w:r w:rsidR="00EF57BC" w:rsidRPr="00584CC6">
        <w:t>5</w:t>
      </w:r>
      <w:r w:rsidRPr="00584CC6">
        <w:fldChar w:fldCharType="end"/>
      </w:r>
    </w:p>
    <w:p w:rsidR="00057D38" w:rsidRPr="00584CC6" w:rsidRDefault="00057D38">
      <w:pPr>
        <w:pStyle w:val="Innehll2"/>
      </w:pPr>
      <w:r w:rsidRPr="00584CC6">
        <w:t>Polisorganisationen</w:t>
      </w:r>
      <w:r w:rsidRPr="00584CC6">
        <w:tab/>
      </w:r>
      <w:r w:rsidRPr="00584CC6">
        <w:fldChar w:fldCharType="begin" w:fldLock="1"/>
      </w:r>
      <w:r w:rsidRPr="00584CC6">
        <w:instrText xml:space="preserve"> PAGEREF _Toc116192375 \h </w:instrText>
      </w:r>
      <w:r w:rsidRPr="00584CC6">
        <w:fldChar w:fldCharType="separate"/>
      </w:r>
      <w:r w:rsidR="00EF57BC" w:rsidRPr="00584CC6">
        <w:t>5</w:t>
      </w:r>
      <w:r w:rsidRPr="00584CC6">
        <w:fldChar w:fldCharType="end"/>
      </w:r>
    </w:p>
    <w:p w:rsidR="00057D38" w:rsidRPr="00584CC6" w:rsidRDefault="00057D38">
      <w:pPr>
        <w:pStyle w:val="Innehll3"/>
      </w:pPr>
      <w:r w:rsidRPr="00584CC6">
        <w:t>Fler poliser</w:t>
      </w:r>
      <w:r w:rsidRPr="00584CC6">
        <w:tab/>
      </w:r>
      <w:r w:rsidRPr="00584CC6">
        <w:fldChar w:fldCharType="begin" w:fldLock="1"/>
      </w:r>
      <w:r w:rsidRPr="00584CC6">
        <w:instrText xml:space="preserve"> PAGEREF _Toc116192376 \h </w:instrText>
      </w:r>
      <w:r w:rsidRPr="00584CC6">
        <w:fldChar w:fldCharType="separate"/>
      </w:r>
      <w:r w:rsidR="00EF57BC" w:rsidRPr="00584CC6">
        <w:t>5</w:t>
      </w:r>
      <w:r w:rsidRPr="00584CC6">
        <w:fldChar w:fldCharType="end"/>
      </w:r>
    </w:p>
    <w:p w:rsidR="00057D38" w:rsidRPr="00584CC6" w:rsidRDefault="00057D38">
      <w:pPr>
        <w:pStyle w:val="Innehll2"/>
      </w:pPr>
      <w:r w:rsidRPr="00584CC6">
        <w:t>Minska nyrekryteringen av kriminella</w:t>
      </w:r>
      <w:r w:rsidRPr="00584CC6">
        <w:tab/>
      </w:r>
      <w:r w:rsidRPr="00584CC6">
        <w:fldChar w:fldCharType="begin" w:fldLock="1"/>
      </w:r>
      <w:r w:rsidRPr="00584CC6">
        <w:instrText xml:space="preserve"> PAGEREF _Toc116192377 \h </w:instrText>
      </w:r>
      <w:r w:rsidRPr="00584CC6">
        <w:fldChar w:fldCharType="separate"/>
      </w:r>
      <w:r w:rsidR="00EF57BC" w:rsidRPr="00584CC6">
        <w:t>6</w:t>
      </w:r>
      <w:r w:rsidRPr="00584CC6">
        <w:fldChar w:fldCharType="end"/>
      </w:r>
    </w:p>
    <w:p w:rsidR="00057D38" w:rsidRPr="00584CC6" w:rsidRDefault="00057D38">
      <w:pPr>
        <w:pStyle w:val="Innehll2"/>
      </w:pPr>
      <w:r w:rsidRPr="00584CC6">
        <w:t>Fokusera på den grova organiserade brottsligheten</w:t>
      </w:r>
      <w:r w:rsidRPr="00584CC6">
        <w:tab/>
      </w:r>
      <w:r w:rsidRPr="00584CC6">
        <w:fldChar w:fldCharType="begin" w:fldLock="1"/>
      </w:r>
      <w:r w:rsidRPr="00584CC6">
        <w:instrText xml:space="preserve"> PAGEREF _Toc116192378 \h </w:instrText>
      </w:r>
      <w:r w:rsidRPr="00584CC6">
        <w:fldChar w:fldCharType="separate"/>
      </w:r>
      <w:r w:rsidR="00EF57BC" w:rsidRPr="00584CC6">
        <w:t>6</w:t>
      </w:r>
      <w:r w:rsidRPr="00584CC6">
        <w:fldChar w:fldCharType="end"/>
      </w:r>
    </w:p>
    <w:p w:rsidR="00057D38" w:rsidRPr="00584CC6" w:rsidRDefault="00057D38">
      <w:pPr>
        <w:pStyle w:val="Innehll1"/>
      </w:pPr>
      <w:r w:rsidRPr="00584CC6">
        <w:t>Säkerhetspolisen</w:t>
      </w:r>
      <w:r w:rsidRPr="00584CC6">
        <w:tab/>
      </w:r>
      <w:r w:rsidRPr="00584CC6">
        <w:fldChar w:fldCharType="begin" w:fldLock="1"/>
      </w:r>
      <w:r w:rsidRPr="00584CC6">
        <w:instrText xml:space="preserve"> PAGEREF _Toc116192379 \h </w:instrText>
      </w:r>
      <w:r w:rsidRPr="00584CC6">
        <w:fldChar w:fldCharType="separate"/>
      </w:r>
      <w:r w:rsidR="00EF57BC" w:rsidRPr="00584CC6">
        <w:t>7</w:t>
      </w:r>
      <w:r w:rsidRPr="00584CC6">
        <w:fldChar w:fldCharType="end"/>
      </w:r>
    </w:p>
    <w:p w:rsidR="00057D38" w:rsidRPr="00584CC6" w:rsidRDefault="00057D38">
      <w:pPr>
        <w:pStyle w:val="Innehll2"/>
      </w:pPr>
      <w:r w:rsidRPr="00584CC6">
        <w:t>Åklagarorganisationen</w:t>
      </w:r>
      <w:r w:rsidRPr="00584CC6">
        <w:tab/>
      </w:r>
      <w:r w:rsidRPr="00584CC6">
        <w:fldChar w:fldCharType="begin" w:fldLock="1"/>
      </w:r>
      <w:r w:rsidRPr="00584CC6">
        <w:instrText xml:space="preserve"> PAGEREF _Toc116192380 \h </w:instrText>
      </w:r>
      <w:r w:rsidRPr="00584CC6">
        <w:fldChar w:fldCharType="separate"/>
      </w:r>
      <w:r w:rsidR="00EF57BC" w:rsidRPr="00584CC6">
        <w:t>7</w:t>
      </w:r>
      <w:r w:rsidRPr="00584CC6">
        <w:fldChar w:fldCharType="end"/>
      </w:r>
    </w:p>
    <w:p w:rsidR="00057D38" w:rsidRPr="00584CC6" w:rsidRDefault="00057D38">
      <w:pPr>
        <w:pStyle w:val="Innehll2"/>
      </w:pPr>
      <w:r w:rsidRPr="00584CC6">
        <w:t>Ekobrottsmyndigheten</w:t>
      </w:r>
      <w:r w:rsidRPr="00584CC6">
        <w:tab/>
      </w:r>
      <w:r w:rsidRPr="00584CC6">
        <w:fldChar w:fldCharType="begin" w:fldLock="1"/>
      </w:r>
      <w:r w:rsidRPr="00584CC6">
        <w:instrText xml:space="preserve"> PAGEREF _Toc116192381 \h </w:instrText>
      </w:r>
      <w:r w:rsidRPr="00584CC6">
        <w:fldChar w:fldCharType="separate"/>
      </w:r>
      <w:r w:rsidR="00EF57BC" w:rsidRPr="00584CC6">
        <w:t>8</w:t>
      </w:r>
      <w:r w:rsidRPr="00584CC6">
        <w:fldChar w:fldCharType="end"/>
      </w:r>
    </w:p>
    <w:p w:rsidR="00057D38" w:rsidRPr="00584CC6" w:rsidRDefault="00057D38">
      <w:pPr>
        <w:pStyle w:val="Innehll2"/>
      </w:pPr>
      <w:r w:rsidRPr="00584CC6">
        <w:t>Domstolsväsendet</w:t>
      </w:r>
      <w:r w:rsidRPr="00584CC6">
        <w:tab/>
      </w:r>
      <w:r w:rsidRPr="00584CC6">
        <w:fldChar w:fldCharType="begin" w:fldLock="1"/>
      </w:r>
      <w:r w:rsidRPr="00584CC6">
        <w:instrText xml:space="preserve"> PAGEREF _Toc116192382 \h </w:instrText>
      </w:r>
      <w:r w:rsidRPr="00584CC6">
        <w:fldChar w:fldCharType="separate"/>
      </w:r>
      <w:r w:rsidR="00EF57BC" w:rsidRPr="00584CC6">
        <w:t>9</w:t>
      </w:r>
      <w:r w:rsidRPr="00584CC6">
        <w:fldChar w:fldCharType="end"/>
      </w:r>
    </w:p>
    <w:p w:rsidR="00057D38" w:rsidRPr="00584CC6" w:rsidRDefault="00057D38">
      <w:pPr>
        <w:pStyle w:val="Innehll2"/>
      </w:pPr>
      <w:r w:rsidRPr="00584CC6">
        <w:t>Kriminalvården</w:t>
      </w:r>
      <w:r w:rsidRPr="00584CC6">
        <w:tab/>
      </w:r>
      <w:r w:rsidRPr="00584CC6">
        <w:fldChar w:fldCharType="begin" w:fldLock="1"/>
      </w:r>
      <w:r w:rsidRPr="00584CC6">
        <w:instrText xml:space="preserve"> PAGEREF _Toc116192383 \h </w:instrText>
      </w:r>
      <w:r w:rsidRPr="00584CC6">
        <w:fldChar w:fldCharType="separate"/>
      </w:r>
      <w:r w:rsidR="00EF57BC" w:rsidRPr="00584CC6">
        <w:t>10</w:t>
      </w:r>
      <w:r w:rsidRPr="00584CC6">
        <w:fldChar w:fldCharType="end"/>
      </w:r>
    </w:p>
    <w:p w:rsidR="00057D38" w:rsidRPr="00584CC6" w:rsidRDefault="00057D38">
      <w:pPr>
        <w:pStyle w:val="Innehll2"/>
      </w:pPr>
      <w:r w:rsidRPr="00584CC6">
        <w:t>Rättshjälpskostnader</w:t>
      </w:r>
      <w:r w:rsidRPr="00584CC6">
        <w:tab/>
      </w:r>
      <w:r w:rsidRPr="00584CC6">
        <w:fldChar w:fldCharType="begin" w:fldLock="1"/>
      </w:r>
      <w:r w:rsidRPr="00584CC6">
        <w:instrText xml:space="preserve"> PAGEREF _Toc116192384 \h </w:instrText>
      </w:r>
      <w:r w:rsidRPr="00584CC6">
        <w:fldChar w:fldCharType="separate"/>
      </w:r>
      <w:r w:rsidR="00EF57BC" w:rsidRPr="00584CC6">
        <w:t>11</w:t>
      </w:r>
      <w:r w:rsidRPr="00584CC6">
        <w:fldChar w:fldCharType="end"/>
      </w:r>
    </w:p>
    <w:p w:rsidR="00AC03C4" w:rsidRPr="00584CC6" w:rsidRDefault="00EA1C83" w:rsidP="006561A9">
      <w:r w:rsidRPr="00584CC6">
        <w:fldChar w:fldCharType="end"/>
      </w:r>
    </w:p>
    <w:p w:rsidR="00EA1C83" w:rsidRPr="00584CC6" w:rsidRDefault="00EA1C83" w:rsidP="005B1DF2">
      <w:pPr>
        <w:pStyle w:val="Hemstlrubrik"/>
        <w:pageBreakBefore/>
        <w:spacing w:before="0"/>
      </w:pPr>
      <w:bookmarkStart w:id="1" w:name="_Toc116192370"/>
      <w:r w:rsidRPr="00584CC6">
        <w:lastRenderedPageBreak/>
        <w:t>Förslag till riksdagsbeslut</w:t>
      </w:r>
      <w:bookmarkEnd w:id="1"/>
    </w:p>
    <w:p w:rsidR="00EA1C83" w:rsidRPr="00584CC6" w:rsidRDefault="00EA1C83" w:rsidP="00A16A8F">
      <w:pPr>
        <w:pStyle w:val="Hemstlatt"/>
        <w:spacing w:after="60"/>
      </w:pPr>
      <w:r w:rsidRPr="00584CC6">
        <w:t>Riksdagen anvisar med följande ändringar i förhållande till regeringens förslag anslagen under utgiftsområde 4 Rättsväsendet för 2006</w:t>
      </w:r>
      <w:r w:rsidR="00690A57" w:rsidRPr="00584CC6">
        <w:t xml:space="preserve"> enligt uppställning</w:t>
      </w:r>
      <w:r w:rsidRPr="00584CC6">
        <w:t>:</w:t>
      </w:r>
    </w:p>
    <w:tbl>
      <w:tblPr>
        <w:tblW w:w="5605" w:type="dxa"/>
        <w:tblInd w:w="45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470"/>
        <w:gridCol w:w="1520"/>
        <w:gridCol w:w="1615"/>
      </w:tblGrid>
      <w:tr w:rsidR="003321EB" w:rsidRPr="00584CC6">
        <w:tblPrEx>
          <w:tblCellMar>
            <w:top w:w="0" w:type="dxa"/>
            <w:bottom w:w="0" w:type="dxa"/>
          </w:tblCellMar>
        </w:tblPrEx>
        <w:tc>
          <w:tcPr>
            <w:tcW w:w="2470" w:type="dxa"/>
            <w:tcBorders>
              <w:top w:val="single" w:sz="4" w:space="0" w:color="auto"/>
              <w:bottom w:val="single" w:sz="4" w:space="0" w:color="auto"/>
            </w:tcBorders>
          </w:tcPr>
          <w:p w:rsidR="003321EB" w:rsidRPr="00584CC6" w:rsidRDefault="003321EB" w:rsidP="001C1076">
            <w:pPr>
              <w:spacing w:before="60" w:line="200" w:lineRule="exact"/>
              <w:rPr>
                <w:b/>
                <w:sz w:val="16"/>
                <w:szCs w:val="16"/>
              </w:rPr>
            </w:pPr>
            <w:r w:rsidRPr="00584CC6">
              <w:rPr>
                <w:b/>
                <w:sz w:val="16"/>
                <w:szCs w:val="16"/>
              </w:rPr>
              <w:t>Anslag (tusental kr)</w:t>
            </w:r>
          </w:p>
        </w:tc>
        <w:tc>
          <w:tcPr>
            <w:tcW w:w="1520" w:type="dxa"/>
            <w:tcBorders>
              <w:top w:val="single" w:sz="4" w:space="0" w:color="auto"/>
              <w:bottom w:val="single" w:sz="4" w:space="0" w:color="auto"/>
            </w:tcBorders>
          </w:tcPr>
          <w:p w:rsidR="003321EB" w:rsidRPr="00584CC6" w:rsidRDefault="003321EB" w:rsidP="00A16A8F">
            <w:pPr>
              <w:spacing w:before="60" w:line="200" w:lineRule="exact"/>
              <w:ind w:left="113" w:hanging="183"/>
              <w:jc w:val="left"/>
              <w:rPr>
                <w:b/>
                <w:sz w:val="16"/>
                <w:szCs w:val="16"/>
              </w:rPr>
            </w:pPr>
            <w:r w:rsidRPr="00584CC6">
              <w:rPr>
                <w:b/>
                <w:sz w:val="16"/>
                <w:szCs w:val="16"/>
              </w:rPr>
              <w:t>Regeringens fö</w:t>
            </w:r>
            <w:r w:rsidRPr="00584CC6">
              <w:rPr>
                <w:b/>
                <w:sz w:val="16"/>
                <w:szCs w:val="16"/>
              </w:rPr>
              <w:t>r</w:t>
            </w:r>
            <w:r w:rsidRPr="00584CC6">
              <w:rPr>
                <w:b/>
                <w:sz w:val="16"/>
                <w:szCs w:val="16"/>
              </w:rPr>
              <w:t>slag</w:t>
            </w:r>
          </w:p>
        </w:tc>
        <w:tc>
          <w:tcPr>
            <w:tcW w:w="1615" w:type="dxa"/>
            <w:tcBorders>
              <w:top w:val="single" w:sz="4" w:space="0" w:color="auto"/>
              <w:bottom w:val="single" w:sz="4" w:space="0" w:color="auto"/>
            </w:tcBorders>
          </w:tcPr>
          <w:p w:rsidR="003321EB" w:rsidRPr="00584CC6" w:rsidRDefault="003321EB" w:rsidP="001C1076">
            <w:pPr>
              <w:spacing w:before="60" w:line="200" w:lineRule="exact"/>
              <w:rPr>
                <w:b/>
                <w:sz w:val="16"/>
                <w:szCs w:val="16"/>
              </w:rPr>
            </w:pPr>
            <w:r w:rsidRPr="00584CC6">
              <w:rPr>
                <w:b/>
                <w:sz w:val="16"/>
                <w:szCs w:val="16"/>
              </w:rPr>
              <w:t>Anslags</w:t>
            </w:r>
            <w:r w:rsidR="001C1076" w:rsidRPr="00584CC6">
              <w:rPr>
                <w:b/>
                <w:sz w:val="16"/>
                <w:szCs w:val="16"/>
              </w:rPr>
              <w:softHyphen/>
            </w:r>
            <w:r w:rsidRPr="00584CC6">
              <w:rPr>
                <w:b/>
                <w:sz w:val="16"/>
                <w:szCs w:val="16"/>
              </w:rPr>
              <w:t>förändringar</w:t>
            </w:r>
          </w:p>
        </w:tc>
      </w:tr>
      <w:tr w:rsidR="003321EB" w:rsidRPr="00584CC6">
        <w:tblPrEx>
          <w:tblCellMar>
            <w:top w:w="0" w:type="dxa"/>
            <w:bottom w:w="0" w:type="dxa"/>
          </w:tblCellMar>
        </w:tblPrEx>
        <w:tc>
          <w:tcPr>
            <w:tcW w:w="2470" w:type="dxa"/>
            <w:tcBorders>
              <w:top w:val="single" w:sz="4" w:space="0" w:color="auto"/>
            </w:tcBorders>
          </w:tcPr>
          <w:p w:rsidR="003321EB" w:rsidRPr="00584CC6" w:rsidRDefault="003321EB" w:rsidP="001C1076">
            <w:pPr>
              <w:spacing w:before="60" w:line="200" w:lineRule="exact"/>
              <w:rPr>
                <w:sz w:val="16"/>
                <w:szCs w:val="16"/>
              </w:rPr>
            </w:pPr>
            <w:r w:rsidRPr="00584CC6">
              <w:rPr>
                <w:sz w:val="16"/>
                <w:szCs w:val="16"/>
              </w:rPr>
              <w:t>4:1 Polisorganisationen</w:t>
            </w:r>
          </w:p>
        </w:tc>
        <w:tc>
          <w:tcPr>
            <w:tcW w:w="1520" w:type="dxa"/>
            <w:tcBorders>
              <w:top w:val="single" w:sz="4" w:space="0" w:color="auto"/>
            </w:tcBorders>
          </w:tcPr>
          <w:p w:rsidR="003321EB" w:rsidRPr="00584CC6" w:rsidRDefault="001259F7" w:rsidP="00A16A8F">
            <w:pPr>
              <w:spacing w:before="60" w:line="200" w:lineRule="exact"/>
              <w:ind w:right="25"/>
              <w:jc w:val="right"/>
              <w:rPr>
                <w:sz w:val="16"/>
                <w:szCs w:val="16"/>
              </w:rPr>
            </w:pPr>
            <w:r w:rsidRPr="00584CC6">
              <w:rPr>
                <w:sz w:val="16"/>
                <w:szCs w:val="16"/>
              </w:rPr>
              <w:t>15 674 018</w:t>
            </w:r>
          </w:p>
        </w:tc>
        <w:tc>
          <w:tcPr>
            <w:tcW w:w="1615" w:type="dxa"/>
            <w:tcBorders>
              <w:top w:val="single" w:sz="4" w:space="0" w:color="auto"/>
            </w:tcBorders>
          </w:tcPr>
          <w:p w:rsidR="003321EB" w:rsidRPr="00584CC6" w:rsidRDefault="003321EB" w:rsidP="00A16A8F">
            <w:pPr>
              <w:tabs>
                <w:tab w:val="left" w:pos="1475"/>
              </w:tabs>
              <w:spacing w:before="60" w:line="200" w:lineRule="exact"/>
              <w:ind w:right="25"/>
              <w:jc w:val="right"/>
              <w:rPr>
                <w:sz w:val="16"/>
                <w:szCs w:val="16"/>
              </w:rPr>
            </w:pPr>
            <w:r w:rsidRPr="00584CC6">
              <w:rPr>
                <w:sz w:val="16"/>
                <w:szCs w:val="16"/>
              </w:rPr>
              <w:t>+</w:t>
            </w:r>
            <w:r w:rsidR="009C43D4" w:rsidRPr="00584CC6">
              <w:rPr>
                <w:sz w:val="16"/>
                <w:szCs w:val="16"/>
              </w:rPr>
              <w:t>6</w:t>
            </w:r>
            <w:r w:rsidR="006D78EE" w:rsidRPr="00584CC6">
              <w:rPr>
                <w:sz w:val="16"/>
                <w:szCs w:val="16"/>
              </w:rPr>
              <w:t>8</w:t>
            </w:r>
            <w:r w:rsidR="009C43D4" w:rsidRPr="00584CC6">
              <w:rPr>
                <w:sz w:val="16"/>
                <w:szCs w:val="16"/>
              </w:rPr>
              <w:t>0</w:t>
            </w:r>
            <w:r w:rsidR="00A3286E" w:rsidRPr="00584CC6">
              <w:rPr>
                <w:sz w:val="16"/>
                <w:szCs w:val="16"/>
              </w:rPr>
              <w:t xml:space="preserve"> 000</w:t>
            </w:r>
          </w:p>
        </w:tc>
      </w:tr>
      <w:tr w:rsidR="003321EB" w:rsidRPr="00584CC6">
        <w:tblPrEx>
          <w:tblCellMar>
            <w:top w:w="0" w:type="dxa"/>
            <w:bottom w:w="0" w:type="dxa"/>
          </w:tblCellMar>
        </w:tblPrEx>
        <w:tc>
          <w:tcPr>
            <w:tcW w:w="2470" w:type="dxa"/>
          </w:tcPr>
          <w:p w:rsidR="003321EB" w:rsidRPr="00584CC6" w:rsidRDefault="003321EB" w:rsidP="001C1076">
            <w:pPr>
              <w:spacing w:before="60" w:line="200" w:lineRule="exact"/>
              <w:rPr>
                <w:sz w:val="16"/>
                <w:szCs w:val="16"/>
              </w:rPr>
            </w:pPr>
            <w:r w:rsidRPr="00584CC6">
              <w:rPr>
                <w:sz w:val="16"/>
                <w:szCs w:val="16"/>
              </w:rPr>
              <w:t>4:2 Säkerhetspolisen</w:t>
            </w:r>
          </w:p>
        </w:tc>
        <w:tc>
          <w:tcPr>
            <w:tcW w:w="1520" w:type="dxa"/>
          </w:tcPr>
          <w:p w:rsidR="003321EB" w:rsidRPr="00584CC6" w:rsidRDefault="001259F7" w:rsidP="00A16A8F">
            <w:pPr>
              <w:spacing w:before="60" w:line="200" w:lineRule="exact"/>
              <w:ind w:right="25"/>
              <w:jc w:val="right"/>
              <w:rPr>
                <w:sz w:val="16"/>
                <w:szCs w:val="16"/>
              </w:rPr>
            </w:pPr>
            <w:r w:rsidRPr="00584CC6">
              <w:rPr>
                <w:sz w:val="16"/>
                <w:szCs w:val="16"/>
              </w:rPr>
              <w:t>698 631</w:t>
            </w:r>
          </w:p>
        </w:tc>
        <w:tc>
          <w:tcPr>
            <w:tcW w:w="1615" w:type="dxa"/>
          </w:tcPr>
          <w:p w:rsidR="003321EB" w:rsidRPr="00584CC6" w:rsidRDefault="003321EB" w:rsidP="00A16A8F">
            <w:pPr>
              <w:tabs>
                <w:tab w:val="left" w:pos="1475"/>
              </w:tabs>
              <w:spacing w:before="60" w:line="200" w:lineRule="exact"/>
              <w:ind w:right="25"/>
              <w:jc w:val="right"/>
              <w:rPr>
                <w:sz w:val="16"/>
                <w:szCs w:val="16"/>
              </w:rPr>
            </w:pPr>
            <w:r w:rsidRPr="00584CC6">
              <w:rPr>
                <w:sz w:val="16"/>
                <w:szCs w:val="16"/>
              </w:rPr>
              <w:t>+</w:t>
            </w:r>
            <w:r w:rsidR="00A3286E" w:rsidRPr="00584CC6">
              <w:rPr>
                <w:sz w:val="16"/>
                <w:szCs w:val="16"/>
              </w:rPr>
              <w:t>30 000</w:t>
            </w:r>
          </w:p>
        </w:tc>
      </w:tr>
      <w:tr w:rsidR="003321EB" w:rsidRPr="00584CC6">
        <w:tblPrEx>
          <w:tblCellMar>
            <w:top w:w="0" w:type="dxa"/>
            <w:bottom w:w="0" w:type="dxa"/>
          </w:tblCellMar>
        </w:tblPrEx>
        <w:tc>
          <w:tcPr>
            <w:tcW w:w="2470" w:type="dxa"/>
          </w:tcPr>
          <w:p w:rsidR="003321EB" w:rsidRPr="00584CC6" w:rsidRDefault="003321EB" w:rsidP="001C1076">
            <w:pPr>
              <w:spacing w:before="60" w:line="200" w:lineRule="exact"/>
              <w:rPr>
                <w:sz w:val="16"/>
                <w:szCs w:val="16"/>
              </w:rPr>
            </w:pPr>
            <w:r w:rsidRPr="00584CC6">
              <w:rPr>
                <w:sz w:val="16"/>
                <w:szCs w:val="16"/>
              </w:rPr>
              <w:t>4:3 Åklagarorganisationen</w:t>
            </w:r>
          </w:p>
        </w:tc>
        <w:tc>
          <w:tcPr>
            <w:tcW w:w="1520" w:type="dxa"/>
          </w:tcPr>
          <w:p w:rsidR="003321EB" w:rsidRPr="00584CC6" w:rsidRDefault="000274FF" w:rsidP="00A16A8F">
            <w:pPr>
              <w:spacing w:before="60" w:line="200" w:lineRule="exact"/>
              <w:ind w:right="25"/>
              <w:jc w:val="right"/>
              <w:rPr>
                <w:sz w:val="16"/>
                <w:szCs w:val="16"/>
              </w:rPr>
            </w:pPr>
            <w:r w:rsidRPr="00584CC6">
              <w:rPr>
                <w:sz w:val="16"/>
                <w:szCs w:val="16"/>
              </w:rPr>
              <w:t>862 424</w:t>
            </w:r>
          </w:p>
        </w:tc>
        <w:tc>
          <w:tcPr>
            <w:tcW w:w="1615" w:type="dxa"/>
          </w:tcPr>
          <w:p w:rsidR="003321EB" w:rsidRPr="00584CC6" w:rsidRDefault="003321EB" w:rsidP="00A16A8F">
            <w:pPr>
              <w:tabs>
                <w:tab w:val="left" w:pos="1475"/>
              </w:tabs>
              <w:spacing w:before="60" w:line="200" w:lineRule="exact"/>
              <w:ind w:right="25"/>
              <w:jc w:val="right"/>
              <w:rPr>
                <w:sz w:val="16"/>
                <w:szCs w:val="16"/>
              </w:rPr>
            </w:pPr>
            <w:r w:rsidRPr="00584CC6">
              <w:rPr>
                <w:sz w:val="16"/>
                <w:szCs w:val="16"/>
              </w:rPr>
              <w:t>+</w:t>
            </w:r>
            <w:r w:rsidR="00A8160C" w:rsidRPr="00584CC6">
              <w:rPr>
                <w:sz w:val="16"/>
                <w:szCs w:val="16"/>
              </w:rPr>
              <w:t>25 000</w:t>
            </w:r>
            <w:r w:rsidRPr="00584CC6">
              <w:rPr>
                <w:sz w:val="16"/>
                <w:szCs w:val="16"/>
              </w:rPr>
              <w:t xml:space="preserve"> </w:t>
            </w:r>
          </w:p>
        </w:tc>
      </w:tr>
      <w:tr w:rsidR="003321EB" w:rsidRPr="00584CC6">
        <w:tblPrEx>
          <w:tblCellMar>
            <w:top w:w="0" w:type="dxa"/>
            <w:bottom w:w="0" w:type="dxa"/>
          </w:tblCellMar>
        </w:tblPrEx>
        <w:tc>
          <w:tcPr>
            <w:tcW w:w="2470" w:type="dxa"/>
          </w:tcPr>
          <w:p w:rsidR="003321EB" w:rsidRPr="00584CC6" w:rsidRDefault="003321EB" w:rsidP="001C1076">
            <w:pPr>
              <w:spacing w:before="60" w:line="200" w:lineRule="exact"/>
              <w:rPr>
                <w:sz w:val="16"/>
                <w:szCs w:val="16"/>
              </w:rPr>
            </w:pPr>
            <w:r w:rsidRPr="00584CC6">
              <w:rPr>
                <w:sz w:val="16"/>
                <w:szCs w:val="16"/>
              </w:rPr>
              <w:t>4:5 Domstolsväsendet m.m.</w:t>
            </w:r>
          </w:p>
        </w:tc>
        <w:tc>
          <w:tcPr>
            <w:tcW w:w="1520" w:type="dxa"/>
          </w:tcPr>
          <w:p w:rsidR="003321EB" w:rsidRPr="00584CC6" w:rsidRDefault="000274FF" w:rsidP="00A16A8F">
            <w:pPr>
              <w:spacing w:before="60" w:line="200" w:lineRule="exact"/>
              <w:ind w:right="25"/>
              <w:jc w:val="right"/>
              <w:rPr>
                <w:sz w:val="16"/>
                <w:szCs w:val="16"/>
              </w:rPr>
            </w:pPr>
            <w:r w:rsidRPr="00584CC6">
              <w:rPr>
                <w:sz w:val="16"/>
                <w:szCs w:val="16"/>
              </w:rPr>
              <w:t>4 074 140</w:t>
            </w:r>
            <w:r w:rsidR="003321EB" w:rsidRPr="00584CC6">
              <w:rPr>
                <w:sz w:val="16"/>
                <w:szCs w:val="16"/>
              </w:rPr>
              <w:t xml:space="preserve">  </w:t>
            </w:r>
          </w:p>
        </w:tc>
        <w:tc>
          <w:tcPr>
            <w:tcW w:w="1615" w:type="dxa"/>
          </w:tcPr>
          <w:p w:rsidR="003321EB" w:rsidRPr="00584CC6" w:rsidRDefault="003321EB" w:rsidP="00A16A8F">
            <w:pPr>
              <w:tabs>
                <w:tab w:val="left" w:pos="1475"/>
              </w:tabs>
              <w:spacing w:before="60" w:line="200" w:lineRule="exact"/>
              <w:ind w:right="25"/>
              <w:jc w:val="right"/>
              <w:rPr>
                <w:sz w:val="16"/>
                <w:szCs w:val="16"/>
              </w:rPr>
            </w:pPr>
            <w:r w:rsidRPr="00584CC6">
              <w:rPr>
                <w:sz w:val="16"/>
                <w:szCs w:val="16"/>
              </w:rPr>
              <w:t>+</w:t>
            </w:r>
            <w:r w:rsidR="00A8160C" w:rsidRPr="00584CC6">
              <w:rPr>
                <w:sz w:val="16"/>
                <w:szCs w:val="16"/>
              </w:rPr>
              <w:t>105 000</w:t>
            </w:r>
          </w:p>
        </w:tc>
      </w:tr>
      <w:tr w:rsidR="00690A57" w:rsidRPr="00584CC6">
        <w:tblPrEx>
          <w:tblCellMar>
            <w:top w:w="0" w:type="dxa"/>
            <w:bottom w:w="0" w:type="dxa"/>
          </w:tblCellMar>
        </w:tblPrEx>
        <w:tc>
          <w:tcPr>
            <w:tcW w:w="2470" w:type="dxa"/>
          </w:tcPr>
          <w:p w:rsidR="00690A57" w:rsidRPr="00584CC6" w:rsidRDefault="00690A57" w:rsidP="001C1076">
            <w:pPr>
              <w:spacing w:before="60" w:line="200" w:lineRule="exact"/>
              <w:rPr>
                <w:sz w:val="16"/>
                <w:szCs w:val="16"/>
              </w:rPr>
            </w:pPr>
            <w:r w:rsidRPr="00584CC6">
              <w:rPr>
                <w:sz w:val="16"/>
                <w:szCs w:val="16"/>
              </w:rPr>
              <w:t>4:6 Kriminalvården</w:t>
            </w:r>
          </w:p>
        </w:tc>
        <w:tc>
          <w:tcPr>
            <w:tcW w:w="1520" w:type="dxa"/>
          </w:tcPr>
          <w:p w:rsidR="00690A57" w:rsidRPr="00584CC6" w:rsidRDefault="00690A57" w:rsidP="00A16A8F">
            <w:pPr>
              <w:spacing w:before="60" w:line="200" w:lineRule="exact"/>
              <w:ind w:right="25"/>
              <w:jc w:val="right"/>
              <w:rPr>
                <w:sz w:val="16"/>
                <w:szCs w:val="16"/>
              </w:rPr>
            </w:pPr>
            <w:r w:rsidRPr="00584CC6">
              <w:rPr>
                <w:sz w:val="16"/>
                <w:szCs w:val="16"/>
              </w:rPr>
              <w:t>5 729 965</w:t>
            </w:r>
          </w:p>
        </w:tc>
        <w:tc>
          <w:tcPr>
            <w:tcW w:w="1615" w:type="dxa"/>
          </w:tcPr>
          <w:p w:rsidR="00690A57" w:rsidRPr="00584CC6" w:rsidRDefault="00690A57" w:rsidP="00A16A8F">
            <w:pPr>
              <w:tabs>
                <w:tab w:val="left" w:pos="1475"/>
              </w:tabs>
              <w:spacing w:before="60" w:line="200" w:lineRule="exact"/>
              <w:ind w:right="25"/>
              <w:jc w:val="right"/>
              <w:rPr>
                <w:sz w:val="16"/>
                <w:szCs w:val="16"/>
              </w:rPr>
            </w:pPr>
            <w:r w:rsidRPr="00584CC6">
              <w:rPr>
                <w:sz w:val="16"/>
                <w:szCs w:val="16"/>
              </w:rPr>
              <w:t>+150 000</w:t>
            </w:r>
          </w:p>
        </w:tc>
      </w:tr>
      <w:tr w:rsidR="003321EB" w:rsidRPr="00584CC6">
        <w:tblPrEx>
          <w:tblCellMar>
            <w:top w:w="0" w:type="dxa"/>
            <w:bottom w:w="0" w:type="dxa"/>
          </w:tblCellMar>
        </w:tblPrEx>
        <w:tc>
          <w:tcPr>
            <w:tcW w:w="2470" w:type="dxa"/>
          </w:tcPr>
          <w:p w:rsidR="0060674C" w:rsidRPr="00584CC6" w:rsidRDefault="0060674C" w:rsidP="001C1076">
            <w:pPr>
              <w:pStyle w:val="Normaltindrag"/>
              <w:spacing w:before="60" w:line="200" w:lineRule="exact"/>
              <w:ind w:firstLine="0"/>
              <w:rPr>
                <w:sz w:val="16"/>
                <w:szCs w:val="16"/>
              </w:rPr>
            </w:pPr>
            <w:r w:rsidRPr="00584CC6">
              <w:rPr>
                <w:sz w:val="16"/>
                <w:szCs w:val="16"/>
              </w:rPr>
              <w:t>4:7 BRÅ</w:t>
            </w:r>
          </w:p>
        </w:tc>
        <w:tc>
          <w:tcPr>
            <w:tcW w:w="1520" w:type="dxa"/>
          </w:tcPr>
          <w:p w:rsidR="0060674C" w:rsidRPr="00584CC6" w:rsidRDefault="0060674C" w:rsidP="00A16A8F">
            <w:pPr>
              <w:pStyle w:val="Normaltindrag"/>
              <w:spacing w:before="60" w:line="200" w:lineRule="exact"/>
              <w:ind w:right="25" w:firstLine="0"/>
              <w:jc w:val="right"/>
              <w:rPr>
                <w:sz w:val="16"/>
                <w:szCs w:val="16"/>
              </w:rPr>
            </w:pPr>
            <w:r w:rsidRPr="00584CC6">
              <w:rPr>
                <w:sz w:val="16"/>
                <w:szCs w:val="16"/>
              </w:rPr>
              <w:t>60 116</w:t>
            </w:r>
          </w:p>
        </w:tc>
        <w:tc>
          <w:tcPr>
            <w:tcW w:w="1615" w:type="dxa"/>
          </w:tcPr>
          <w:p w:rsidR="0060674C" w:rsidRPr="00584CC6" w:rsidRDefault="00A16A8F" w:rsidP="00A16A8F">
            <w:pPr>
              <w:pStyle w:val="Normaltindrag"/>
              <w:tabs>
                <w:tab w:val="left" w:pos="1475"/>
              </w:tabs>
              <w:spacing w:before="60" w:line="200" w:lineRule="exact"/>
              <w:ind w:right="25" w:firstLine="0"/>
              <w:jc w:val="right"/>
              <w:rPr>
                <w:sz w:val="16"/>
                <w:szCs w:val="16"/>
              </w:rPr>
            </w:pPr>
            <w:r w:rsidRPr="00584CC6">
              <w:rPr>
                <w:sz w:val="16"/>
                <w:szCs w:val="16"/>
              </w:rPr>
              <w:t>–</w:t>
            </w:r>
            <w:r w:rsidR="0060674C" w:rsidRPr="00584CC6">
              <w:rPr>
                <w:sz w:val="16"/>
                <w:szCs w:val="16"/>
              </w:rPr>
              <w:t>10 000</w:t>
            </w:r>
          </w:p>
        </w:tc>
      </w:tr>
      <w:tr w:rsidR="003321EB" w:rsidRPr="00584CC6">
        <w:tblPrEx>
          <w:tblCellMar>
            <w:top w:w="0" w:type="dxa"/>
            <w:bottom w:w="0" w:type="dxa"/>
          </w:tblCellMar>
        </w:tblPrEx>
        <w:tc>
          <w:tcPr>
            <w:tcW w:w="2470" w:type="dxa"/>
          </w:tcPr>
          <w:p w:rsidR="003321EB" w:rsidRPr="00584CC6" w:rsidRDefault="003321EB" w:rsidP="001C1076">
            <w:pPr>
              <w:spacing w:before="60" w:line="200" w:lineRule="exact"/>
              <w:rPr>
                <w:sz w:val="16"/>
                <w:szCs w:val="16"/>
              </w:rPr>
            </w:pPr>
            <w:r w:rsidRPr="00584CC6">
              <w:rPr>
                <w:sz w:val="16"/>
                <w:szCs w:val="16"/>
              </w:rPr>
              <w:t>4:12 Rättshjälpskostn</w:t>
            </w:r>
            <w:r w:rsidR="00690A57" w:rsidRPr="00584CC6">
              <w:rPr>
                <w:sz w:val="16"/>
                <w:szCs w:val="16"/>
              </w:rPr>
              <w:t>ader</w:t>
            </w:r>
            <w:r w:rsidRPr="00584CC6">
              <w:rPr>
                <w:sz w:val="16"/>
                <w:szCs w:val="16"/>
              </w:rPr>
              <w:t xml:space="preserve"> m.m.</w:t>
            </w:r>
          </w:p>
        </w:tc>
        <w:tc>
          <w:tcPr>
            <w:tcW w:w="1520" w:type="dxa"/>
          </w:tcPr>
          <w:p w:rsidR="003321EB" w:rsidRPr="00584CC6" w:rsidRDefault="004D4BD0" w:rsidP="00A16A8F">
            <w:pPr>
              <w:spacing w:before="60" w:line="200" w:lineRule="exact"/>
              <w:ind w:right="25"/>
              <w:jc w:val="right"/>
              <w:rPr>
                <w:sz w:val="16"/>
                <w:szCs w:val="16"/>
              </w:rPr>
            </w:pPr>
            <w:r w:rsidRPr="00584CC6">
              <w:rPr>
                <w:sz w:val="16"/>
                <w:szCs w:val="16"/>
              </w:rPr>
              <w:t>1 199 214</w:t>
            </w:r>
          </w:p>
        </w:tc>
        <w:tc>
          <w:tcPr>
            <w:tcW w:w="1615" w:type="dxa"/>
          </w:tcPr>
          <w:p w:rsidR="003321EB" w:rsidRPr="00584CC6" w:rsidRDefault="003321EB" w:rsidP="00A16A8F">
            <w:pPr>
              <w:tabs>
                <w:tab w:val="left" w:pos="1475"/>
              </w:tabs>
              <w:spacing w:before="60" w:line="200" w:lineRule="exact"/>
              <w:ind w:right="25"/>
              <w:jc w:val="right"/>
              <w:rPr>
                <w:sz w:val="16"/>
                <w:szCs w:val="16"/>
              </w:rPr>
            </w:pPr>
            <w:r w:rsidRPr="00584CC6">
              <w:rPr>
                <w:sz w:val="16"/>
                <w:szCs w:val="16"/>
              </w:rPr>
              <w:t>+</w:t>
            </w:r>
            <w:r w:rsidR="00056332" w:rsidRPr="00584CC6">
              <w:rPr>
                <w:sz w:val="16"/>
                <w:szCs w:val="16"/>
              </w:rPr>
              <w:t>30 000</w:t>
            </w:r>
          </w:p>
        </w:tc>
      </w:tr>
      <w:tr w:rsidR="003321EB" w:rsidRPr="00584CC6">
        <w:tblPrEx>
          <w:tblCellMar>
            <w:top w:w="0" w:type="dxa"/>
            <w:bottom w:w="0" w:type="dxa"/>
          </w:tblCellMar>
        </w:tblPrEx>
        <w:tc>
          <w:tcPr>
            <w:tcW w:w="2470" w:type="dxa"/>
          </w:tcPr>
          <w:p w:rsidR="003321EB" w:rsidRPr="00584CC6" w:rsidRDefault="003321EB" w:rsidP="001C1076">
            <w:pPr>
              <w:spacing w:before="60" w:line="200" w:lineRule="exact"/>
              <w:rPr>
                <w:b/>
                <w:sz w:val="16"/>
                <w:szCs w:val="16"/>
              </w:rPr>
            </w:pPr>
            <w:r w:rsidRPr="00584CC6">
              <w:rPr>
                <w:b/>
                <w:sz w:val="16"/>
                <w:szCs w:val="16"/>
              </w:rPr>
              <w:t>Tot</w:t>
            </w:r>
            <w:r w:rsidR="00690A57" w:rsidRPr="00584CC6">
              <w:rPr>
                <w:b/>
                <w:sz w:val="16"/>
                <w:szCs w:val="16"/>
              </w:rPr>
              <w:t>alt</w:t>
            </w:r>
          </w:p>
        </w:tc>
        <w:tc>
          <w:tcPr>
            <w:tcW w:w="1520" w:type="dxa"/>
          </w:tcPr>
          <w:p w:rsidR="003321EB" w:rsidRPr="00584CC6" w:rsidRDefault="00647184" w:rsidP="00A16A8F">
            <w:pPr>
              <w:spacing w:before="60" w:line="200" w:lineRule="exact"/>
              <w:ind w:right="25"/>
              <w:jc w:val="right"/>
              <w:rPr>
                <w:b/>
                <w:sz w:val="16"/>
                <w:szCs w:val="16"/>
              </w:rPr>
            </w:pPr>
            <w:r w:rsidRPr="00584CC6">
              <w:rPr>
                <w:b/>
                <w:sz w:val="16"/>
                <w:szCs w:val="16"/>
              </w:rPr>
              <w:t>29 022 913</w:t>
            </w:r>
          </w:p>
        </w:tc>
        <w:tc>
          <w:tcPr>
            <w:tcW w:w="1615" w:type="dxa"/>
          </w:tcPr>
          <w:p w:rsidR="003321EB" w:rsidRPr="00584CC6" w:rsidRDefault="00866711" w:rsidP="00A16A8F">
            <w:pPr>
              <w:tabs>
                <w:tab w:val="left" w:pos="1475"/>
              </w:tabs>
              <w:spacing w:before="60" w:line="200" w:lineRule="exact"/>
              <w:ind w:right="25"/>
              <w:jc w:val="right"/>
              <w:rPr>
                <w:sz w:val="16"/>
                <w:szCs w:val="16"/>
              </w:rPr>
            </w:pPr>
            <w:r w:rsidRPr="00584CC6">
              <w:rPr>
                <w:sz w:val="16"/>
                <w:szCs w:val="16"/>
              </w:rPr>
              <w:t>+1 0</w:t>
            </w:r>
            <w:r w:rsidR="008812E6" w:rsidRPr="00584CC6">
              <w:rPr>
                <w:sz w:val="16"/>
                <w:szCs w:val="16"/>
              </w:rPr>
              <w:t>1</w:t>
            </w:r>
            <w:r w:rsidRPr="00584CC6">
              <w:rPr>
                <w:sz w:val="16"/>
                <w:szCs w:val="16"/>
              </w:rPr>
              <w:t>0 000</w:t>
            </w:r>
          </w:p>
        </w:tc>
      </w:tr>
    </w:tbl>
    <w:p w:rsidR="00807570" w:rsidRPr="00584CC6" w:rsidRDefault="00807570" w:rsidP="00CA2BD6">
      <w:pPr>
        <w:pStyle w:val="Rubrik1"/>
      </w:pPr>
      <w:bookmarkStart w:id="2" w:name="_Toc116192371"/>
      <w:r w:rsidRPr="00584CC6">
        <w:t>Ett starkt rättsväsende – den demokratiska kärnuppgiften</w:t>
      </w:r>
      <w:bookmarkEnd w:id="2"/>
    </w:p>
    <w:p w:rsidR="00807570" w:rsidRPr="00584CC6" w:rsidRDefault="00807570" w:rsidP="00CA2BD6">
      <w:pPr>
        <w:pStyle w:val="Normaltindrag"/>
        <w:ind w:firstLine="0"/>
      </w:pPr>
      <w:r w:rsidRPr="00584CC6">
        <w:t>Svenskt rättsväsende är satt under stark press. De rättsvårdande myndighete</w:t>
      </w:r>
      <w:r w:rsidRPr="00584CC6">
        <w:t>r</w:t>
      </w:r>
      <w:r w:rsidRPr="00584CC6">
        <w:t>na uppvisar b</w:t>
      </w:r>
      <w:r w:rsidR="001C1076" w:rsidRPr="00584CC6">
        <w:t>rister i uppfyllandet av de av riksdagen och r</w:t>
      </w:r>
      <w:r w:rsidRPr="00584CC6">
        <w:t>egeringen fastlagda</w:t>
      </w:r>
      <w:r w:rsidR="00CA2BD6" w:rsidRPr="00584CC6">
        <w:t xml:space="preserve"> </w:t>
      </w:r>
      <w:r w:rsidRPr="00584CC6">
        <w:t>målen för rättsväsendet. För oss liberaler är detta ytterst allvarligt. Rättsv</w:t>
      </w:r>
      <w:r w:rsidRPr="00584CC6">
        <w:t>ä</w:t>
      </w:r>
      <w:r w:rsidRPr="00584CC6">
        <w:t>sendet utgör kärnan i den demokratiska rätt</w:t>
      </w:r>
      <w:r w:rsidR="001C1076" w:rsidRPr="00584CC6">
        <w:t>s</w:t>
      </w:r>
      <w:r w:rsidRPr="00584CC6">
        <w:t>staten. Våra gemensamma no</w:t>
      </w:r>
      <w:r w:rsidRPr="00584CC6">
        <w:t>r</w:t>
      </w:r>
      <w:r w:rsidRPr="00584CC6">
        <w:t>mer kring vad som är rätt och fel, tillsammans med ett väl fungerande rätts</w:t>
      </w:r>
      <w:r w:rsidR="00E946ED" w:rsidRPr="00584CC6">
        <w:softHyphen/>
      </w:r>
      <w:r w:rsidRPr="00584CC6">
        <w:t>v</w:t>
      </w:r>
      <w:r w:rsidRPr="00584CC6">
        <w:t>ä</w:t>
      </w:r>
      <w:r w:rsidRPr="00584CC6">
        <w:t xml:space="preserve">sende, utgör pulsådern i en rättsstat. </w:t>
      </w:r>
      <w:r w:rsidR="00CA2BD6" w:rsidRPr="00584CC6">
        <w:t xml:space="preserve">Folkpartiets </w:t>
      </w:r>
      <w:r w:rsidRPr="00584CC6">
        <w:t>förslag om ökad trygghet och minskad brottslighet handlar om minskad social orättvisa, tilltro till d</w:t>
      </w:r>
      <w:r w:rsidRPr="00584CC6">
        <w:t>e</w:t>
      </w:r>
      <w:r w:rsidRPr="00584CC6">
        <w:t xml:space="preserve">mokratin och bättre förutsättningar för tillväxt. </w:t>
      </w:r>
    </w:p>
    <w:p w:rsidR="00807570" w:rsidRPr="00584CC6" w:rsidRDefault="00807570" w:rsidP="005B1DF2">
      <w:pPr>
        <w:pStyle w:val="Normaltindrag"/>
      </w:pPr>
      <w:r w:rsidRPr="00584CC6">
        <w:t xml:space="preserve">Gapet mellan </w:t>
      </w:r>
      <w:r w:rsidR="001C1076" w:rsidRPr="00584CC6">
        <w:t xml:space="preserve">regeringens </w:t>
      </w:r>
      <w:r w:rsidRPr="00584CC6">
        <w:t>beställning och förutsättningarna för myndigh</w:t>
      </w:r>
      <w:r w:rsidRPr="00584CC6">
        <w:t>e</w:t>
      </w:r>
      <w:r w:rsidRPr="00584CC6">
        <w:t>terna att garantera en kvalitativ verksamhet är växande. Tiotusentals stat</w:t>
      </w:r>
      <w:r w:rsidRPr="00584CC6">
        <w:t>s</w:t>
      </w:r>
      <w:r w:rsidRPr="00584CC6">
        <w:t xml:space="preserve">tjänstemän gör fantastiska insatser med de bristande förutsättningar </w:t>
      </w:r>
      <w:r w:rsidR="001C1076" w:rsidRPr="00584CC6">
        <w:t>regerin</w:t>
      </w:r>
      <w:r w:rsidR="001C1076" w:rsidRPr="00584CC6">
        <w:t>g</w:t>
      </w:r>
      <w:r w:rsidR="001C1076" w:rsidRPr="00584CC6">
        <w:t xml:space="preserve">en </w:t>
      </w:r>
      <w:r w:rsidRPr="00584CC6">
        <w:t xml:space="preserve">ger. </w:t>
      </w:r>
    </w:p>
    <w:p w:rsidR="00807570" w:rsidRPr="00584CC6" w:rsidRDefault="00807570" w:rsidP="00807570">
      <w:pPr>
        <w:pStyle w:val="Normaltindrag"/>
      </w:pPr>
      <w:r w:rsidRPr="00584CC6">
        <w:t>Folkpartiet liberalerna redovisar i denna motion fördelningen och inrik</w:t>
      </w:r>
      <w:r w:rsidRPr="00584CC6">
        <w:t>t</w:t>
      </w:r>
      <w:r w:rsidRPr="00584CC6">
        <w:t>ningen av våra satsningar på rättsv</w:t>
      </w:r>
      <w:r w:rsidR="001D38B0" w:rsidRPr="00584CC6">
        <w:t>äsendet. Sammantaget tillför vi</w:t>
      </w:r>
      <w:r w:rsidR="00B25569" w:rsidRPr="00584CC6">
        <w:t xml:space="preserve"> </w:t>
      </w:r>
      <w:r w:rsidRPr="00584CC6">
        <w:t xml:space="preserve">3 </w:t>
      </w:r>
      <w:r w:rsidR="001D38B0" w:rsidRPr="00584CC6">
        <w:t>030</w:t>
      </w:r>
      <w:r w:rsidRPr="00584CC6">
        <w:t xml:space="preserve"> mi</w:t>
      </w:r>
      <w:r w:rsidRPr="00584CC6">
        <w:t>l</w:t>
      </w:r>
      <w:r w:rsidRPr="00584CC6">
        <w:t xml:space="preserve">joner kronor mer än </w:t>
      </w:r>
      <w:r w:rsidR="001C1076" w:rsidRPr="00584CC6">
        <w:t xml:space="preserve">regeringen </w:t>
      </w:r>
      <w:r w:rsidRPr="00584CC6">
        <w:t xml:space="preserve">under </w:t>
      </w:r>
      <w:r w:rsidR="00B25569" w:rsidRPr="00584CC6">
        <w:t>p</w:t>
      </w:r>
      <w:r w:rsidRPr="00584CC6">
        <w:t>eriod</w:t>
      </w:r>
      <w:r w:rsidR="00B25569" w:rsidRPr="00584CC6">
        <w:t>en 2006</w:t>
      </w:r>
      <w:r w:rsidR="001C1076" w:rsidRPr="00584CC6">
        <w:t>–</w:t>
      </w:r>
      <w:r w:rsidR="00B25569" w:rsidRPr="00584CC6">
        <w:t>2008</w:t>
      </w:r>
      <w:r w:rsidRPr="00584CC6">
        <w:t>. På årsbasis, för respektive år, motsvarar det en anslagsförstärkning med 1 0</w:t>
      </w:r>
      <w:r w:rsidR="001440BA" w:rsidRPr="00584CC6">
        <w:t>1</w:t>
      </w:r>
      <w:r w:rsidRPr="00584CC6">
        <w:t>0 miljoner för varje år. Det är medel som långsiktigt bidrar till att öka kvaliteten i brottsb</w:t>
      </w:r>
      <w:r w:rsidRPr="00584CC6">
        <w:t>e</w:t>
      </w:r>
      <w:r w:rsidRPr="00584CC6">
        <w:t xml:space="preserve">kämpningen, minska effekterna av kriminaliteten och öka tryggheten för medborgarna. </w:t>
      </w:r>
    </w:p>
    <w:p w:rsidR="00807570" w:rsidRPr="00584CC6" w:rsidRDefault="00807570" w:rsidP="00213196">
      <w:pPr>
        <w:pStyle w:val="Rubrik1"/>
      </w:pPr>
      <w:bookmarkStart w:id="3" w:name="_Toc116192372"/>
      <w:r w:rsidRPr="00584CC6">
        <w:t xml:space="preserve">Effekterna </w:t>
      </w:r>
      <w:r w:rsidR="00E04C79" w:rsidRPr="00584CC6">
        <w:t>av s-politiken är tydliga för</w:t>
      </w:r>
      <w:r w:rsidRPr="00584CC6">
        <w:t xml:space="preserve"> medborgarna</w:t>
      </w:r>
      <w:bookmarkEnd w:id="3"/>
      <w:r w:rsidRPr="00584CC6">
        <w:t xml:space="preserve"> </w:t>
      </w:r>
    </w:p>
    <w:p w:rsidR="00807570" w:rsidRPr="00584CC6" w:rsidRDefault="00807570" w:rsidP="005B1DF2">
      <w:r w:rsidRPr="00584CC6">
        <w:rPr>
          <w:spacing w:val="-2"/>
          <w:szCs w:val="19"/>
        </w:rPr>
        <w:t>Polisen fortsätter att dras med betydande effektivitetsproblem. Endast 16 pr</w:t>
      </w:r>
      <w:r w:rsidRPr="00584CC6">
        <w:rPr>
          <w:spacing w:val="-2"/>
          <w:szCs w:val="19"/>
        </w:rPr>
        <w:t>o</w:t>
      </w:r>
      <w:r w:rsidRPr="00584CC6">
        <w:rPr>
          <w:spacing w:val="-2"/>
          <w:szCs w:val="19"/>
        </w:rPr>
        <w:t>cen</w:t>
      </w:r>
      <w:r w:rsidRPr="00584CC6">
        <w:t>t av de polisanmälda brotten klarades upp år 2004. Polisen skriver av 75 procent av de anmälda brotten samtidigt som våldsbrotten ökat med 20 pr</w:t>
      </w:r>
      <w:r w:rsidRPr="00584CC6">
        <w:t>o</w:t>
      </w:r>
      <w:r w:rsidRPr="00584CC6">
        <w:t>cent de senaste tio åren. Polisen</w:t>
      </w:r>
      <w:r w:rsidR="001C1076" w:rsidRPr="00584CC6">
        <w:t>s</w:t>
      </w:r>
      <w:r w:rsidRPr="00584CC6">
        <w:t xml:space="preserve"> synlighet minskar. Den lokala närvaron rullas tillbaka med hundratals stängda polisstationer och nedlagda närpoli</w:t>
      </w:r>
      <w:r w:rsidRPr="00584CC6">
        <w:t>s</w:t>
      </w:r>
      <w:r w:rsidRPr="00584CC6">
        <w:t>områden. Det politiska ledarskapet lyser med sin frånvaro. Ett flertal unde</w:t>
      </w:r>
      <w:r w:rsidRPr="00584CC6">
        <w:t>r</w:t>
      </w:r>
      <w:r w:rsidRPr="00584CC6">
        <w:t xml:space="preserve">sökningar redovisar en risk för att medborgarnas förtroende för polisen är </w:t>
      </w:r>
      <w:r w:rsidR="00B26E8E" w:rsidRPr="00584CC6">
        <w:t xml:space="preserve">på väg att sjunka ännu lägre. </w:t>
      </w:r>
    </w:p>
    <w:p w:rsidR="00807570" w:rsidRPr="00584CC6" w:rsidRDefault="00807570" w:rsidP="001C1076">
      <w:pPr>
        <w:pStyle w:val="Normaltindrag"/>
      </w:pPr>
      <w:r w:rsidRPr="00584CC6">
        <w:t xml:space="preserve">Åklagarnas pressade situation fortsätter. Trots en positiv rörelseriktning ligger lagföringsandelen ännu på omkring 60 procent. </w:t>
      </w:r>
    </w:p>
    <w:p w:rsidR="00807570" w:rsidRPr="00584CC6" w:rsidRDefault="00807570" w:rsidP="001C1076">
      <w:pPr>
        <w:pStyle w:val="Normaltindrag"/>
      </w:pPr>
      <w:r w:rsidRPr="00584CC6">
        <w:t>Domstolarnas handläggningstider ökar till följd av hög måltillströmning men fortsatt knappa resurser. När rättsväsendets förmåga att utreda och lag</w:t>
      </w:r>
      <w:r w:rsidR="00E946ED" w:rsidRPr="00584CC6">
        <w:softHyphen/>
      </w:r>
      <w:r w:rsidRPr="00584CC6">
        <w:t>f</w:t>
      </w:r>
      <w:r w:rsidRPr="00584CC6">
        <w:t>ö</w:t>
      </w:r>
      <w:r w:rsidRPr="00584CC6">
        <w:t xml:space="preserve">ra brottslighet sviktar, blir följden ökad otrygghet i samhället. </w:t>
      </w:r>
    </w:p>
    <w:p w:rsidR="00807570" w:rsidRPr="00584CC6" w:rsidRDefault="00807570" w:rsidP="001C1076">
      <w:pPr>
        <w:pStyle w:val="Normaltindrag"/>
      </w:pPr>
      <w:r w:rsidRPr="00584CC6">
        <w:t>Kriminalvården dras med fortsatta kvalitetsproblem. Detta gäller såväl s</w:t>
      </w:r>
      <w:r w:rsidRPr="00584CC6">
        <w:t>ä</w:t>
      </w:r>
      <w:r w:rsidRPr="00584CC6">
        <w:t>kerhet som innehåll. Regeringens stötvisa engångstillskott utgör endast fyl</w:t>
      </w:r>
      <w:r w:rsidRPr="00584CC6">
        <w:t>l</w:t>
      </w:r>
      <w:r w:rsidRPr="00584CC6">
        <w:t xml:space="preserve">nadsmassa i en verksamhet som, enligt </w:t>
      </w:r>
      <w:r w:rsidR="00E32576" w:rsidRPr="00584CC6">
        <w:t>kriminalvårdens egen</w:t>
      </w:r>
      <w:r w:rsidRPr="00584CC6">
        <w:t xml:space="preserve"> ledning, för länge sedan hade begärts i konkurs om det inte </w:t>
      </w:r>
      <w:r w:rsidR="00166FE6" w:rsidRPr="00584CC6">
        <w:t xml:space="preserve">hade </w:t>
      </w:r>
      <w:r w:rsidRPr="00584CC6">
        <w:t xml:space="preserve">varit en myndighet. </w:t>
      </w:r>
    </w:p>
    <w:p w:rsidR="00807570" w:rsidRPr="00584CC6" w:rsidRDefault="00807570" w:rsidP="001C1076">
      <w:pPr>
        <w:pStyle w:val="Normaltindrag"/>
      </w:pPr>
      <w:r w:rsidRPr="00584CC6">
        <w:t>Folkpartiet liberalerna vill se en förändrad attityd till rättsväsendet. Utan att överge krav på effektiv användning av skattemedel fordras långsiktigt större resurser. För rättsväsendets del är det nödvändigt med förändringar när det gäller politiskt ledarskap, styrning, organisation och långsiktiga ekon</w:t>
      </w:r>
      <w:r w:rsidRPr="00584CC6">
        <w:t>o</w:t>
      </w:r>
      <w:r w:rsidRPr="00584CC6">
        <w:t>miska förutsättningar.</w:t>
      </w:r>
    </w:p>
    <w:p w:rsidR="00807570" w:rsidRPr="00584CC6" w:rsidRDefault="00807570" w:rsidP="001C1076">
      <w:pPr>
        <w:pStyle w:val="Normaltindrag"/>
      </w:pPr>
      <w:r w:rsidRPr="00584CC6">
        <w:t xml:space="preserve">Utmärkande för </w:t>
      </w:r>
      <w:r w:rsidR="001C1076" w:rsidRPr="00584CC6">
        <w:t xml:space="preserve">regeringens </w:t>
      </w:r>
      <w:r w:rsidRPr="00584CC6">
        <w:t>budgetpropositioner är att det saknas en öve</w:t>
      </w:r>
      <w:r w:rsidRPr="00584CC6">
        <w:t>r</w:t>
      </w:r>
      <w:r w:rsidRPr="00584CC6">
        <w:t>gripande strategi för rättsväsendets utveckling som helhet. Det som för tillfä</w:t>
      </w:r>
      <w:r w:rsidRPr="00584CC6">
        <w:t>l</w:t>
      </w:r>
      <w:r w:rsidRPr="00584CC6">
        <w:t>let pågår hos myndigheter beskrivs i allmänt positiva ordalag. Däremot sa</w:t>
      </w:r>
      <w:r w:rsidRPr="00584CC6">
        <w:t>k</w:t>
      </w:r>
      <w:r w:rsidRPr="00584CC6">
        <w:t>nas de</w:t>
      </w:r>
      <w:r w:rsidR="00166FE6" w:rsidRPr="00584CC6">
        <w:t>t</w:t>
      </w:r>
      <w:r w:rsidRPr="00584CC6">
        <w:t xml:space="preserve"> tydliga politiska riktlinjer för utvecklingen av </w:t>
      </w:r>
      <w:r w:rsidR="00166FE6" w:rsidRPr="00584CC6">
        <w:t xml:space="preserve">t.ex. </w:t>
      </w:r>
      <w:r w:rsidRPr="00584CC6">
        <w:t>”En nationell p</w:t>
      </w:r>
      <w:r w:rsidRPr="00584CC6">
        <w:t>o</w:t>
      </w:r>
      <w:r w:rsidRPr="00584CC6">
        <w:t>lis”, samt vilja att redovisa vad som åstadkommits med de strukturella pr</w:t>
      </w:r>
      <w:r w:rsidRPr="00584CC6">
        <w:t>o</w:t>
      </w:r>
      <w:r w:rsidRPr="00584CC6">
        <w:t>blem inom polisorganisationen</w:t>
      </w:r>
      <w:r w:rsidR="001C1076" w:rsidRPr="00584CC6">
        <w:t>, som bl.a. tagits upp av den s.</w:t>
      </w:r>
      <w:r w:rsidRPr="00584CC6">
        <w:t>k</w:t>
      </w:r>
      <w:r w:rsidR="001C1076" w:rsidRPr="00584CC6">
        <w:t>.</w:t>
      </w:r>
      <w:r w:rsidRPr="00584CC6">
        <w:t xml:space="preserve"> Göteborg</w:t>
      </w:r>
      <w:r w:rsidRPr="00584CC6">
        <w:t>s</w:t>
      </w:r>
      <w:r w:rsidRPr="00584CC6">
        <w:t xml:space="preserve">kommitténs betänkande (SOU 2002:122) och därpå fördjupade utredningar. </w:t>
      </w:r>
    </w:p>
    <w:p w:rsidR="00807570" w:rsidRPr="00584CC6" w:rsidRDefault="00807570" w:rsidP="00602784">
      <w:pPr>
        <w:pStyle w:val="Normaltindrag"/>
      </w:pPr>
      <w:r w:rsidRPr="00584CC6">
        <w:t>När det gäller kriminalvården saknas t.ex. konkreta förslag mot att nark</w:t>
      </w:r>
      <w:r w:rsidRPr="00584CC6">
        <w:t>o</w:t>
      </w:r>
      <w:r w:rsidRPr="00584CC6">
        <w:t xml:space="preserve">tikamissbruket breder ut sig eller att den outnyttjade tiden i anstalt ökar på bekostnad av arbete, utbildning och behandling. Det är lätt att få bilden att </w:t>
      </w:r>
      <w:r w:rsidR="001C1076" w:rsidRPr="00584CC6">
        <w:t xml:space="preserve">regeringen </w:t>
      </w:r>
      <w:r w:rsidRPr="00584CC6">
        <w:t>inte vill regera annat än i detaljer, i</w:t>
      </w:r>
      <w:r w:rsidR="001C1076" w:rsidRPr="00584CC6">
        <w:t xml:space="preserve"> </w:t>
      </w:r>
      <w:r w:rsidRPr="00584CC6">
        <w:t>stället för att ta det helhet</w:t>
      </w:r>
      <w:r w:rsidRPr="00584CC6">
        <w:t>s</w:t>
      </w:r>
      <w:r w:rsidRPr="00584CC6">
        <w:t>grepp på verksamheten som rättsväsendet så väl behöver.</w:t>
      </w:r>
    </w:p>
    <w:p w:rsidR="00807570" w:rsidRPr="00584CC6" w:rsidRDefault="00807570" w:rsidP="00602784">
      <w:pPr>
        <w:pStyle w:val="Rubrik2"/>
      </w:pPr>
      <w:bookmarkStart w:id="4" w:name="_Toc116192373"/>
      <w:r w:rsidRPr="00584CC6">
        <w:t>Tomma s-budgetlöften</w:t>
      </w:r>
      <w:bookmarkEnd w:id="4"/>
    </w:p>
    <w:p w:rsidR="00807570" w:rsidRPr="00584CC6" w:rsidRDefault="00807570" w:rsidP="00602784">
      <w:pPr>
        <w:pStyle w:val="Normaltindrag"/>
        <w:ind w:firstLine="0"/>
      </w:pPr>
      <w:r w:rsidRPr="00584CC6">
        <w:t xml:space="preserve">De svenska rättsvårdande myndigheterna skulle kunna göra ett avsevärt bättre arbete om de varje år fick </w:t>
      </w:r>
      <w:r w:rsidR="007408A2" w:rsidRPr="00584CC6">
        <w:t xml:space="preserve">ta del av </w:t>
      </w:r>
      <w:r w:rsidRPr="00584CC6">
        <w:t xml:space="preserve">de resurser </w:t>
      </w:r>
      <w:r w:rsidR="001C1076" w:rsidRPr="00584CC6">
        <w:t xml:space="preserve">som </w:t>
      </w:r>
      <w:r w:rsidRPr="00584CC6">
        <w:t>utlovats. Innevarande år är en katastrof när det gäller ekonomisk planering för de rättsvårdande myndi</w:t>
      </w:r>
      <w:r w:rsidRPr="00584CC6">
        <w:t>g</w:t>
      </w:r>
      <w:r w:rsidRPr="00584CC6">
        <w:t xml:space="preserve">heterna. </w:t>
      </w:r>
    </w:p>
    <w:p w:rsidR="00807570" w:rsidRPr="00584CC6" w:rsidRDefault="00807570" w:rsidP="00E946ED">
      <w:pPr>
        <w:pStyle w:val="Normaltindrag"/>
      </w:pPr>
      <w:r w:rsidRPr="00584CC6">
        <w:rPr>
          <w:spacing w:val="-2"/>
          <w:szCs w:val="19"/>
        </w:rPr>
        <w:t>Överrättspresidenter och Advokatsamfundet känner sig tvingade att pun</w:t>
      </w:r>
      <w:r w:rsidRPr="00584CC6">
        <w:rPr>
          <w:spacing w:val="-2"/>
          <w:szCs w:val="19"/>
        </w:rPr>
        <w:t>k</w:t>
      </w:r>
      <w:r w:rsidRPr="00584CC6">
        <w:t>tera s-</w:t>
      </w:r>
      <w:r w:rsidR="001C1076" w:rsidRPr="00584CC6">
        <w:t xml:space="preserve">regeringens </w:t>
      </w:r>
      <w:r w:rsidRPr="00584CC6">
        <w:t xml:space="preserve">ekonomiska trixande. När det gäller just </w:t>
      </w:r>
      <w:r w:rsidR="007408A2" w:rsidRPr="00584CC6">
        <w:t>d</w:t>
      </w:r>
      <w:r w:rsidRPr="00584CC6">
        <w:t>omstolarna så konst</w:t>
      </w:r>
      <w:r w:rsidRPr="00584CC6">
        <w:t>a</w:t>
      </w:r>
      <w:r w:rsidRPr="00584CC6">
        <w:t>tera</w:t>
      </w:r>
      <w:r w:rsidR="007408A2" w:rsidRPr="00584CC6">
        <w:t>r</w:t>
      </w:r>
      <w:r w:rsidRPr="00584CC6">
        <w:t xml:space="preserve"> dessa vad avser budgetåret 2005 att: ”I själva verket är de ekon</w:t>
      </w:r>
      <w:r w:rsidRPr="00584CC6">
        <w:t>o</w:t>
      </w:r>
      <w:r w:rsidRPr="00584CC6">
        <w:t xml:space="preserve">miska förutsättningarna för domstolarna för i år och framöver </w:t>
      </w:r>
      <w:r w:rsidR="007408A2" w:rsidRPr="00584CC6">
        <w:t>både oklara och otil</w:t>
      </w:r>
      <w:r w:rsidR="007408A2" w:rsidRPr="00584CC6">
        <w:t>l</w:t>
      </w:r>
      <w:r w:rsidR="007408A2" w:rsidRPr="00584CC6">
        <w:t xml:space="preserve">räckliga. </w:t>
      </w:r>
      <w:r w:rsidRPr="00584CC6">
        <w:t xml:space="preserve">Facit av </w:t>
      </w:r>
      <w:r w:rsidR="007408A2" w:rsidRPr="00584CC6">
        <w:t>’</w:t>
      </w:r>
      <w:r w:rsidRPr="00584CC6">
        <w:t>satsningen</w:t>
      </w:r>
      <w:r w:rsidR="007408A2" w:rsidRPr="00584CC6">
        <w:t>’</w:t>
      </w:r>
      <w:r w:rsidRPr="00584CC6">
        <w:t xml:space="preserve"> blev alltså mindre pengar för verksamh</w:t>
      </w:r>
      <w:r w:rsidRPr="00584CC6">
        <w:t>e</w:t>
      </w:r>
      <w:r w:rsidRPr="00584CC6">
        <w:t>ten, inte mer”. (DN 050329)</w:t>
      </w:r>
    </w:p>
    <w:p w:rsidR="00807570" w:rsidRPr="00584CC6" w:rsidRDefault="00807570" w:rsidP="007408A2">
      <w:pPr>
        <w:pStyle w:val="Normaltindrag"/>
      </w:pPr>
      <w:r w:rsidRPr="00584CC6">
        <w:t>Ansvariga för ekonomin på Rikspolisstyrelsen redovisar att det finns ek</w:t>
      </w:r>
      <w:r w:rsidRPr="00584CC6">
        <w:t>o</w:t>
      </w:r>
      <w:r w:rsidRPr="00584CC6">
        <w:t xml:space="preserve">nomiskt utrymme för endast en tredjedel av aviserade nya satsningar. </w:t>
      </w:r>
    </w:p>
    <w:p w:rsidR="00807570" w:rsidRPr="00584CC6" w:rsidRDefault="00807570" w:rsidP="005B1DF2">
      <w:pPr>
        <w:pStyle w:val="Normaltindrag"/>
      </w:pPr>
      <w:r w:rsidRPr="00584CC6">
        <w:t>Riksdagens finansutskott menar att de omfattande indragningarna av a</w:t>
      </w:r>
      <w:r w:rsidRPr="00584CC6">
        <w:t>n</w:t>
      </w:r>
      <w:r w:rsidRPr="00584CC6">
        <w:t>slag</w:t>
      </w:r>
      <w:r w:rsidRPr="00584CC6">
        <w:t>s</w:t>
      </w:r>
      <w:r w:rsidR="00C047D4" w:rsidRPr="00584CC6">
        <w:t>s</w:t>
      </w:r>
      <w:r w:rsidRPr="00584CC6">
        <w:t>parande, anlagskrediter samt en generell indragning av myndigheternas medel varit förödande för möjligheten att bedriva en långsiktigt hållbar ek</w:t>
      </w:r>
      <w:r w:rsidRPr="00584CC6">
        <w:t>o</w:t>
      </w:r>
      <w:r w:rsidRPr="00584CC6">
        <w:t>nomisk planering hos myndigheterna.</w:t>
      </w:r>
      <w:r w:rsidR="00A16A8F" w:rsidRPr="00584CC6">
        <w:t xml:space="preserve"> </w:t>
      </w:r>
      <w:r w:rsidRPr="00584CC6">
        <w:t>Finansutskottet har i en PM understr</w:t>
      </w:r>
      <w:r w:rsidRPr="00584CC6">
        <w:t>u</w:t>
      </w:r>
      <w:r w:rsidRPr="00584CC6">
        <w:t>kit att systemet med anslagssparande och anslagskrediter på ramanslag syftar till att myndigheterna ska kunna u</w:t>
      </w:r>
      <w:r w:rsidRPr="00584CC6">
        <w:t>t</w:t>
      </w:r>
      <w:r w:rsidRPr="00584CC6">
        <w:t>nyttja sina anslagsmedel på ett ansvarsfullt, långsiktigt och effektivt sätt. Åtgärder som innebär att sparade medel inte får användas och eventuellt kan komma att dras in riskerar att skicka signaler i motsatt riktning. Metoden att begränsa användningen av sparade medel har använts tidigare, men skri</w:t>
      </w:r>
      <w:r w:rsidRPr="00584CC6">
        <w:t>v</w:t>
      </w:r>
      <w:r w:rsidRPr="00584CC6">
        <w:t xml:space="preserve">ningarna i budgetpropositionen för 2005 </w:t>
      </w:r>
      <w:r w:rsidR="008D46E9" w:rsidRPr="00584CC6">
        <w:t>var</w:t>
      </w:r>
      <w:r w:rsidRPr="00584CC6">
        <w:t xml:space="preserve"> mer långtgående än tidigare. Det </w:t>
      </w:r>
      <w:r w:rsidR="008D46E9" w:rsidRPr="00584CC6">
        <w:t>v</w:t>
      </w:r>
      <w:r w:rsidR="000B2D49" w:rsidRPr="00584CC6">
        <w:t>ar</w:t>
      </w:r>
      <w:r w:rsidRPr="00584CC6">
        <w:t xml:space="preserve"> första gången som </w:t>
      </w:r>
      <w:r w:rsidR="001C1076" w:rsidRPr="00584CC6">
        <w:t xml:space="preserve">regeringen </w:t>
      </w:r>
      <w:r w:rsidRPr="00584CC6">
        <w:t xml:space="preserve">använder ett generellt stopp för förbrukning av anslagsbehållningar i stället för att peka ut vissa områden. Man tar på detta sätt över alla myndigheter. </w:t>
      </w:r>
    </w:p>
    <w:p w:rsidR="00807570" w:rsidRPr="00584CC6" w:rsidRDefault="00807570" w:rsidP="001C1076">
      <w:pPr>
        <w:pStyle w:val="Normaltindrag"/>
      </w:pPr>
      <w:r w:rsidRPr="00584CC6">
        <w:t>Om myndigheterna inte ges möjlighet att använda medel som man har sp</w:t>
      </w:r>
      <w:r w:rsidRPr="00584CC6">
        <w:t>a</w:t>
      </w:r>
      <w:r w:rsidRPr="00584CC6">
        <w:t xml:space="preserve">rat, ligger det nära till hands att inte längre spara några pengar till årsskiftet. Den ansvarsfullhet som spar- och kreditmöjligheterna är tänkta att skapa riskerar att undergrävas av återkommande begränsningar i möjligheten att använda sparade medel. Det blir åter rationellt för myndigheter att göra av med pengar före årsskiftet. </w:t>
      </w:r>
      <w:r w:rsidR="008D46E9" w:rsidRPr="00584CC6">
        <w:t xml:space="preserve">Det är så ledarskapet ser ut i </w:t>
      </w:r>
      <w:r w:rsidRPr="00584CC6">
        <w:t xml:space="preserve">rättsväsendet. </w:t>
      </w:r>
    </w:p>
    <w:p w:rsidR="00807570" w:rsidRPr="00584CC6" w:rsidRDefault="00807570" w:rsidP="00E946ED">
      <w:pPr>
        <w:pStyle w:val="Normaltindrag"/>
      </w:pPr>
      <w:r w:rsidRPr="00584CC6">
        <w:t xml:space="preserve">Regeringens ekonomiska dubbelspel fortsätter för kommande budgetår </w:t>
      </w:r>
      <w:r w:rsidR="00206350" w:rsidRPr="00584CC6">
        <w:t xml:space="preserve">för anslagen </w:t>
      </w:r>
      <w:r w:rsidRPr="00584CC6">
        <w:t xml:space="preserve">genom ”en generell reduktion med 0,6 </w:t>
      </w:r>
      <w:r w:rsidR="00206350" w:rsidRPr="00584CC6">
        <w:t>procent</w:t>
      </w:r>
      <w:r w:rsidRPr="00584CC6">
        <w:t xml:space="preserve"> av företrädesvis anslag avse</w:t>
      </w:r>
      <w:r w:rsidRPr="00584CC6">
        <w:t>d</w:t>
      </w:r>
      <w:r w:rsidRPr="00584CC6">
        <w:t>da för förvaltnings- eller investeringsändmål”. De</w:t>
      </w:r>
      <w:r w:rsidR="00206350" w:rsidRPr="00584CC6">
        <w:t>tta är ett</w:t>
      </w:r>
      <w:r w:rsidRPr="00584CC6">
        <w:t xml:space="preserve"> illa dolt försök att förklä omfattande besparingar i kärnverksamheten. Indra</w:t>
      </w:r>
      <w:r w:rsidRPr="00584CC6">
        <w:t>g</w:t>
      </w:r>
      <w:r w:rsidRPr="00584CC6">
        <w:t>ningarna kommer leda till färre poliser, färre civilanställda, längre handläg</w:t>
      </w:r>
      <w:r w:rsidRPr="00584CC6">
        <w:t>g</w:t>
      </w:r>
      <w:r w:rsidRPr="00584CC6">
        <w:t>ningstider hos åkl</w:t>
      </w:r>
      <w:r w:rsidRPr="00584CC6">
        <w:t>a</w:t>
      </w:r>
      <w:r w:rsidRPr="00584CC6">
        <w:t xml:space="preserve">gare, minskad kraft i ekobrottsbekämpningen och ännu större balanser i våra domstolar. Lägg därtill utebliven kompetenshöjning inom kriminalvården. </w:t>
      </w:r>
    </w:p>
    <w:p w:rsidR="00807570" w:rsidRPr="00584CC6" w:rsidRDefault="00807570" w:rsidP="005B1DF2">
      <w:pPr>
        <w:pStyle w:val="Normaltindrag"/>
      </w:pPr>
      <w:r w:rsidRPr="00584CC6">
        <w:t>I bud</w:t>
      </w:r>
      <w:r w:rsidR="00ED509D" w:rsidRPr="00584CC6">
        <w:t xml:space="preserve">getpropositionen (2005/06:1, UO </w:t>
      </w:r>
      <w:r w:rsidRPr="00584CC6">
        <w:t>4 s</w:t>
      </w:r>
      <w:r w:rsidR="001C1076" w:rsidRPr="00584CC6">
        <w:t>.</w:t>
      </w:r>
      <w:r w:rsidRPr="00584CC6">
        <w:t xml:space="preserve"> 13) skri</w:t>
      </w:r>
      <w:r w:rsidR="005E2F25" w:rsidRPr="00584CC6">
        <w:t>v</w:t>
      </w:r>
      <w:r w:rsidRPr="00584CC6">
        <w:t xml:space="preserve">er </w:t>
      </w:r>
      <w:r w:rsidR="00E946ED" w:rsidRPr="00584CC6">
        <w:t>regeringen</w:t>
      </w:r>
      <w:r w:rsidRPr="00584CC6">
        <w:t>: ”För att underlätta myndigheternas planering ytterligare kommer rättsväsendets my</w:t>
      </w:r>
      <w:r w:rsidRPr="00584CC6">
        <w:t>n</w:t>
      </w:r>
      <w:r w:rsidRPr="00584CC6">
        <w:t xml:space="preserve">digheter under 2006 också tilldelas normala krediter.” </w:t>
      </w:r>
    </w:p>
    <w:p w:rsidR="00807570" w:rsidRPr="00584CC6" w:rsidRDefault="00807570" w:rsidP="00ED509D">
      <w:pPr>
        <w:pStyle w:val="Normaltindrag"/>
      </w:pPr>
      <w:r w:rsidRPr="00584CC6">
        <w:t xml:space="preserve">Först </w:t>
      </w:r>
      <w:r w:rsidR="00ED509D" w:rsidRPr="00584CC6">
        <w:t>ut</w:t>
      </w:r>
      <w:r w:rsidRPr="00584CC6">
        <w:t xml:space="preserve">lovas alltså pengar ännu en gång, sedan drar </w:t>
      </w:r>
      <w:r w:rsidR="001C1076" w:rsidRPr="00584CC6">
        <w:t xml:space="preserve">regeringen </w:t>
      </w:r>
      <w:r w:rsidRPr="00584CC6">
        <w:t>ännu en gång tillbaka pengar</w:t>
      </w:r>
      <w:r w:rsidR="00ED509D" w:rsidRPr="00584CC6">
        <w:t xml:space="preserve">na och så får man nöjt </w:t>
      </w:r>
      <w:r w:rsidRPr="00584CC6">
        <w:t>köra verksamheten på kredit. Kr</w:t>
      </w:r>
      <w:r w:rsidRPr="00584CC6">
        <w:t>e</w:t>
      </w:r>
      <w:r w:rsidRPr="00584CC6">
        <w:t xml:space="preserve">diter som plötsligt, mitt i juletid, sades upp för alla myndigheter för mindre än </w:t>
      </w:r>
      <w:r w:rsidRPr="00584CC6">
        <w:rPr>
          <w:spacing w:val="-2"/>
          <w:szCs w:val="19"/>
        </w:rPr>
        <w:t>ett år sedan. Samtidigt som man drog in anslagssparanden. Så ser en rege</w:t>
      </w:r>
      <w:r w:rsidRPr="00584CC6">
        <w:rPr>
          <w:spacing w:val="-2"/>
          <w:szCs w:val="19"/>
        </w:rPr>
        <w:t>r</w:t>
      </w:r>
      <w:r w:rsidRPr="00584CC6">
        <w:t>ings</w:t>
      </w:r>
      <w:r w:rsidR="00E946ED" w:rsidRPr="00584CC6">
        <w:softHyphen/>
      </w:r>
      <w:r w:rsidRPr="00584CC6">
        <w:t>makt i förfall ut.</w:t>
      </w:r>
    </w:p>
    <w:p w:rsidR="00807570" w:rsidRPr="00584CC6" w:rsidRDefault="00807570" w:rsidP="003B543F">
      <w:pPr>
        <w:pStyle w:val="Rubrik1"/>
      </w:pPr>
      <w:bookmarkStart w:id="5" w:name="_Toc116192374"/>
      <w:r w:rsidRPr="00584CC6">
        <w:t xml:space="preserve">Folkpartiet liberalernas </w:t>
      </w:r>
      <w:r w:rsidR="000A0521" w:rsidRPr="00584CC6">
        <w:t>satsningar på rättsväsendet</w:t>
      </w:r>
      <w:bookmarkEnd w:id="5"/>
    </w:p>
    <w:p w:rsidR="00807570" w:rsidRPr="00584CC6" w:rsidRDefault="00807570" w:rsidP="003B543F">
      <w:r w:rsidRPr="00584CC6">
        <w:t xml:space="preserve">Folkpartiet liberalerna redovisar </w:t>
      </w:r>
      <w:r w:rsidR="00AA1596" w:rsidRPr="00584CC6">
        <w:t>i denna motion</w:t>
      </w:r>
      <w:r w:rsidRPr="00584CC6">
        <w:t xml:space="preserve"> vilka ekonomiska priorit</w:t>
      </w:r>
      <w:r w:rsidRPr="00584CC6">
        <w:t>e</w:t>
      </w:r>
      <w:r w:rsidRPr="00584CC6">
        <w:t>ringar vi vill se för rättsväsendets del 200</w:t>
      </w:r>
      <w:r w:rsidR="00AA1596" w:rsidRPr="00584CC6">
        <w:t>6</w:t>
      </w:r>
      <w:r w:rsidRPr="00584CC6">
        <w:t>. Vi föreslår ett anslag till rätts</w:t>
      </w:r>
      <w:r w:rsidR="00E946ED" w:rsidRPr="00584CC6">
        <w:softHyphen/>
      </w:r>
      <w:r w:rsidRPr="00584CC6">
        <w:t>v</w:t>
      </w:r>
      <w:r w:rsidRPr="00584CC6">
        <w:t>ä</w:t>
      </w:r>
      <w:r w:rsidRPr="00584CC6">
        <w:t>sendet på 1</w:t>
      </w:r>
      <w:r w:rsidR="00AA1596" w:rsidRPr="00584CC6">
        <w:t xml:space="preserve"> </w:t>
      </w:r>
      <w:r w:rsidRPr="00584CC6">
        <w:t>0</w:t>
      </w:r>
      <w:r w:rsidR="00A56AAE" w:rsidRPr="00584CC6">
        <w:t>1</w:t>
      </w:r>
      <w:r w:rsidRPr="00584CC6">
        <w:t xml:space="preserve">0 miljoner kronor mer än </w:t>
      </w:r>
      <w:r w:rsidR="001C1076" w:rsidRPr="00584CC6">
        <w:t xml:space="preserve">regeringen </w:t>
      </w:r>
      <w:r w:rsidRPr="00584CC6">
        <w:t>för 2006. För åren 2007 o</w:t>
      </w:r>
      <w:r w:rsidRPr="00584CC6">
        <w:rPr>
          <w:spacing w:val="-2"/>
          <w:szCs w:val="19"/>
        </w:rPr>
        <w:t>ch 2008 föreslår vi ytterligare 1</w:t>
      </w:r>
      <w:r w:rsidR="00AA1596" w:rsidRPr="00584CC6">
        <w:rPr>
          <w:spacing w:val="-2"/>
          <w:szCs w:val="19"/>
        </w:rPr>
        <w:t xml:space="preserve"> </w:t>
      </w:r>
      <w:r w:rsidRPr="00584CC6">
        <w:rPr>
          <w:spacing w:val="-2"/>
          <w:szCs w:val="19"/>
        </w:rPr>
        <w:t>0</w:t>
      </w:r>
      <w:r w:rsidR="00A56AAE" w:rsidRPr="00584CC6">
        <w:rPr>
          <w:spacing w:val="-2"/>
          <w:szCs w:val="19"/>
        </w:rPr>
        <w:t>1</w:t>
      </w:r>
      <w:r w:rsidRPr="00584CC6">
        <w:rPr>
          <w:spacing w:val="-2"/>
          <w:szCs w:val="19"/>
        </w:rPr>
        <w:t xml:space="preserve">0 miljoner kronor mer än </w:t>
      </w:r>
      <w:r w:rsidR="001C1076" w:rsidRPr="00584CC6">
        <w:rPr>
          <w:spacing w:val="-2"/>
          <w:szCs w:val="19"/>
        </w:rPr>
        <w:t xml:space="preserve">regeringen </w:t>
      </w:r>
      <w:r w:rsidRPr="00584CC6">
        <w:rPr>
          <w:spacing w:val="-2"/>
          <w:szCs w:val="19"/>
        </w:rPr>
        <w:t xml:space="preserve">per år. </w:t>
      </w:r>
    </w:p>
    <w:p w:rsidR="00807570" w:rsidRPr="00584CC6" w:rsidRDefault="00807570" w:rsidP="005B1DF2">
      <w:pPr>
        <w:pStyle w:val="Normaltindrag"/>
      </w:pPr>
      <w:r w:rsidRPr="00584CC6">
        <w:t>Kampen mot brottsligheten måste föras över ett brett fält. Förstärkta brott</w:t>
      </w:r>
      <w:r w:rsidRPr="00584CC6">
        <w:t>s</w:t>
      </w:r>
      <w:r w:rsidRPr="00584CC6">
        <w:t>förebyggande insatser måste ges utrymme tillsammans med tydligare och kraftfullare åtgärder mot de</w:t>
      </w:r>
      <w:r w:rsidR="00073E48" w:rsidRPr="00584CC6">
        <w:t>m</w:t>
      </w:r>
      <w:r w:rsidRPr="00584CC6">
        <w:t xml:space="preserve"> som faktiskt begår brott. I våra </w:t>
      </w:r>
      <w:r w:rsidR="00073E48" w:rsidRPr="00584CC6">
        <w:t>riksdags</w:t>
      </w:r>
      <w:r w:rsidRPr="00584CC6">
        <w:t>moti</w:t>
      </w:r>
      <w:r w:rsidRPr="00584CC6">
        <w:t>o</w:t>
      </w:r>
      <w:r w:rsidRPr="00584CC6">
        <w:t xml:space="preserve">ner </w:t>
      </w:r>
      <w:r w:rsidR="00FD6A10" w:rsidRPr="00584CC6">
        <w:t xml:space="preserve">2005/06, </w:t>
      </w:r>
      <w:r w:rsidRPr="00584CC6">
        <w:t>”Stärk domstol</w:t>
      </w:r>
      <w:r w:rsidR="0016404B" w:rsidRPr="00584CC6">
        <w:t>arna och åklagarväsendet</w:t>
      </w:r>
      <w:r w:rsidRPr="00584CC6">
        <w:t>”, ”</w:t>
      </w:r>
      <w:r w:rsidR="00073E48" w:rsidRPr="00584CC6">
        <w:t>En effektiv polis i medborgarnas tjänst</w:t>
      </w:r>
      <w:r w:rsidRPr="00584CC6">
        <w:t>”, ”</w:t>
      </w:r>
      <w:r w:rsidR="00073E48" w:rsidRPr="00584CC6">
        <w:t>Nystart</w:t>
      </w:r>
      <w:r w:rsidRPr="00584CC6">
        <w:t xml:space="preserve"> för kriminalvården”, ”</w:t>
      </w:r>
      <w:r w:rsidR="0016404B" w:rsidRPr="00584CC6">
        <w:t>Stärk t</w:t>
      </w:r>
      <w:r w:rsidRPr="00584CC6">
        <w:t>ullens brottsb</w:t>
      </w:r>
      <w:r w:rsidRPr="00584CC6">
        <w:t>e</w:t>
      </w:r>
      <w:r w:rsidRPr="00584CC6">
        <w:t>käm</w:t>
      </w:r>
      <w:r w:rsidRPr="00584CC6">
        <w:t>p</w:t>
      </w:r>
      <w:r w:rsidRPr="00584CC6">
        <w:t>ning”, ”Förändringar i straff- och processrätten”, ”</w:t>
      </w:r>
      <w:r w:rsidR="0016404B" w:rsidRPr="00584CC6">
        <w:t>Vässa verktygen mot t</w:t>
      </w:r>
      <w:r w:rsidRPr="00584CC6">
        <w:t>errorism</w:t>
      </w:r>
      <w:r w:rsidR="0016404B" w:rsidRPr="00584CC6">
        <w:t xml:space="preserve"> och organiserad brottslighet</w:t>
      </w:r>
      <w:r w:rsidRPr="00584CC6">
        <w:t>”, ”Liberalt fokus på brottsoffer”, ”</w:t>
      </w:r>
      <w:r w:rsidR="0016404B" w:rsidRPr="00584CC6">
        <w:t>Nol</w:t>
      </w:r>
      <w:r w:rsidR="0016404B" w:rsidRPr="00584CC6">
        <w:t>l</w:t>
      </w:r>
      <w:r w:rsidR="0016404B" w:rsidRPr="00584CC6">
        <w:t>tol</w:t>
      </w:r>
      <w:r w:rsidR="0016404B" w:rsidRPr="00584CC6">
        <w:t>e</w:t>
      </w:r>
      <w:r w:rsidR="0016404B" w:rsidRPr="00584CC6">
        <w:t>rans</w:t>
      </w:r>
      <w:r w:rsidRPr="00584CC6">
        <w:t xml:space="preserve"> mot våld mot kvinnor”, ”</w:t>
      </w:r>
      <w:r w:rsidR="00A62E27" w:rsidRPr="00584CC6">
        <w:t>Bekämpa ungdomsbrottsligheten”, ”Nyktra åtgärder mot drog- och rattfylleri”</w:t>
      </w:r>
      <w:r w:rsidR="00DC2820" w:rsidRPr="00584CC6">
        <w:t>, ”Bekämpa narkotikabrottslighet och alk</w:t>
      </w:r>
      <w:r w:rsidR="00DC2820" w:rsidRPr="00584CC6">
        <w:t>o</w:t>
      </w:r>
      <w:r w:rsidR="00DC2820" w:rsidRPr="00584CC6">
        <w:t>holmissbruk” samt</w:t>
      </w:r>
      <w:r w:rsidR="00A62E27" w:rsidRPr="00584CC6">
        <w:t xml:space="preserve"> </w:t>
      </w:r>
      <w:r w:rsidRPr="00584CC6">
        <w:t>”</w:t>
      </w:r>
      <w:r w:rsidR="00DC2820" w:rsidRPr="00584CC6">
        <w:t>Sexhandeln med kvinnor och barn – en skamfläck för Europa</w:t>
      </w:r>
      <w:r w:rsidRPr="00584CC6">
        <w:t xml:space="preserve">”, utvecklar vi våra synpunkter gällande nödvändiga förändringar av rättsväsendet i kampen mot brottsligheten. </w:t>
      </w:r>
    </w:p>
    <w:p w:rsidR="00807570" w:rsidRPr="00584CC6" w:rsidRDefault="00807570" w:rsidP="002B663A">
      <w:pPr>
        <w:pStyle w:val="Rubrik2"/>
      </w:pPr>
      <w:bookmarkStart w:id="6" w:name="_Toc116192375"/>
      <w:r w:rsidRPr="00584CC6">
        <w:t>Polisorganisationen</w:t>
      </w:r>
      <w:bookmarkEnd w:id="6"/>
    </w:p>
    <w:p w:rsidR="00807570" w:rsidRPr="00584CC6" w:rsidRDefault="00807570" w:rsidP="002B663A">
      <w:pPr>
        <w:pStyle w:val="Normaltindrag"/>
        <w:ind w:firstLine="0"/>
      </w:pPr>
      <w:r w:rsidRPr="00584CC6">
        <w:t xml:space="preserve">Folkpartiet liberalerna vill </w:t>
      </w:r>
      <w:r w:rsidR="002E53A6" w:rsidRPr="00584CC6">
        <w:t xml:space="preserve">öka polisens anslag för </w:t>
      </w:r>
      <w:r w:rsidRPr="00584CC6">
        <w:t xml:space="preserve">2006 </w:t>
      </w:r>
      <w:r w:rsidR="002E53A6" w:rsidRPr="00584CC6">
        <w:t>och därför anslår vi 6</w:t>
      </w:r>
      <w:r w:rsidR="00F870C4" w:rsidRPr="00584CC6">
        <w:t>8</w:t>
      </w:r>
      <w:r w:rsidR="002E53A6" w:rsidRPr="00584CC6">
        <w:t>0</w:t>
      </w:r>
      <w:r w:rsidRPr="00584CC6">
        <w:t xml:space="preserve"> miljoner kronor utöver det </w:t>
      </w:r>
      <w:r w:rsidR="001C1076" w:rsidRPr="00584CC6">
        <w:t xml:space="preserve">regeringen </w:t>
      </w:r>
      <w:r w:rsidRPr="00584CC6">
        <w:t>föreslår i den nu aktuella budge</w:t>
      </w:r>
      <w:r w:rsidRPr="00584CC6">
        <w:t>t</w:t>
      </w:r>
      <w:r w:rsidRPr="00584CC6">
        <w:t>propositionen.</w:t>
      </w:r>
    </w:p>
    <w:p w:rsidR="00807570" w:rsidRPr="00584CC6" w:rsidRDefault="00807570" w:rsidP="000B6191">
      <w:pPr>
        <w:pStyle w:val="Rubrik3"/>
      </w:pPr>
      <w:bookmarkStart w:id="7" w:name="_Toc116192376"/>
      <w:r w:rsidRPr="00584CC6">
        <w:t>Fler poliser</w:t>
      </w:r>
      <w:bookmarkEnd w:id="7"/>
    </w:p>
    <w:p w:rsidR="00807570" w:rsidRPr="00584CC6" w:rsidRDefault="00807570" w:rsidP="005B1DF2">
      <w:r w:rsidRPr="00584CC6">
        <w:t xml:space="preserve">Det är bra att fler poliser utbildas. Det bidrar till en nödvändig föryngring av poliskåren och förbättrar arbetssituationen på de platser nettotillskottet sker. Dessvärre räcker </w:t>
      </w:r>
      <w:r w:rsidR="001C1076" w:rsidRPr="00584CC6">
        <w:t xml:space="preserve">regeringens </w:t>
      </w:r>
      <w:r w:rsidRPr="00584CC6">
        <w:t xml:space="preserve">politik för polisorganisationen inte till. </w:t>
      </w:r>
    </w:p>
    <w:p w:rsidR="00807570" w:rsidRPr="00584CC6" w:rsidRDefault="00807570" w:rsidP="008B4283">
      <w:pPr>
        <w:pStyle w:val="Normaltindrag"/>
      </w:pPr>
      <w:r w:rsidRPr="00584CC6">
        <w:t>Det behövs fler poliser. Folkpartiet liberalerna välkomnar att det i</w:t>
      </w:r>
      <w:r w:rsidR="001C1076" w:rsidRPr="00584CC6">
        <w:t xml:space="preserve"> </w:t>
      </w:r>
      <w:r w:rsidRPr="00584CC6">
        <w:t>dag finns en utbildningskap</w:t>
      </w:r>
      <w:r w:rsidR="008B4283" w:rsidRPr="00584CC6">
        <w:t>a</w:t>
      </w:r>
      <w:r w:rsidRPr="00584CC6">
        <w:t>citet på ungefär 1</w:t>
      </w:r>
      <w:r w:rsidR="008B4283" w:rsidRPr="00584CC6">
        <w:t xml:space="preserve"> </w:t>
      </w:r>
      <w:r w:rsidRPr="00584CC6">
        <w:t>000 nya poliser per år. För att öka den polisiära närvaron, öka utredningskapaciteten och förebygga brott behövs det fler</w:t>
      </w:r>
      <w:r w:rsidR="00E251AD" w:rsidRPr="00584CC6">
        <w:t xml:space="preserve"> poliser i Sverige. Folkpartiets </w:t>
      </w:r>
      <w:r w:rsidRPr="00584CC6">
        <w:t>mål är att det år 2014 skall finnas 20</w:t>
      </w:r>
      <w:r w:rsidR="00E946ED" w:rsidRPr="00584CC6">
        <w:t> </w:t>
      </w:r>
      <w:r w:rsidRPr="00584CC6">
        <w:t>000 poliser i Sverige. Om detta skall vara möjligt måste anslaget för att a</w:t>
      </w:r>
      <w:r w:rsidRPr="00584CC6">
        <w:t>n</w:t>
      </w:r>
      <w:r w:rsidRPr="00584CC6">
        <w:t>ställa nya poliser säkras för 2007. I Rikspolisstyrelsens budgetunderlag för 2007 och framåt skisserar man på att minska antagningen till polisutbildnin</w:t>
      </w:r>
      <w:r w:rsidRPr="00584CC6">
        <w:t>g</w:t>
      </w:r>
      <w:r w:rsidRPr="00584CC6">
        <w:t>en till m</w:t>
      </w:r>
      <w:r w:rsidR="001C1076" w:rsidRPr="00584CC6">
        <w:t>ellan 300</w:t>
      </w:r>
      <w:r w:rsidR="00E251AD" w:rsidRPr="00584CC6">
        <w:t>–500 personer per år</w:t>
      </w:r>
      <w:r w:rsidRPr="00584CC6">
        <w:t>.</w:t>
      </w:r>
    </w:p>
    <w:p w:rsidR="00807570" w:rsidRPr="00584CC6" w:rsidRDefault="00807570" w:rsidP="005B1DF2">
      <w:pPr>
        <w:pStyle w:val="Normaltindrag"/>
      </w:pPr>
      <w:r w:rsidRPr="00584CC6">
        <w:t>Polisen måste bli effektiv</w:t>
      </w:r>
      <w:r w:rsidR="00E251AD" w:rsidRPr="00584CC6">
        <w:t>are</w:t>
      </w:r>
      <w:r w:rsidRPr="00584CC6">
        <w:t xml:space="preserve">. Det är inte acceptabelt att endast 16 procent av samtliga polisanmälda brott </w:t>
      </w:r>
      <w:r w:rsidR="00E251AD" w:rsidRPr="00584CC6">
        <w:t xml:space="preserve">kan </w:t>
      </w:r>
      <w:r w:rsidRPr="00584CC6">
        <w:t>bindas till en gärningsman. En mindre andel går vidare till åklagare, en ännu mindre del till domstol och slutligen en ännu mindre del leder till en fällande dom. Riksdagens revisorers rapport (2002/03:19) visa</w:t>
      </w:r>
      <w:r w:rsidR="00E251AD" w:rsidRPr="00584CC6">
        <w:t>de</w:t>
      </w:r>
      <w:r w:rsidRPr="00584CC6">
        <w:t xml:space="preserve"> att polisen skriver av 75 procent av alla brottsanmälnin</w:t>
      </w:r>
      <w:r w:rsidRPr="00584CC6">
        <w:t>g</w:t>
      </w:r>
      <w:r w:rsidRPr="00584CC6">
        <w:t>ar. Merparten av anmälningarna skrevs av direkt utan att någon förundersö</w:t>
      </w:r>
      <w:r w:rsidRPr="00584CC6">
        <w:t>k</w:t>
      </w:r>
      <w:r w:rsidRPr="00584CC6">
        <w:t xml:space="preserve">ning inletts. </w:t>
      </w:r>
    </w:p>
    <w:p w:rsidR="00807570" w:rsidRPr="00584CC6" w:rsidRDefault="00807570" w:rsidP="005B1DF2">
      <w:pPr>
        <w:pStyle w:val="Normaltindrag"/>
      </w:pPr>
      <w:r w:rsidRPr="00584CC6">
        <w:t>När nu polisen får i uppdrag att kraftsamla för att klara upp fler brott så är detta bra. Det är dock allvarligt om detta tillåts påverka satsningar som gör</w:t>
      </w:r>
      <w:r w:rsidR="001C1076" w:rsidRPr="00584CC6">
        <w:t>s</w:t>
      </w:r>
      <w:r w:rsidRPr="00584CC6">
        <w:t xml:space="preserve"> gentemot ungdomars kriminalitet eller narkotika. </w:t>
      </w:r>
    </w:p>
    <w:p w:rsidR="00807570" w:rsidRPr="00584CC6" w:rsidRDefault="00807570" w:rsidP="00E207DB">
      <w:pPr>
        <w:pStyle w:val="Rubrik2"/>
      </w:pPr>
      <w:bookmarkStart w:id="8" w:name="_Toc116192377"/>
      <w:r w:rsidRPr="00584CC6">
        <w:t>Minska nyrekryteringen av kriminella</w:t>
      </w:r>
      <w:bookmarkEnd w:id="8"/>
    </w:p>
    <w:p w:rsidR="00807570" w:rsidRPr="00584CC6" w:rsidRDefault="00807570" w:rsidP="005B1DF2">
      <w:r w:rsidRPr="00584CC6">
        <w:t xml:space="preserve">Nyrekryteringen till kriminaliteten måste stoppas. Av ungdomsbrottslingarna återfaller 70 procent i brott </w:t>
      </w:r>
      <w:r w:rsidR="005C2F1A" w:rsidRPr="00584CC6">
        <w:t xml:space="preserve">inom tre år </w:t>
      </w:r>
      <w:r w:rsidRPr="00584CC6">
        <w:t xml:space="preserve">efter den vanligaste påföljden </w:t>
      </w:r>
      <w:r w:rsidR="005C2F1A" w:rsidRPr="00584CC6">
        <w:t>v</w:t>
      </w:r>
      <w:r w:rsidRPr="00584CC6">
        <w:t>ård inom socialtjänsten. Den bästa brottsbekämpningen är att se till att brott över</w:t>
      </w:r>
      <w:r w:rsidR="001C1076" w:rsidRPr="00584CC6">
        <w:t xml:space="preserve"> </w:t>
      </w:r>
      <w:r w:rsidRPr="00584CC6">
        <w:t>huvud</w:t>
      </w:r>
      <w:r w:rsidR="001C1076" w:rsidRPr="00584CC6">
        <w:t xml:space="preserve"> </w:t>
      </w:r>
      <w:r w:rsidRPr="00584CC6">
        <w:t>taget inte begås. För det första handlar det om tidiga och tydliga insa</w:t>
      </w:r>
      <w:r w:rsidRPr="00584CC6">
        <w:t>t</w:t>
      </w:r>
      <w:r w:rsidRPr="00584CC6">
        <w:t>ser för att förhindra att unga människor går ner sig i kriminalitet. Vill vi minska rekryteringen till framtidens grova kriminalitet, måste vi vara tydliga tidigt. Därför vill vi att svensk polis får utrymme att göra en bred satsning gentemot unga som begår brott för att förhindra att dessa går sig dj</w:t>
      </w:r>
      <w:r w:rsidR="005C2F1A" w:rsidRPr="00584CC6">
        <w:t>upare ner i kriminalitet.  Våra</w:t>
      </w:r>
      <w:r w:rsidRPr="00584CC6">
        <w:t xml:space="preserve"> förslag om tidigare åtgärder kräver också insatser från polisen – inte minst för att utreda alla brott som begås av dem som är under 15 år. </w:t>
      </w:r>
      <w:r w:rsidR="005C2F1A" w:rsidRPr="00584CC6">
        <w:t xml:space="preserve">Vi vill satsa </w:t>
      </w:r>
      <w:r w:rsidRPr="00584CC6">
        <w:t xml:space="preserve">100 miljoner kronor </w:t>
      </w:r>
      <w:r w:rsidR="005C2F1A" w:rsidRPr="00584CC6">
        <w:t>extra på att bekämpa ungdomsbrott</w:t>
      </w:r>
      <w:r w:rsidR="005C2F1A" w:rsidRPr="00584CC6">
        <w:t>s</w:t>
      </w:r>
      <w:r w:rsidR="005C2F1A" w:rsidRPr="00584CC6">
        <w:t xml:space="preserve">ligheten, en satsning som </w:t>
      </w:r>
      <w:r w:rsidRPr="00584CC6">
        <w:t xml:space="preserve">sker vid sidan av </w:t>
      </w:r>
      <w:r w:rsidR="001C1076" w:rsidRPr="00584CC6">
        <w:t xml:space="preserve">Folkpartiet </w:t>
      </w:r>
      <w:r w:rsidRPr="00584CC6">
        <w:t xml:space="preserve">liberalernas satsningar på skola, integration och arbete för unga människor. </w:t>
      </w:r>
    </w:p>
    <w:p w:rsidR="00807570" w:rsidRPr="00584CC6" w:rsidRDefault="00807570" w:rsidP="008B4DC3">
      <w:pPr>
        <w:pStyle w:val="Rubrik2"/>
      </w:pPr>
      <w:bookmarkStart w:id="9" w:name="_Toc116192378"/>
      <w:r w:rsidRPr="00584CC6">
        <w:t>Fokusera på den grova organiserade brottsligheten</w:t>
      </w:r>
      <w:bookmarkEnd w:id="9"/>
    </w:p>
    <w:p w:rsidR="00807570" w:rsidRPr="00584CC6" w:rsidRDefault="00807570" w:rsidP="005B1DF2">
      <w:r w:rsidRPr="00584CC6">
        <w:t>Den grova organiserade brottsligheten breder ut sig. Det är en verklighet som bekräftas av ett</w:t>
      </w:r>
      <w:r w:rsidR="001C1076" w:rsidRPr="00584CC6">
        <w:t xml:space="preserve"> flertal myndighetsrapporter (t.</w:t>
      </w:r>
      <w:r w:rsidRPr="00584CC6">
        <w:t>ex</w:t>
      </w:r>
      <w:r w:rsidR="001C1076" w:rsidRPr="00584CC6">
        <w:t>.</w:t>
      </w:r>
      <w:r w:rsidRPr="00584CC6">
        <w:t xml:space="preserve"> </w:t>
      </w:r>
      <w:r w:rsidR="008B4DC3" w:rsidRPr="00584CC6">
        <w:t>Rikskriminalpolisens</w:t>
      </w:r>
      <w:r w:rsidRPr="00584CC6">
        <w:t xml:space="preserve"> </w:t>
      </w:r>
      <w:r w:rsidR="008B4DC3" w:rsidRPr="00584CC6">
        <w:t xml:space="preserve">KUT </w:t>
      </w:r>
      <w:r w:rsidRPr="00584CC6">
        <w:t xml:space="preserve">Rapport 2005:7a). </w:t>
      </w:r>
    </w:p>
    <w:p w:rsidR="00807570" w:rsidRPr="00584CC6" w:rsidRDefault="00807570" w:rsidP="005B1DF2">
      <w:pPr>
        <w:pStyle w:val="Normaltindrag"/>
      </w:pPr>
      <w:r w:rsidRPr="00584CC6">
        <w:t xml:space="preserve">Vetskapen om att svensk polis lider av strukturella problem är inte ny. I betänkandet från Göteborgskommittén (SOU 2002:122) riktades hård kritik för bristande samordning och ledning av den svenska polisen. Det bekräftades nyligen i rapporten ”Organiserad kriminalitet, grov narkotikabrottslighet” (2004), framtagen inom Regeringens samverkansprojekt ”Mobilisering mot narkotika”. Rapporten pekar på både avsaknaden av en sammanhållen strategi för polisen och ett övergripande samordningsansvar för polisens och tullens samarbete mot narkotikabrottsligheten. Den visar att Sverige ligger långt efter i kampen mot den grova brottsligheten. </w:t>
      </w:r>
    </w:p>
    <w:p w:rsidR="0022275F" w:rsidRPr="00584CC6" w:rsidRDefault="00807570" w:rsidP="005B1DF2">
      <w:pPr>
        <w:pStyle w:val="Normaltindrag"/>
      </w:pPr>
      <w:r w:rsidRPr="00584CC6">
        <w:t>Otillräckliga åtgärder mot narkotikainflödet har medfört ökad tillgång till narkotika. Priset på narkotika är i</w:t>
      </w:r>
      <w:r w:rsidR="001C1076" w:rsidRPr="00584CC6">
        <w:t xml:space="preserve"> </w:t>
      </w:r>
      <w:r w:rsidRPr="00584CC6">
        <w:t xml:space="preserve">dag rekordlågt. Detta innebär att ännu fler människor riskerar fastna i missbruk med fler brott som följd. </w:t>
      </w:r>
    </w:p>
    <w:p w:rsidR="00807570" w:rsidRPr="00584CC6" w:rsidRDefault="00807570" w:rsidP="005B1DF2">
      <w:pPr>
        <w:pStyle w:val="Normaltindrag"/>
      </w:pPr>
      <w:r w:rsidRPr="00584CC6">
        <w:t>De höga vinsterna och de låga riskerna för upp</w:t>
      </w:r>
      <w:r w:rsidR="001C1076" w:rsidRPr="00584CC6">
        <w:t>täckt eller straffpåföljd för t.</w:t>
      </w:r>
      <w:r w:rsidRPr="00584CC6">
        <w:t>ex</w:t>
      </w:r>
      <w:r w:rsidR="001C1076" w:rsidRPr="00584CC6">
        <w:t>.</w:t>
      </w:r>
      <w:r w:rsidRPr="00584CC6">
        <w:t xml:space="preserve"> värdetransport rån underlättar utveckling</w:t>
      </w:r>
      <w:r w:rsidR="0022275F" w:rsidRPr="00584CC6">
        <w:t>en av ökade rån</w:t>
      </w:r>
      <w:r w:rsidRPr="00584CC6">
        <w:t xml:space="preserve">. </w:t>
      </w:r>
      <w:r w:rsidR="0022275F" w:rsidRPr="00584CC6">
        <w:t xml:space="preserve">Detta är </w:t>
      </w:r>
      <w:r w:rsidRPr="00584CC6">
        <w:t xml:space="preserve">på sikt direkt systemhotande och bidrar till att minska såväl medborgarnas trygghet som förutsättningarna för tillväxt. För att finansiera Folkpartiet liberalernas satsningar mot den organiserade brottsligheten tillskjuts polisen 100 miljoner kronor. </w:t>
      </w:r>
    </w:p>
    <w:p w:rsidR="00807570" w:rsidRPr="00584CC6" w:rsidRDefault="00807570" w:rsidP="005B1DF2">
      <w:pPr>
        <w:pStyle w:val="Normaltindrag"/>
      </w:pPr>
      <w:r w:rsidRPr="00584CC6">
        <w:t>Folkpartiet liberalerna vill också att det införs ett nationellt personsäke</w:t>
      </w:r>
      <w:r w:rsidRPr="00584CC6">
        <w:t>r</w:t>
      </w:r>
      <w:r w:rsidRPr="00584CC6">
        <w:t>hetsprogram för att skydda personer som vittnat mot den organiserade brott</w:t>
      </w:r>
      <w:r w:rsidRPr="00584CC6">
        <w:t>s</w:t>
      </w:r>
      <w:r w:rsidRPr="00584CC6">
        <w:t>ligh</w:t>
      </w:r>
      <w:r w:rsidRPr="00584CC6">
        <w:t>e</w:t>
      </w:r>
      <w:r w:rsidRPr="00584CC6">
        <w:t xml:space="preserve">ten. Programmet ska omfatta även hotade kvinnor. För detta ändamål vill </w:t>
      </w:r>
      <w:r w:rsidR="001C1076" w:rsidRPr="00584CC6">
        <w:t xml:space="preserve">vi </w:t>
      </w:r>
      <w:r w:rsidRPr="00584CC6">
        <w:t xml:space="preserve">satsa 60 miljoner kronor från 2006. </w:t>
      </w:r>
    </w:p>
    <w:p w:rsidR="00807570" w:rsidRPr="00584CC6" w:rsidRDefault="00807570" w:rsidP="005B1DF2">
      <w:pPr>
        <w:pStyle w:val="Normaltindrag"/>
      </w:pPr>
      <w:r w:rsidRPr="00584CC6">
        <w:t xml:space="preserve">Den övriga av </w:t>
      </w:r>
      <w:r w:rsidR="001C1076" w:rsidRPr="00584CC6">
        <w:t xml:space="preserve">Folkpartiets </w:t>
      </w:r>
      <w:r w:rsidRPr="00584CC6">
        <w:t>anvisade förstärkning av polisens budget skall användas till att anställa ytterligare civilanställda och specialister för analyser och utredningar, förbättra ledarskapsutbildningen samt förstärka de speciella enheter inom polisen som arbetar m</w:t>
      </w:r>
      <w:r w:rsidR="001C1076" w:rsidRPr="00584CC6">
        <w:t>ot särskilda typer av brott, bl.</w:t>
      </w:r>
      <w:r w:rsidRPr="00584CC6">
        <w:t>a</w:t>
      </w:r>
      <w:r w:rsidR="001C1076" w:rsidRPr="00584CC6">
        <w:t>.</w:t>
      </w:r>
      <w:r w:rsidRPr="00584CC6">
        <w:t xml:space="preserve"> narkotik</w:t>
      </w:r>
      <w:r w:rsidRPr="00584CC6">
        <w:t>a</w:t>
      </w:r>
      <w:r w:rsidRPr="00584CC6">
        <w:t xml:space="preserve">brott, hatbrott, barnpornografi, våld mot kvinnor och andra </w:t>
      </w:r>
      <w:r w:rsidR="00A8030A" w:rsidRPr="00584CC6">
        <w:t>grova brott. Vi vill att det bl.</w:t>
      </w:r>
      <w:r w:rsidRPr="00584CC6">
        <w:t>a</w:t>
      </w:r>
      <w:r w:rsidR="00A8030A" w:rsidRPr="00584CC6">
        <w:t>.</w:t>
      </w:r>
      <w:r w:rsidRPr="00584CC6">
        <w:t xml:space="preserve"> inrättas fler familjevåldsenheter där polis och åklagare arbetar tillsammans. Av polisväsendets budget vill vi avsätta 10 miljoner kronor mer per år än </w:t>
      </w:r>
      <w:r w:rsidR="00A8030A" w:rsidRPr="00584CC6">
        <w:t xml:space="preserve">regeringen </w:t>
      </w:r>
      <w:r w:rsidRPr="00584CC6">
        <w:t>till bekämpandet av människohandel.</w:t>
      </w:r>
    </w:p>
    <w:p w:rsidR="00807570" w:rsidRPr="00584CC6" w:rsidRDefault="00807570" w:rsidP="005B1DF2">
      <w:pPr>
        <w:pStyle w:val="Normaltindrag"/>
      </w:pPr>
      <w:r w:rsidRPr="00584CC6">
        <w:t>För att minska polisens utryckningstid och öka effektiviteten i framför allt glesbygden, vill vi att poliser ges möjlighet till en mer flexibel stationering. Det bör finnas möjlighet för poliser att ta med sig polisbilen och delar av utrustningen hem, vilket skulle innebära att fler poliser kan finnas tillgängliga för snabb utryckning vid jourtjänstgöring. För 2006 vill vi därför att en e</w:t>
      </w:r>
      <w:r w:rsidRPr="00584CC6">
        <w:t>n</w:t>
      </w:r>
      <w:r w:rsidRPr="00584CC6">
        <w:t xml:space="preserve">gångssatsning genomförs för polisen i glesbygdsområden. </w:t>
      </w:r>
    </w:p>
    <w:p w:rsidR="00807570" w:rsidRPr="00584CC6" w:rsidRDefault="00807570" w:rsidP="00A8030A">
      <w:pPr>
        <w:pStyle w:val="Normaltindrag"/>
      </w:pPr>
      <w:r w:rsidRPr="00584CC6">
        <w:t>Fortfarande måste fler icke</w:t>
      </w:r>
      <w:r w:rsidR="00A8030A" w:rsidRPr="00584CC6">
        <w:t>-</w:t>
      </w:r>
      <w:r w:rsidRPr="00584CC6">
        <w:t xml:space="preserve">polisiära arbetsuppgifter rensas bort. Det kan gälla transporter eller hittegods. Det behövs fler poliser som utför renodlade polisiära arbetsuppgifter och som bidrar till att fler brottsutredningar inleds och avslutas inom kortare tid. </w:t>
      </w:r>
    </w:p>
    <w:p w:rsidR="00807570" w:rsidRPr="00584CC6" w:rsidRDefault="00807570" w:rsidP="007F2A74">
      <w:pPr>
        <w:pStyle w:val="Rubrik1"/>
      </w:pPr>
      <w:bookmarkStart w:id="10" w:name="_Toc116192379"/>
      <w:r w:rsidRPr="00584CC6">
        <w:t>Säkerhetspolisen</w:t>
      </w:r>
      <w:bookmarkEnd w:id="10"/>
    </w:p>
    <w:p w:rsidR="00807570" w:rsidRPr="00584CC6" w:rsidRDefault="00807570" w:rsidP="00A16A8F">
      <w:pPr>
        <w:pStyle w:val="Normaltindrag"/>
        <w:spacing w:before="125"/>
        <w:ind w:firstLine="0"/>
      </w:pPr>
      <w:r w:rsidRPr="00584CC6">
        <w:t xml:space="preserve">Folkpartiet liberalerna menar att Säkerhetspolisen ytterligare behöver stärka sitt arbete när det gäller personskydd och kontraterrorism. Därför anslår vi 55 miljoner </w:t>
      </w:r>
      <w:r w:rsidR="007F2A74" w:rsidRPr="00584CC6">
        <w:t xml:space="preserve">kronor </w:t>
      </w:r>
      <w:r w:rsidRPr="00584CC6">
        <w:t xml:space="preserve">mer jämfört med </w:t>
      </w:r>
      <w:r w:rsidR="00A8030A" w:rsidRPr="00584CC6">
        <w:t xml:space="preserve">regeringens </w:t>
      </w:r>
      <w:r w:rsidRPr="00584CC6">
        <w:t xml:space="preserve">ramförstärkning av anslagen för 2005. Vi anslår således 30 miljoner kronor mer till Säkerhetspolisen för år 2006 jämfört med </w:t>
      </w:r>
      <w:r w:rsidR="00A8030A" w:rsidRPr="00584CC6">
        <w:t>regeringen</w:t>
      </w:r>
      <w:r w:rsidRPr="00584CC6">
        <w:t xml:space="preserve">. </w:t>
      </w:r>
    </w:p>
    <w:p w:rsidR="00807570" w:rsidRPr="00584CC6" w:rsidRDefault="00807570" w:rsidP="005B1DF2">
      <w:pPr>
        <w:pStyle w:val="Normaltindrag"/>
      </w:pPr>
      <w:r w:rsidRPr="00584CC6">
        <w:t xml:space="preserve">Den svenska säkerhetspolisen är en hårt prövad organisation som efter en omfattande omorganisation nu förhoppningsvis kan få ökad effektivitet. Vi föreslår att resursförstärkningen inriktas på förbättrade hotbildsanalyser samt ett fortsatt utökat livvaktsskydd. Vidare menar vi att </w:t>
      </w:r>
      <w:r w:rsidR="00A8030A" w:rsidRPr="00584CC6">
        <w:t xml:space="preserve">regeringen </w:t>
      </w:r>
      <w:r w:rsidRPr="00584CC6">
        <w:t>måste åte</w:t>
      </w:r>
      <w:r w:rsidRPr="00584CC6">
        <w:t>r</w:t>
      </w:r>
      <w:r w:rsidRPr="00584CC6">
        <w:t>komma till att lägga fram förslag om Säkerhetspolisens långsiktiga organis</w:t>
      </w:r>
      <w:r w:rsidRPr="00584CC6">
        <w:t>a</w:t>
      </w:r>
      <w:r w:rsidRPr="00584CC6">
        <w:t>toriska framtid. Det senare måste också ingripa förbättrad demokratisk insyn i Säkerhetspolisens arbete.</w:t>
      </w:r>
    </w:p>
    <w:p w:rsidR="00807570" w:rsidRPr="00584CC6" w:rsidRDefault="00807570" w:rsidP="005B1DF2">
      <w:pPr>
        <w:pStyle w:val="Normaltindrag"/>
      </w:pPr>
      <w:r w:rsidRPr="00584CC6">
        <w:t>Vidare krävs anslagsförstärkning för att genomföra de förslag som finns om en effektivare terror</w:t>
      </w:r>
      <w:r w:rsidR="00A8030A" w:rsidRPr="00584CC6">
        <w:t>istbekämpning som finns i den s.</w:t>
      </w:r>
      <w:r w:rsidRPr="00584CC6">
        <w:t>k</w:t>
      </w:r>
      <w:r w:rsidR="00A8030A" w:rsidRPr="00584CC6">
        <w:t>.</w:t>
      </w:r>
      <w:r w:rsidRPr="00584CC6">
        <w:t xml:space="preserve"> 11-september</w:t>
      </w:r>
      <w:r w:rsidR="005B1DF2" w:rsidRPr="00584CC6">
        <w:softHyphen/>
      </w:r>
      <w:r w:rsidRPr="00584CC6">
        <w:t>utred</w:t>
      </w:r>
      <w:r w:rsidR="005B1DF2" w:rsidRPr="00584CC6">
        <w:softHyphen/>
      </w:r>
      <w:r w:rsidRPr="00584CC6">
        <w:t>ningen (SOU 2003:32) samt utredningen Polisens behov av stöd i sa</w:t>
      </w:r>
      <w:r w:rsidRPr="00584CC6">
        <w:t>m</w:t>
      </w:r>
      <w:r w:rsidRPr="00584CC6">
        <w:t>band med te</w:t>
      </w:r>
      <w:r w:rsidR="000431FD" w:rsidRPr="00584CC6">
        <w:t>rrorismbekämpning (SOU 2005:70).</w:t>
      </w:r>
    </w:p>
    <w:p w:rsidR="00807570" w:rsidRPr="00584CC6" w:rsidRDefault="00807570" w:rsidP="00BF3318">
      <w:pPr>
        <w:pStyle w:val="Rubrik2"/>
      </w:pPr>
      <w:bookmarkStart w:id="11" w:name="_Toc116192380"/>
      <w:r w:rsidRPr="00584CC6">
        <w:t>Åklagarorganisationen</w:t>
      </w:r>
      <w:bookmarkEnd w:id="11"/>
    </w:p>
    <w:p w:rsidR="00807570" w:rsidRPr="00584CC6" w:rsidRDefault="00807570" w:rsidP="00A16A8F">
      <w:pPr>
        <w:pStyle w:val="Normaltindrag"/>
        <w:spacing w:before="125"/>
        <w:ind w:firstLine="0"/>
      </w:pPr>
      <w:r w:rsidRPr="00584CC6">
        <w:t>Folkpartiet liberalerna anser att åklagarväsendet har behov av minst ytterlig</w:t>
      </w:r>
      <w:r w:rsidRPr="00584CC6">
        <w:t>a</w:t>
      </w:r>
      <w:r w:rsidRPr="00584CC6">
        <w:t xml:space="preserve">re 50 miljoner kronor för år 2006 jämfört med </w:t>
      </w:r>
      <w:r w:rsidR="00A8030A" w:rsidRPr="00584CC6">
        <w:t xml:space="preserve">regeringens </w:t>
      </w:r>
      <w:r w:rsidRPr="00584CC6">
        <w:t xml:space="preserve">ramförstärkning av anslagen för 2005. Vi anslår därför 25 miljoner kronor mer till </w:t>
      </w:r>
      <w:r w:rsidR="00A8030A" w:rsidRPr="00584CC6">
        <w:t>Åklagarmy</w:t>
      </w:r>
      <w:r w:rsidR="00A8030A" w:rsidRPr="00584CC6">
        <w:t>n</w:t>
      </w:r>
      <w:r w:rsidR="00A8030A" w:rsidRPr="00584CC6">
        <w:t xml:space="preserve">digheten </w:t>
      </w:r>
      <w:r w:rsidRPr="00584CC6">
        <w:t xml:space="preserve">för år 2006 jämfört med </w:t>
      </w:r>
      <w:r w:rsidR="00A8030A" w:rsidRPr="00584CC6">
        <w:t>regeringen</w:t>
      </w:r>
      <w:r w:rsidRPr="00584CC6">
        <w:t xml:space="preserve">. </w:t>
      </w:r>
    </w:p>
    <w:p w:rsidR="00807570" w:rsidRPr="00584CC6" w:rsidRDefault="00807570" w:rsidP="005B1DF2">
      <w:pPr>
        <w:pStyle w:val="Normaltindrag"/>
      </w:pPr>
      <w:r w:rsidRPr="00584CC6">
        <w:t xml:space="preserve">Åklagarväsendet hade inför 2005 ett anslagssparande om 16 miljoner, som sparats för att smidigt kunna </w:t>
      </w:r>
      <w:r w:rsidR="00EB6D29" w:rsidRPr="00584CC6">
        <w:t>sjösätta</w:t>
      </w:r>
      <w:r w:rsidRPr="00584CC6">
        <w:t xml:space="preserve"> den nya enmyndighetsorganisationen</w:t>
      </w:r>
      <w:r w:rsidR="00EB6D29" w:rsidRPr="00584CC6">
        <w:t>.</w:t>
      </w:r>
      <w:r w:rsidRPr="00584CC6">
        <w:t xml:space="preserve"> Dessa pengar drogs in av </w:t>
      </w:r>
      <w:r w:rsidR="00A8030A" w:rsidRPr="00584CC6">
        <w:t xml:space="preserve">regeringen </w:t>
      </w:r>
      <w:r w:rsidRPr="00584CC6">
        <w:t>nio dagar innan reformen och således saknas i</w:t>
      </w:r>
      <w:r w:rsidR="00A8030A" w:rsidRPr="00584CC6">
        <w:t xml:space="preserve"> </w:t>
      </w:r>
      <w:r w:rsidRPr="00584CC6">
        <w:t>dag betydande resurser för den långsiktigt löpande verksamheten. Sammantaget minskade det disponibla ekonomiska utrymmet med 47 milj</w:t>
      </w:r>
      <w:r w:rsidRPr="00584CC6">
        <w:t>o</w:t>
      </w:r>
      <w:r w:rsidRPr="00584CC6">
        <w:t>ner kr</w:t>
      </w:r>
      <w:r w:rsidR="00A8030A" w:rsidRPr="00584CC6">
        <w:t>onor</w:t>
      </w:r>
      <w:r w:rsidRPr="00584CC6">
        <w:t>. Riksåklagaren har redovisat sin tveksamhet att genomföra kraf</w:t>
      </w:r>
      <w:r w:rsidRPr="00584CC6">
        <w:t>t</w:t>
      </w:r>
      <w:r w:rsidRPr="00584CC6">
        <w:t xml:space="preserve">fulla besparingar som första åtgärd i en ny organisation. </w:t>
      </w:r>
    </w:p>
    <w:p w:rsidR="00807570" w:rsidRPr="00584CC6" w:rsidRDefault="00807570" w:rsidP="005B1DF2">
      <w:pPr>
        <w:pStyle w:val="Normaltindrag"/>
      </w:pPr>
      <w:r w:rsidRPr="00584CC6">
        <w:t>Åklagarväsendet utgör en central länk i rättskedjan och står inför alltstörre behov av fler åklagare och ökad specialisering. Regeringens ryckiga budge</w:t>
      </w:r>
      <w:r w:rsidRPr="00584CC6">
        <w:t>t</w:t>
      </w:r>
      <w:r w:rsidR="00A458F9" w:rsidRPr="00584CC6">
        <w:t>politik för åklagarväsendet har</w:t>
      </w:r>
      <w:r w:rsidRPr="00584CC6">
        <w:t xml:space="preserve"> medfört stora brister i balansen mellan resurser och arbetsmängd med ökad sjukfrånvaro bland personalen som följd. Vidare finns en oro att kvaliteten blir lidande. Tidigare utvärderingar av </w:t>
      </w:r>
      <w:r w:rsidR="00A8030A" w:rsidRPr="00584CC6">
        <w:t xml:space="preserve">t.ex. </w:t>
      </w:r>
      <w:r w:rsidRPr="00584CC6">
        <w:t>sexua</w:t>
      </w:r>
      <w:r w:rsidRPr="00584CC6">
        <w:t>l</w:t>
      </w:r>
      <w:r w:rsidRPr="00584CC6">
        <w:t>brott mot barn har pekat i denna riktning. När det gäller kvinnofridsbrott har Riksåklag</w:t>
      </w:r>
      <w:r w:rsidR="00A458F9" w:rsidRPr="00584CC6">
        <w:t>a</w:t>
      </w:r>
      <w:r w:rsidRPr="00584CC6">
        <w:t>ren nyligen initierat en granskning eftersom det endast är mindre än fyra polisanmälda fall av tio som leder till åtal.</w:t>
      </w:r>
    </w:p>
    <w:p w:rsidR="00807570" w:rsidRPr="00584CC6" w:rsidRDefault="00807570" w:rsidP="005B1DF2">
      <w:pPr>
        <w:pStyle w:val="Normaltindrag"/>
      </w:pPr>
      <w:r w:rsidRPr="00584CC6">
        <w:t xml:space="preserve">Åklagarna har en avgörande betydelse i kampen mot såväl </w:t>
      </w:r>
      <w:r w:rsidR="00A8030A" w:rsidRPr="00584CC6">
        <w:t xml:space="preserve">s.k. </w:t>
      </w:r>
      <w:r w:rsidRPr="00584CC6">
        <w:t>mäng</w:t>
      </w:r>
      <w:r w:rsidRPr="00584CC6">
        <w:t>d</w:t>
      </w:r>
      <w:r w:rsidRPr="00584CC6">
        <w:t>brottslighet som mot den organiserade och gränsöverskridande brottsligheten. Utvecklingen av rättsväsendet och av samhället i stort, inte minst gällande ek</w:t>
      </w:r>
      <w:r w:rsidRPr="00584CC6">
        <w:t>o</w:t>
      </w:r>
      <w:r w:rsidRPr="00584CC6">
        <w:t xml:space="preserve">nomisk brottslighet, miljöbrott och internationell organiserad brottslighet, ställer höga krav på förändring av regelverk, organisation, arbetsmetoder och internationellt rättsligt samarbete. Åklagarväsendet har under senare år arbetat med uppgiften att anpassa och utveckla verksamheten. </w:t>
      </w:r>
    </w:p>
    <w:p w:rsidR="00807570" w:rsidRPr="00584CC6" w:rsidRDefault="00807570" w:rsidP="005B1DF2">
      <w:pPr>
        <w:pStyle w:val="Normaltindrag"/>
      </w:pPr>
      <w:r w:rsidRPr="00584CC6">
        <w:t>Vårt föreslagna anslag bör kunna räcka till c</w:t>
      </w:r>
      <w:r w:rsidR="00D418F1" w:rsidRPr="00584CC6">
        <w:t>a</w:t>
      </w:r>
      <w:r w:rsidRPr="00584CC6">
        <w:t xml:space="preserve"> 70 nya åklagare och bidra till förutsättningar för fortsatt vidareutbildning och specialisering. Vi ser gärna att fokus sätts på ungdomså</w:t>
      </w:r>
      <w:r w:rsidR="00D418F1" w:rsidRPr="00584CC6">
        <w:t xml:space="preserve">klagare för att inom ramen för </w:t>
      </w:r>
      <w:r w:rsidRPr="00584CC6">
        <w:t>jouråklagare, dagåkl</w:t>
      </w:r>
      <w:r w:rsidRPr="00584CC6">
        <w:t>a</w:t>
      </w:r>
      <w:r w:rsidRPr="00584CC6">
        <w:t xml:space="preserve">gare och snabbmålsteam ytterligare </w:t>
      </w:r>
      <w:r w:rsidR="00A8030A" w:rsidRPr="00584CC6">
        <w:t>skynda</w:t>
      </w:r>
      <w:r w:rsidRPr="00584CC6">
        <w:t xml:space="preserve"> på hanteringen av unga lagöve</w:t>
      </w:r>
      <w:r w:rsidRPr="00584CC6">
        <w:t>r</w:t>
      </w:r>
      <w:r w:rsidRPr="00584CC6">
        <w:t>trädare och mängdbrott. Riksåklagarens egen begäran om nya ekobrotts-, miljöbrotts-, och organ</w:t>
      </w:r>
      <w:r w:rsidR="00D418F1" w:rsidRPr="00584CC6">
        <w:t>i</w:t>
      </w:r>
      <w:r w:rsidRPr="00584CC6">
        <w:t xml:space="preserve">serade brottsspecialister ses som ett minimum. </w:t>
      </w:r>
    </w:p>
    <w:p w:rsidR="00807570" w:rsidRPr="00584CC6" w:rsidRDefault="00807570" w:rsidP="00D418F1">
      <w:pPr>
        <w:pStyle w:val="Rubrik2"/>
      </w:pPr>
      <w:bookmarkStart w:id="12" w:name="_Toc116192381"/>
      <w:r w:rsidRPr="00584CC6">
        <w:t>Ekobrottsmyndigheten</w:t>
      </w:r>
      <w:bookmarkEnd w:id="12"/>
    </w:p>
    <w:p w:rsidR="00807570" w:rsidRPr="00584CC6" w:rsidRDefault="00807570" w:rsidP="00A16A8F">
      <w:pPr>
        <w:pStyle w:val="Normaltindrag"/>
        <w:spacing w:before="125"/>
        <w:ind w:firstLine="0"/>
      </w:pPr>
      <w:r w:rsidRPr="00584CC6">
        <w:t xml:space="preserve">Ekobrottsligheten i Sverige beräknas omsätta över 100 miljarder kronor per år. Enbart skatte- och avgiftsbortfallet till följd av svart arbetskraft beräknas till närmare 60 miljarder kronor per år. </w:t>
      </w:r>
    </w:p>
    <w:p w:rsidR="00807570" w:rsidRPr="00584CC6" w:rsidRDefault="00807570" w:rsidP="00807570">
      <w:pPr>
        <w:pStyle w:val="Normaltindrag"/>
      </w:pPr>
      <w:r w:rsidRPr="00584CC6">
        <w:t>Ekobrottsmyndigheten i form av en egen myndi</w:t>
      </w:r>
      <w:r w:rsidR="00CC5E3E" w:rsidRPr="00584CC6">
        <w:t>ghet bör utveckla sin räc</w:t>
      </w:r>
      <w:r w:rsidR="00CC5E3E" w:rsidRPr="00584CC6">
        <w:t>k</w:t>
      </w:r>
      <w:r w:rsidR="00CC5E3E" w:rsidRPr="00584CC6">
        <w:t xml:space="preserve">vidd </w:t>
      </w:r>
      <w:r w:rsidRPr="00584CC6">
        <w:t>och inkorporeras i den ordinarie åklagarverksamheten i samband med den omorganisation som har föreslagits av Riksåklagaren (RÅ-rapport ”Org</w:t>
      </w:r>
      <w:r w:rsidRPr="00584CC6">
        <w:t>a</w:t>
      </w:r>
      <w:r w:rsidRPr="00584CC6">
        <w:t>nisation för en effektiv och hög lagföring” den 31/3 2004). Ett antal utre</w:t>
      </w:r>
      <w:r w:rsidRPr="00584CC6">
        <w:t>d</w:t>
      </w:r>
      <w:r w:rsidRPr="00584CC6">
        <w:t>ningar har pekat på interna problem för Ekobrottsmyndigheten med att få en fungerande verksamhet, tillräckligt effektiv styrning och omfattande adm</w:t>
      </w:r>
      <w:r w:rsidRPr="00584CC6">
        <w:t>i</w:t>
      </w:r>
      <w:r w:rsidRPr="00584CC6">
        <w:t>nistrationskostnader. Trots ett ökat effektivitetsarbete på senare år pekar det mesta på att duktiga åklagare, poliser och annan personal inom Ekobrott</w:t>
      </w:r>
      <w:r w:rsidRPr="00584CC6">
        <w:t>s</w:t>
      </w:r>
      <w:r w:rsidRPr="00584CC6">
        <w:t>myndigheten skulle kunna utföra sitt arbete effektivare inom en sammanhå</w:t>
      </w:r>
      <w:r w:rsidRPr="00584CC6">
        <w:t>l</w:t>
      </w:r>
      <w:r w:rsidRPr="00584CC6">
        <w:t>len åklagarorganisation. Resurseffektiviseringen skulle leda till fler operativa åklagare i arbete.</w:t>
      </w:r>
    </w:p>
    <w:p w:rsidR="00807570" w:rsidRPr="00584CC6" w:rsidRDefault="00807570" w:rsidP="00CC5E3E">
      <w:pPr>
        <w:pStyle w:val="Rubrik2"/>
      </w:pPr>
      <w:bookmarkStart w:id="13" w:name="_Toc116192382"/>
      <w:r w:rsidRPr="00584CC6">
        <w:t>Domstolsväsendet</w:t>
      </w:r>
      <w:bookmarkEnd w:id="13"/>
    </w:p>
    <w:p w:rsidR="00807570" w:rsidRPr="00584CC6" w:rsidRDefault="00807570" w:rsidP="00CC5E3E">
      <w:r w:rsidRPr="00584CC6">
        <w:t>Folkpartiet liberalerna anser att domstolsväsendet har behov av minst ytterl</w:t>
      </w:r>
      <w:r w:rsidRPr="00584CC6">
        <w:t>i</w:t>
      </w:r>
      <w:r w:rsidRPr="00584CC6">
        <w:t xml:space="preserve">gare 195 miljoner kronor för år 2006 jämfört med </w:t>
      </w:r>
      <w:r w:rsidR="00A8030A" w:rsidRPr="00584CC6">
        <w:t xml:space="preserve">regeringens </w:t>
      </w:r>
      <w:r w:rsidRPr="00584CC6">
        <w:t>ramförstär</w:t>
      </w:r>
      <w:r w:rsidRPr="00584CC6">
        <w:t>k</w:t>
      </w:r>
      <w:r w:rsidRPr="00584CC6">
        <w:t>ning av anslagen för 2005. Vi anslår därför 105 miljoner kronor mer till do</w:t>
      </w:r>
      <w:r w:rsidRPr="00584CC6">
        <w:t>m</w:t>
      </w:r>
      <w:r w:rsidRPr="00584CC6">
        <w:t xml:space="preserve">stolsväsendet för år 2006 jämfört med </w:t>
      </w:r>
      <w:r w:rsidR="00A8030A" w:rsidRPr="00584CC6">
        <w:t>regeringen</w:t>
      </w:r>
      <w:r w:rsidRPr="00584CC6">
        <w:t>.</w:t>
      </w:r>
    </w:p>
    <w:p w:rsidR="00807570" w:rsidRPr="00584CC6" w:rsidRDefault="00807570" w:rsidP="00A8030A">
      <w:pPr>
        <w:pStyle w:val="Normaltindrag"/>
      </w:pPr>
      <w:r w:rsidRPr="00584CC6">
        <w:t>Ett starkt, oberoende och rättssäkert domstolsväsende utgör en central del av en rättsstat. Sverige har en kompetent och engagerad domarkår som dock tvingas arbeta under hårt tryck och ansträngd ekonomi efter elva år av socia</w:t>
      </w:r>
      <w:r w:rsidRPr="00584CC6">
        <w:t>l</w:t>
      </w:r>
      <w:r w:rsidRPr="00584CC6">
        <w:t xml:space="preserve">demokratiskt styre. Domstolsväsendet står inför stora utmaningar. Av de effektivitetsmål som </w:t>
      </w:r>
      <w:r w:rsidR="00A8030A" w:rsidRPr="00584CC6">
        <w:t xml:space="preserve">regeringen </w:t>
      </w:r>
      <w:r w:rsidRPr="00584CC6">
        <w:t>har satt upp för d</w:t>
      </w:r>
      <w:r w:rsidR="00707DB7" w:rsidRPr="00584CC6">
        <w:t>omstolarna är det få som uppnås</w:t>
      </w:r>
      <w:r w:rsidRPr="00584CC6">
        <w:t>.</w:t>
      </w:r>
    </w:p>
    <w:p w:rsidR="00807570" w:rsidRPr="00584CC6" w:rsidRDefault="00807570" w:rsidP="00707DB7">
      <w:pPr>
        <w:pStyle w:val="Normaltindrag"/>
      </w:pPr>
      <w:r w:rsidRPr="00584CC6">
        <w:t>Bara det ökande antalet mål, som domstolarna tar hand om, krävde enligt Domstolsverkets bedömning i augusti 2004 en höjning de följande åren med 200 miljoner kronor per år.</w:t>
      </w:r>
    </w:p>
    <w:p w:rsidR="00807570" w:rsidRPr="00584CC6" w:rsidRDefault="00807570" w:rsidP="005B1DF2">
      <w:pPr>
        <w:pStyle w:val="Normaltindrag"/>
      </w:pPr>
      <w:r w:rsidRPr="00584CC6">
        <w:t xml:space="preserve">I december 2004 tog </w:t>
      </w:r>
      <w:r w:rsidR="00A8030A" w:rsidRPr="00584CC6">
        <w:t xml:space="preserve">riksdagen </w:t>
      </w:r>
      <w:r w:rsidRPr="00584CC6">
        <w:t>beslut om att öka anslagen till domstols</w:t>
      </w:r>
      <w:r w:rsidR="00E946ED" w:rsidRPr="00584CC6">
        <w:softHyphen/>
      </w:r>
      <w:r w:rsidRPr="00584CC6">
        <w:t>väsendet med 110 miljoner kronor för år 2005 utöver den sedvanliga löneup</w:t>
      </w:r>
      <w:r w:rsidRPr="00584CC6">
        <w:t>p</w:t>
      </w:r>
      <w:r w:rsidRPr="00584CC6">
        <w:t xml:space="preserve">räkningen. Detta menade </w:t>
      </w:r>
      <w:r w:rsidR="00A8030A" w:rsidRPr="00584CC6">
        <w:t xml:space="preserve">Folkpartiet </w:t>
      </w:r>
      <w:r w:rsidRPr="00584CC6">
        <w:t>liberalerna var en svag satsning, efte</w:t>
      </w:r>
      <w:r w:rsidRPr="00584CC6">
        <w:t>r</w:t>
      </w:r>
      <w:r w:rsidRPr="00584CC6">
        <w:t>som det var tydligt att domstolarna redan var underfina</w:t>
      </w:r>
      <w:r w:rsidR="0086332A" w:rsidRPr="00584CC6">
        <w:t>n</w:t>
      </w:r>
      <w:r w:rsidRPr="00584CC6">
        <w:t>sierade. I reglering</w:t>
      </w:r>
      <w:r w:rsidRPr="00584CC6">
        <w:t>s</w:t>
      </w:r>
      <w:r w:rsidRPr="00584CC6">
        <w:t xml:space="preserve">brevet visade det sig dock att </w:t>
      </w:r>
      <w:r w:rsidR="00A8030A" w:rsidRPr="00584CC6">
        <w:t xml:space="preserve">regeringen </w:t>
      </w:r>
      <w:r w:rsidRPr="00584CC6">
        <w:t xml:space="preserve">minskade det av </w:t>
      </w:r>
      <w:r w:rsidR="00A8030A" w:rsidRPr="00584CC6">
        <w:t xml:space="preserve">riksdagen </w:t>
      </w:r>
      <w:r w:rsidRPr="00584CC6">
        <w:t>beslutade ansl</w:t>
      </w:r>
      <w:r w:rsidRPr="00584CC6">
        <w:t>a</w:t>
      </w:r>
      <w:r w:rsidRPr="00584CC6">
        <w:t xml:space="preserve">get till domstolarna ytterligare, genom att dra in 0,6 </w:t>
      </w:r>
      <w:r w:rsidR="003A60CF" w:rsidRPr="00584CC6">
        <w:t xml:space="preserve">procent </w:t>
      </w:r>
      <w:r w:rsidRPr="00584CC6">
        <w:t>av anslaget, motsvarande 24 miljoner kr</w:t>
      </w:r>
      <w:r w:rsidR="00A8030A" w:rsidRPr="00584CC6">
        <w:t>onor</w:t>
      </w:r>
      <w:r w:rsidRPr="00584CC6">
        <w:t xml:space="preserve">. Samtidigt bestämde </w:t>
      </w:r>
      <w:r w:rsidR="00A8030A" w:rsidRPr="00584CC6">
        <w:t xml:space="preserve">regeringen </w:t>
      </w:r>
      <w:r w:rsidRPr="00584CC6">
        <w:t>att Do</w:t>
      </w:r>
      <w:r w:rsidRPr="00584CC6">
        <w:t>m</w:t>
      </w:r>
      <w:r w:rsidRPr="00584CC6">
        <w:t>stolsverkets anslagskredit, som en tid varit fullt utnyttjad till maximibeloppet</w:t>
      </w:r>
      <w:r w:rsidR="003A60CF" w:rsidRPr="00584CC6">
        <w:t xml:space="preserve"> om 130 miljoner kronor för </w:t>
      </w:r>
      <w:r w:rsidR="00A8030A" w:rsidRPr="00584CC6">
        <w:t xml:space="preserve">att bl.a. </w:t>
      </w:r>
      <w:r w:rsidRPr="00584CC6">
        <w:t>genomföra yttre reformer i organisati</w:t>
      </w:r>
      <w:r w:rsidRPr="00584CC6">
        <w:t>o</w:t>
      </w:r>
      <w:r w:rsidRPr="00584CC6">
        <w:t>nen, ska vara nollad senast vid 2005 års utgång. Den beslutade anslags</w:t>
      </w:r>
      <w:r w:rsidR="00E946ED" w:rsidRPr="00584CC6">
        <w:softHyphen/>
      </w:r>
      <w:r w:rsidRPr="00584CC6">
        <w:t xml:space="preserve">ökningen om 110 miljoner kronor </w:t>
      </w:r>
      <w:r w:rsidR="00A8030A" w:rsidRPr="00584CC6">
        <w:t xml:space="preserve">kommer </w:t>
      </w:r>
      <w:r w:rsidRPr="00584CC6">
        <w:t>att förändras till en anslagsmins</w:t>
      </w:r>
      <w:r w:rsidRPr="00584CC6">
        <w:t>k</w:t>
      </w:r>
      <w:r w:rsidRPr="00584CC6">
        <w:t>ning om 44 miljoner kronor under 2005. Det katastrofala läget mildrades något ur likvid</w:t>
      </w:r>
      <w:r w:rsidRPr="00584CC6">
        <w:t>i</w:t>
      </w:r>
      <w:r w:rsidRPr="00584CC6">
        <w:t>tetsperspektiv genom att 175 miljoner kr</w:t>
      </w:r>
      <w:r w:rsidR="00A8030A" w:rsidRPr="00584CC6">
        <w:t>onor</w:t>
      </w:r>
      <w:r w:rsidRPr="00584CC6">
        <w:t xml:space="preserve"> tillfördes i tilläggsbudgeten för 2005. Detta tillskott avsåg dock kostnader under innev</w:t>
      </w:r>
      <w:r w:rsidRPr="00584CC6">
        <w:t>a</w:t>
      </w:r>
      <w:r w:rsidRPr="00584CC6">
        <w:t>rande år för den kommande reformen för en ny instans</w:t>
      </w:r>
      <w:r w:rsidR="00A8030A" w:rsidRPr="00584CC6">
        <w:t>-</w:t>
      </w:r>
      <w:r w:rsidRPr="00584CC6">
        <w:t xml:space="preserve"> och processordning. På ”reformsidan” måste också tas med den ökade arbetsbelastningen till följd av att beslut om färdtjänst och riksfärdtjänst nu kan överklagas genom fö</w:t>
      </w:r>
      <w:r w:rsidRPr="00584CC6">
        <w:t>r</w:t>
      </w:r>
      <w:r w:rsidRPr="00584CC6">
        <w:t xml:space="preserve">valtningsbesvär. Till detta skall läggas ökade kostnader till följd av försöket med </w:t>
      </w:r>
      <w:r w:rsidR="00A8030A" w:rsidRPr="00584CC6">
        <w:t xml:space="preserve">s.k. </w:t>
      </w:r>
      <w:r w:rsidRPr="00584CC6">
        <w:t>trängselavgi</w:t>
      </w:r>
      <w:r w:rsidRPr="00584CC6">
        <w:t>f</w:t>
      </w:r>
      <w:r w:rsidRPr="00584CC6">
        <w:t>ter i Stockholm.</w:t>
      </w:r>
    </w:p>
    <w:p w:rsidR="00807570" w:rsidRPr="00584CC6" w:rsidRDefault="00A8030A" w:rsidP="00A8030A">
      <w:pPr>
        <w:pStyle w:val="Normaltindrag"/>
      </w:pPr>
      <w:r w:rsidRPr="00584CC6">
        <w:t>Allt</w:t>
      </w:r>
      <w:r w:rsidR="00807570" w:rsidRPr="00584CC6">
        <w:t xml:space="preserve">fler förundras över </w:t>
      </w:r>
      <w:r w:rsidRPr="00584CC6">
        <w:t xml:space="preserve">regeringens </w:t>
      </w:r>
      <w:r w:rsidR="00807570" w:rsidRPr="00584CC6">
        <w:t>behandling av domstolsväsendet</w:t>
      </w:r>
      <w:r w:rsidR="003A60CF" w:rsidRPr="00584CC6">
        <w:t>:</w:t>
      </w:r>
      <w:r w:rsidRPr="00584CC6">
        <w:t xml:space="preserve"> </w:t>
      </w:r>
      <w:r w:rsidR="00807570" w:rsidRPr="00584CC6">
        <w:t>”Det ansträngda arbetsläget hos tingsrätterna har dock påverkat ärendebalanserna och därmed också de totala genomströmningstiderna inom rättskedjan.” (Åklagarmyndighetens årsredovisning 2004)</w:t>
      </w:r>
      <w:r w:rsidR="00A16A8F" w:rsidRPr="00584CC6">
        <w:t>.</w:t>
      </w:r>
      <w:r w:rsidR="00807570" w:rsidRPr="00584CC6">
        <w:t xml:space="preserve"> Från domstolschefshåll har man skrivit upprop och artiklar på temat ”Landets domstolar svälts ut” och ”Rätt</w:t>
      </w:r>
      <w:r w:rsidR="00807570" w:rsidRPr="00584CC6">
        <w:t>s</w:t>
      </w:r>
      <w:r w:rsidR="00807570" w:rsidRPr="00584CC6">
        <w:t xml:space="preserve">säkerheten hotad”. </w:t>
      </w:r>
    </w:p>
    <w:p w:rsidR="00807570" w:rsidRPr="00584CC6" w:rsidRDefault="00807570" w:rsidP="00A8030A">
      <w:pPr>
        <w:pStyle w:val="Normaltindrag"/>
      </w:pPr>
      <w:r w:rsidRPr="00584CC6">
        <w:t>Satsningar på poliser och åklagare blir meningslösa om inte resurser sa</w:t>
      </w:r>
      <w:r w:rsidRPr="00584CC6">
        <w:t>m</w:t>
      </w:r>
      <w:r w:rsidRPr="00584CC6">
        <w:t>tidigt avsätts för att de färdigutredda brotten skall kunna avgöras inom rimlig tid i domstol. Regeringen har under en längre tid negligerat behovet av utök</w:t>
      </w:r>
      <w:r w:rsidRPr="00584CC6">
        <w:t>a</w:t>
      </w:r>
      <w:r w:rsidRPr="00584CC6">
        <w:t xml:space="preserve">de resurser till följd av en kraftigt ökad måltillströmning både till tings- och länsrätter. Det har blivit medborgarna som kommit i kläm när domstolarnas handläggningstider ökat. Viktiga utbildnings- och specialiseringsinsatser har lagts på is. Det pågående arbetet med att reformera tingsrättsorganisationen – med omfattande sammanläggningar av tingsrätter runt om i landet – sker utan en heltäckande analys av såväl ekonomiska konsekvenser som följderna för medborgarna gällande </w:t>
      </w:r>
      <w:r w:rsidR="00A8030A" w:rsidRPr="00584CC6">
        <w:t xml:space="preserve">bl.a. </w:t>
      </w:r>
      <w:r w:rsidRPr="00584CC6">
        <w:t xml:space="preserve">tillgänglighet. </w:t>
      </w:r>
    </w:p>
    <w:p w:rsidR="00807570" w:rsidRPr="00584CC6" w:rsidRDefault="00807570" w:rsidP="00A8030A">
      <w:pPr>
        <w:pStyle w:val="Normaltindrag"/>
      </w:pPr>
      <w:r w:rsidRPr="00584CC6">
        <w:t xml:space="preserve">Folkpartiet liberalerna anser att </w:t>
      </w:r>
      <w:r w:rsidR="00A8030A" w:rsidRPr="00584CC6">
        <w:t xml:space="preserve">regeringens </w:t>
      </w:r>
      <w:r w:rsidRPr="00584CC6">
        <w:t>politik inte medför en öns</w:t>
      </w:r>
      <w:r w:rsidRPr="00584CC6">
        <w:t>k</w:t>
      </w:r>
      <w:r w:rsidRPr="00584CC6">
        <w:t>värd utveckling av domstolsväsendet. Vårt föreslagna anslag bör kunna räcka till fler domare samt till utbildningsåtgärder och fortsatt översyn av domstol</w:t>
      </w:r>
      <w:r w:rsidRPr="00584CC6">
        <w:t>s</w:t>
      </w:r>
      <w:r w:rsidRPr="00584CC6">
        <w:t xml:space="preserve">lokalerna ur säkerhetsaspekter samt ur vittnes- och målsägandeaspekter. Vi välkomnar ökningen av antalet notarier i domstolarna, men menar att </w:t>
      </w:r>
      <w:r w:rsidR="00A8030A" w:rsidRPr="00584CC6">
        <w:t>man</w:t>
      </w:r>
      <w:r w:rsidRPr="00584CC6">
        <w:t xml:space="preserve"> bör överväga att permanenta</w:t>
      </w:r>
      <w:r w:rsidR="00A8030A" w:rsidRPr="00584CC6">
        <w:t xml:space="preserve"> dessa tjänster </w:t>
      </w:r>
      <w:r w:rsidRPr="00584CC6">
        <w:t>och inte se</w:t>
      </w:r>
      <w:r w:rsidR="00A8030A" w:rsidRPr="00584CC6">
        <w:t xml:space="preserve"> dem</w:t>
      </w:r>
      <w:r w:rsidRPr="00584CC6">
        <w:t xml:space="preserve"> som en arbetsmar</w:t>
      </w:r>
      <w:r w:rsidRPr="00584CC6">
        <w:t>k</w:t>
      </w:r>
      <w:r w:rsidRPr="00584CC6">
        <w:t>nadspolitisk åtgärd</w:t>
      </w:r>
      <w:r w:rsidR="00A8030A" w:rsidRPr="00584CC6">
        <w:t>.</w:t>
      </w:r>
    </w:p>
    <w:p w:rsidR="00807570" w:rsidRPr="00584CC6" w:rsidRDefault="00807570" w:rsidP="00F57C1F">
      <w:pPr>
        <w:pStyle w:val="Rubrik2"/>
      </w:pPr>
      <w:bookmarkStart w:id="14" w:name="_Toc116192383"/>
      <w:r w:rsidRPr="00584CC6">
        <w:t>Kriminalvården</w:t>
      </w:r>
      <w:bookmarkEnd w:id="14"/>
    </w:p>
    <w:p w:rsidR="00807570" w:rsidRPr="00584CC6" w:rsidRDefault="00807570" w:rsidP="00A16A8F">
      <w:pPr>
        <w:pStyle w:val="Normaltindrag"/>
        <w:spacing w:before="125"/>
        <w:ind w:firstLine="0"/>
      </w:pPr>
      <w:r w:rsidRPr="00584CC6">
        <w:t xml:space="preserve">Folkpartiet liberalerna anser att kriminalvården har behov av minst ytterligare 800 miljoner kronor för år 2006 jämfört med </w:t>
      </w:r>
      <w:r w:rsidR="00A8030A" w:rsidRPr="00584CC6">
        <w:t xml:space="preserve">regeringens </w:t>
      </w:r>
      <w:r w:rsidRPr="00584CC6">
        <w:t>ramförstärkning av anslagen för 2005. Vi anslår därför 150 miljoner kronor mer till kriminalvå</w:t>
      </w:r>
      <w:r w:rsidRPr="00584CC6">
        <w:t>r</w:t>
      </w:r>
      <w:r w:rsidRPr="00584CC6">
        <w:t xml:space="preserve">den för år 2006 jämfört med </w:t>
      </w:r>
      <w:r w:rsidR="00A8030A" w:rsidRPr="00584CC6">
        <w:t>regeringen</w:t>
      </w:r>
      <w:r w:rsidRPr="00584CC6">
        <w:t>.</w:t>
      </w:r>
    </w:p>
    <w:p w:rsidR="00807570" w:rsidRPr="00584CC6" w:rsidRDefault="00807570" w:rsidP="005B1DF2">
      <w:pPr>
        <w:pStyle w:val="Normaltindrag"/>
      </w:pPr>
      <w:r w:rsidRPr="00584CC6">
        <w:t xml:space="preserve">Den svenska kriminalvården står inför stora utmaningar. På två år har det </w:t>
      </w:r>
      <w:r w:rsidR="00A8030A" w:rsidRPr="00584CC6">
        <w:t xml:space="preserve">s.k. </w:t>
      </w:r>
      <w:r w:rsidRPr="00584CC6">
        <w:t>fångtalet (det totala antalet frihetsberövad</w:t>
      </w:r>
      <w:r w:rsidR="00A8030A" w:rsidRPr="00584CC6">
        <w:t>e</w:t>
      </w:r>
      <w:r w:rsidRPr="00584CC6">
        <w:t xml:space="preserve"> per 100 000 invånare) växt från 73 (2002) till 82 (2004). Den synbara nedgången i beläggningsläget 2004 är till stor del en s</w:t>
      </w:r>
      <w:r w:rsidR="0042225C" w:rsidRPr="00584CC6">
        <w:t>c</w:t>
      </w:r>
      <w:r w:rsidRPr="00584CC6">
        <w:t>himär till</w:t>
      </w:r>
      <w:r w:rsidR="00B67271" w:rsidRPr="00584CC6">
        <w:t xml:space="preserve"> </w:t>
      </w:r>
      <w:r w:rsidRPr="00584CC6">
        <w:t xml:space="preserve">följd av felaktigt tillgodoräknande av </w:t>
      </w:r>
      <w:r w:rsidR="00A8030A" w:rsidRPr="00584CC6">
        <w:t xml:space="preserve">s.k. </w:t>
      </w:r>
      <w:r w:rsidRPr="00584CC6">
        <w:t>bere</w:t>
      </w:r>
      <w:r w:rsidRPr="00584CC6">
        <w:t>d</w:t>
      </w:r>
      <w:r w:rsidRPr="00584CC6">
        <w:t>skap</w:t>
      </w:r>
      <w:r w:rsidRPr="00584CC6">
        <w:t>s</w:t>
      </w:r>
      <w:r w:rsidRPr="00584CC6">
        <w:t xml:space="preserve">platser. </w:t>
      </w:r>
    </w:p>
    <w:p w:rsidR="00807570" w:rsidRPr="00584CC6" w:rsidRDefault="00A8030A" w:rsidP="005B1DF2">
      <w:pPr>
        <w:pStyle w:val="Normaltindrag"/>
      </w:pPr>
      <w:r w:rsidRPr="00584CC6">
        <w:t xml:space="preserve">Statskontoret har i rapporten </w:t>
      </w:r>
      <w:r w:rsidR="00807570" w:rsidRPr="00584CC6">
        <w:t xml:space="preserve">Effektivitetsgranskning av kriminalvården (2003:20) redovisat omfattande problembilder samt ett betydande behov av reformering av den svenska kriminalvården. Den av </w:t>
      </w:r>
      <w:r w:rsidRPr="00584CC6">
        <w:t xml:space="preserve">regeringen </w:t>
      </w:r>
      <w:r w:rsidR="00807570" w:rsidRPr="00584CC6">
        <w:t>fö</w:t>
      </w:r>
      <w:r w:rsidRPr="00584CC6">
        <w:t xml:space="preserve">reslagna förändringen till en </w:t>
      </w:r>
      <w:r w:rsidR="00807570" w:rsidRPr="00584CC6">
        <w:t xml:space="preserve">myndighet löser endast delvis strukturproblemet. </w:t>
      </w:r>
    </w:p>
    <w:p w:rsidR="00807570" w:rsidRPr="00584CC6" w:rsidRDefault="00807570" w:rsidP="005B1DF2">
      <w:pPr>
        <w:pStyle w:val="Normaltindrag"/>
      </w:pPr>
      <w:r w:rsidRPr="00584CC6">
        <w:t>Platsbristen och dubbelbeläggningen vid häkten och anstalter är fortsatt oacceptabel. Bristen på platser med tydlig psykiatriprofil är särskilt uppenbar vid sidan av högsäkerhetsplatser</w:t>
      </w:r>
      <w:r w:rsidR="00A8030A" w:rsidRPr="00584CC6">
        <w:t>.</w:t>
      </w:r>
      <w:r w:rsidRPr="00584CC6">
        <w:t xml:space="preserve"> Säkerhetssituationen är på vissa anstalter fortfarande otillfredsställande. Möjligheterna till arbete, utbildning eller b</w:t>
      </w:r>
      <w:r w:rsidRPr="00584CC6">
        <w:t>e</w:t>
      </w:r>
      <w:r w:rsidRPr="00584CC6">
        <w:t>handling fortsätter att minska för de intagna och den outnyttjade tiden fortsä</w:t>
      </w:r>
      <w:r w:rsidRPr="00584CC6">
        <w:t>t</w:t>
      </w:r>
      <w:r w:rsidRPr="00584CC6">
        <w:t xml:space="preserve">ter att öka. </w:t>
      </w:r>
    </w:p>
    <w:p w:rsidR="00807570" w:rsidRPr="00584CC6" w:rsidRDefault="00807570" w:rsidP="005B1DF2">
      <w:pPr>
        <w:pStyle w:val="Normaltindrag"/>
      </w:pPr>
      <w:r w:rsidRPr="00584CC6">
        <w:t>Det ökade anslag som Folkpartiet liberalerna anvisar skall framför allt i</w:t>
      </w:r>
      <w:r w:rsidRPr="00584CC6">
        <w:t>n</w:t>
      </w:r>
      <w:r w:rsidRPr="00584CC6">
        <w:t xml:space="preserve">riktas på förbättrad säkerhet, utökad behandlingsverksamhet – </w:t>
      </w:r>
      <w:r w:rsidR="00A8030A" w:rsidRPr="00584CC6">
        <w:t xml:space="preserve">bl.a. </w:t>
      </w:r>
      <w:r w:rsidRPr="00584CC6">
        <w:t>av män som är dömda för misshandel av kvinnor i nära relationer, för rattfylleridö</w:t>
      </w:r>
      <w:r w:rsidRPr="00584CC6">
        <w:t>m</w:t>
      </w:r>
      <w:r w:rsidRPr="00584CC6">
        <w:t>da och för narkotikamissbrukare – samt till bekämpande av inflödet av nark</w:t>
      </w:r>
      <w:r w:rsidRPr="00584CC6">
        <w:t>o</w:t>
      </w:r>
      <w:r w:rsidRPr="00584CC6">
        <w:t>tika på anstalterna. Fler narkotikahundar behövs. Personalstyrkan inom kr</w:t>
      </w:r>
      <w:r w:rsidRPr="00584CC6">
        <w:t>i</w:t>
      </w:r>
      <w:r w:rsidRPr="00584CC6">
        <w:t>minalvå</w:t>
      </w:r>
      <w:r w:rsidRPr="00584CC6">
        <w:t>r</w:t>
      </w:r>
      <w:r w:rsidRPr="00584CC6">
        <w:t>den måste få ökade utbildningsinsatser. Insatserna mot vapen och mobiltel</w:t>
      </w:r>
      <w:r w:rsidRPr="00584CC6">
        <w:t>e</w:t>
      </w:r>
      <w:r w:rsidRPr="00584CC6">
        <w:t>foner på anstalterna måste intensifieras. Utvecklingen mot ökad självförvaltning bör påskyndas och förberedelserna inför frigivningen förbät</w:t>
      </w:r>
      <w:r w:rsidRPr="00584CC6">
        <w:t>t</w:t>
      </w:r>
      <w:r w:rsidRPr="00584CC6">
        <w:t>ras.</w:t>
      </w:r>
    </w:p>
    <w:p w:rsidR="00807570" w:rsidRPr="00584CC6" w:rsidRDefault="00807570" w:rsidP="00B67271">
      <w:pPr>
        <w:pStyle w:val="Rubrik2"/>
      </w:pPr>
      <w:bookmarkStart w:id="15" w:name="_Toc116192384"/>
      <w:r w:rsidRPr="00584CC6">
        <w:t>Rättshjälpskostnader</w:t>
      </w:r>
      <w:bookmarkEnd w:id="15"/>
    </w:p>
    <w:p w:rsidR="00807570" w:rsidRPr="00584CC6" w:rsidRDefault="00807570" w:rsidP="005B1DF2">
      <w:r w:rsidRPr="00584CC6">
        <w:t xml:space="preserve">Folkpartiet liberalerna anser att möjligheten att få rättshjälp måste utökas och att anslaget för detta ändamål bör ökas. Vi anslår därför 30 miljoner kronor mer till rättshjälpskostnader för år 2006 jämfört med </w:t>
      </w:r>
      <w:r w:rsidR="00A8030A" w:rsidRPr="00584CC6">
        <w:t>regeringen</w:t>
      </w:r>
      <w:r w:rsidRPr="00584CC6">
        <w:t>.</w:t>
      </w:r>
    </w:p>
    <w:p w:rsidR="00807570" w:rsidRPr="00584CC6" w:rsidRDefault="00807570" w:rsidP="00A8030A">
      <w:pPr>
        <w:pStyle w:val="Normaltindrag"/>
      </w:pPr>
      <w:r w:rsidRPr="00584CC6">
        <w:t>Alla medborgare måste känna att det finns en verklig möjlighet att få sin sak prövad i domstol vid en tvist. Den svenska rättshjälpslagstiftningen inn</w:t>
      </w:r>
      <w:r w:rsidRPr="00584CC6">
        <w:t>e</w:t>
      </w:r>
      <w:r w:rsidRPr="00584CC6">
        <w:t>bär sedan slutet av</w:t>
      </w:r>
      <w:r w:rsidR="00436D3D" w:rsidRPr="00584CC6">
        <w:t xml:space="preserve"> </w:t>
      </w:r>
      <w:r w:rsidRPr="00584CC6">
        <w:t>1990-talet i korthet att den som har en rättsskyddsförsä</w:t>
      </w:r>
      <w:r w:rsidRPr="00584CC6">
        <w:t>k</w:t>
      </w:r>
      <w:r w:rsidRPr="00584CC6">
        <w:t>ring som täcker den aktuella angelägenheten inte ska få rättshjälp. Inte heller den som, med hänsyn till sitt försäkringsskydd i övrigt, sina ekonomiska eller personliga förhållanden, borde haft en rättsskyddsförsäkring, får i</w:t>
      </w:r>
      <w:r w:rsidR="00A8030A" w:rsidRPr="00584CC6">
        <w:t xml:space="preserve"> </w:t>
      </w:r>
      <w:r w:rsidRPr="00584CC6">
        <w:t xml:space="preserve">dag tillgång till rättshjälp. </w:t>
      </w:r>
    </w:p>
    <w:p w:rsidR="00807570" w:rsidRPr="00584CC6" w:rsidRDefault="00807570" w:rsidP="00436D3D">
      <w:pPr>
        <w:pStyle w:val="Normaltindrag"/>
      </w:pPr>
      <w:r w:rsidRPr="00584CC6">
        <w:t xml:space="preserve">Vi ser med oro att </w:t>
      </w:r>
      <w:r w:rsidR="00A8030A" w:rsidRPr="00584CC6">
        <w:t xml:space="preserve">regeringen </w:t>
      </w:r>
      <w:r w:rsidRPr="00584CC6">
        <w:t>med sina direktiv till översynen av lagen om målsägandebiträde riskerar att minska tillgången till ett kvalificerat brotts</w:t>
      </w:r>
      <w:r w:rsidR="00E946ED" w:rsidRPr="00584CC6">
        <w:softHyphen/>
      </w:r>
      <w:r w:rsidRPr="00584CC6">
        <w:t>o</w:t>
      </w:r>
      <w:r w:rsidRPr="00584CC6">
        <w:t>f</w:t>
      </w:r>
      <w:r w:rsidRPr="00584CC6">
        <w:t>ferstöd.</w:t>
      </w:r>
    </w:p>
    <w:p w:rsidR="00807570" w:rsidRPr="00584CC6" w:rsidRDefault="00807570" w:rsidP="00A8030A">
      <w:pPr>
        <w:pStyle w:val="Normaltindrag"/>
      </w:pPr>
      <w:r w:rsidRPr="00584CC6">
        <w:t>Folkpartiet liberalerna menar dock att det aldrig får vara en ekonomisk fråga att kunna hävda sin rätt i domstol. Särskilt i de s.k. familjemålen har effekterna av den försämrade eller uteblivna rättshjälpen påverkat utvecklin</w:t>
      </w:r>
      <w:r w:rsidRPr="00584CC6">
        <w:t>g</w:t>
      </w:r>
      <w:r w:rsidRPr="00584CC6">
        <w:t>en negativt. Föräldrar kan i dag inte få rättshjälp utan att föra en tvist till do</w:t>
      </w:r>
      <w:r w:rsidRPr="00584CC6">
        <w:t>m</w:t>
      </w:r>
      <w:r w:rsidRPr="00584CC6">
        <w:t>stol. Härigenom uppmuntras parter att driva vårdnadsprocesser i domstol i stället för att hitta samförståndslösningar. Vidare är det ett praktiskt betyda</w:t>
      </w:r>
      <w:r w:rsidRPr="00584CC6">
        <w:t>n</w:t>
      </w:r>
      <w:r w:rsidRPr="00584CC6">
        <w:t>de problem att rättsskyddet i de vanligaste hem- och bilförsäkringar</w:t>
      </w:r>
      <w:r w:rsidR="00A8030A" w:rsidRPr="00584CC6">
        <w:t>na</w:t>
      </w:r>
      <w:r w:rsidRPr="00584CC6">
        <w:t xml:space="preserve"> har sådana begränsningar att det är svårt att vid en tvist om </w:t>
      </w:r>
      <w:r w:rsidR="00A8030A" w:rsidRPr="00584CC6">
        <w:t xml:space="preserve">t.ex. </w:t>
      </w:r>
      <w:r w:rsidRPr="00584CC6">
        <w:t>en trafikskada kunna driva målet ända till en eventuell hovrättsförhandling. Rättshjälpens anslagsram måste därför till att börja med förstärkas med de av Folkpartiet liberalerna anvisade medlen.</w:t>
      </w:r>
    </w:p>
    <w:p w:rsidR="006A7B47" w:rsidRPr="00584CC6" w:rsidRDefault="009368B9" w:rsidP="003F4764">
      <w:pPr>
        <w:rPr>
          <w:b/>
        </w:rPr>
      </w:pPr>
      <w:r w:rsidRPr="00584CC6">
        <w:rPr>
          <w:b/>
        </w:rPr>
        <w:t>Folkpartiets a</w:t>
      </w:r>
      <w:r w:rsidR="00A16A8F" w:rsidRPr="00584CC6">
        <w:rPr>
          <w:b/>
        </w:rPr>
        <w:t>nslagsförslag för 2007 och 2008</w:t>
      </w:r>
    </w:p>
    <w:tbl>
      <w:tblPr>
        <w:tblW w:w="0" w:type="auto"/>
        <w:tblLayout w:type="fixed"/>
        <w:tblCellMar>
          <w:left w:w="70" w:type="dxa"/>
          <w:right w:w="70" w:type="dxa"/>
        </w:tblCellMar>
        <w:tblLook w:val="0000" w:firstRow="0" w:lastRow="0" w:firstColumn="0" w:lastColumn="0" w:noHBand="0" w:noVBand="0"/>
      </w:tblPr>
      <w:tblGrid>
        <w:gridCol w:w="2012"/>
        <w:gridCol w:w="1021"/>
        <w:gridCol w:w="1021"/>
        <w:gridCol w:w="1021"/>
        <w:gridCol w:w="1021"/>
      </w:tblGrid>
      <w:tr w:rsidR="00C45F8F" w:rsidRPr="00584CC6">
        <w:tblPrEx>
          <w:tblCellMar>
            <w:top w:w="0" w:type="dxa"/>
            <w:bottom w:w="0" w:type="dxa"/>
          </w:tblCellMar>
        </w:tblPrEx>
        <w:tc>
          <w:tcPr>
            <w:tcW w:w="2012" w:type="dxa"/>
            <w:tcBorders>
              <w:top w:val="single" w:sz="4" w:space="0" w:color="auto"/>
              <w:bottom w:val="single" w:sz="4" w:space="0" w:color="auto"/>
            </w:tcBorders>
          </w:tcPr>
          <w:p w:rsidR="00C45F8F" w:rsidRPr="00584CC6" w:rsidRDefault="00C45F8F" w:rsidP="00A8030A">
            <w:pPr>
              <w:spacing w:before="0" w:line="200" w:lineRule="exact"/>
              <w:rPr>
                <w:b/>
                <w:sz w:val="16"/>
                <w:szCs w:val="16"/>
              </w:rPr>
            </w:pPr>
            <w:r w:rsidRPr="00584CC6">
              <w:rPr>
                <w:b/>
                <w:sz w:val="16"/>
                <w:szCs w:val="16"/>
              </w:rPr>
              <w:t>Anslag (tusental kr)</w:t>
            </w:r>
          </w:p>
        </w:tc>
        <w:tc>
          <w:tcPr>
            <w:tcW w:w="1021" w:type="dxa"/>
            <w:tcBorders>
              <w:top w:val="single" w:sz="4" w:space="0" w:color="auto"/>
              <w:bottom w:val="single" w:sz="4" w:space="0" w:color="auto"/>
            </w:tcBorders>
          </w:tcPr>
          <w:p w:rsidR="005B1DF2" w:rsidRPr="00584CC6" w:rsidRDefault="00C45F8F" w:rsidP="00C45F8F">
            <w:pPr>
              <w:tabs>
                <w:tab w:val="left" w:pos="1044"/>
              </w:tabs>
              <w:spacing w:before="0" w:line="200" w:lineRule="exact"/>
              <w:rPr>
                <w:b/>
                <w:sz w:val="16"/>
                <w:szCs w:val="16"/>
              </w:rPr>
            </w:pPr>
            <w:r w:rsidRPr="00584CC6">
              <w:rPr>
                <w:b/>
                <w:sz w:val="16"/>
                <w:szCs w:val="16"/>
              </w:rPr>
              <w:t xml:space="preserve">Regeringens anslag </w:t>
            </w:r>
          </w:p>
          <w:p w:rsidR="00C45F8F" w:rsidRPr="00584CC6" w:rsidRDefault="00C45F8F" w:rsidP="00C45F8F">
            <w:pPr>
              <w:tabs>
                <w:tab w:val="left" w:pos="1044"/>
              </w:tabs>
              <w:spacing w:before="0" w:line="200" w:lineRule="exact"/>
              <w:rPr>
                <w:b/>
                <w:sz w:val="16"/>
                <w:szCs w:val="16"/>
              </w:rPr>
            </w:pPr>
            <w:r w:rsidRPr="00584CC6">
              <w:rPr>
                <w:b/>
                <w:sz w:val="16"/>
                <w:szCs w:val="16"/>
              </w:rPr>
              <w:t xml:space="preserve">2007 </w:t>
            </w:r>
          </w:p>
        </w:tc>
        <w:tc>
          <w:tcPr>
            <w:tcW w:w="1021" w:type="dxa"/>
            <w:tcBorders>
              <w:top w:val="single" w:sz="4" w:space="0" w:color="auto"/>
              <w:bottom w:val="single" w:sz="4" w:space="0" w:color="auto"/>
            </w:tcBorders>
          </w:tcPr>
          <w:p w:rsidR="005B1DF2" w:rsidRPr="00584CC6" w:rsidRDefault="00C45F8F" w:rsidP="005B1DF2">
            <w:pPr>
              <w:tabs>
                <w:tab w:val="left" w:pos="1044"/>
              </w:tabs>
              <w:spacing w:before="0" w:line="200" w:lineRule="exact"/>
              <w:rPr>
                <w:b/>
                <w:sz w:val="16"/>
                <w:szCs w:val="16"/>
              </w:rPr>
            </w:pPr>
            <w:r w:rsidRPr="00584CC6">
              <w:rPr>
                <w:b/>
                <w:sz w:val="16"/>
                <w:szCs w:val="16"/>
              </w:rPr>
              <w:t>Förändr.</w:t>
            </w:r>
            <w:r w:rsidR="005B1DF2" w:rsidRPr="00584CC6">
              <w:rPr>
                <w:b/>
                <w:sz w:val="16"/>
                <w:szCs w:val="16"/>
              </w:rPr>
              <w:t> </w:t>
            </w:r>
            <w:r w:rsidR="00A16A8F" w:rsidRPr="00584CC6">
              <w:rPr>
                <w:b/>
                <w:sz w:val="16"/>
                <w:szCs w:val="16"/>
              </w:rPr>
              <w:t>f</w:t>
            </w:r>
            <w:r w:rsidRPr="00584CC6">
              <w:rPr>
                <w:b/>
                <w:sz w:val="16"/>
                <w:szCs w:val="16"/>
              </w:rPr>
              <w:t xml:space="preserve">p </w:t>
            </w:r>
          </w:p>
          <w:p w:rsidR="005B1DF2" w:rsidRPr="00584CC6" w:rsidRDefault="005B1DF2" w:rsidP="005B1DF2">
            <w:pPr>
              <w:tabs>
                <w:tab w:val="left" w:pos="1044"/>
              </w:tabs>
              <w:spacing w:before="0" w:line="200" w:lineRule="exact"/>
              <w:rPr>
                <w:b/>
                <w:sz w:val="16"/>
                <w:szCs w:val="16"/>
              </w:rPr>
            </w:pPr>
          </w:p>
          <w:p w:rsidR="00C45F8F" w:rsidRPr="00584CC6" w:rsidRDefault="00C45F8F" w:rsidP="005B1DF2">
            <w:pPr>
              <w:tabs>
                <w:tab w:val="left" w:pos="1044"/>
              </w:tabs>
              <w:spacing w:before="0" w:line="200" w:lineRule="exact"/>
              <w:rPr>
                <w:b/>
                <w:sz w:val="16"/>
                <w:szCs w:val="16"/>
              </w:rPr>
            </w:pPr>
            <w:r w:rsidRPr="00584CC6">
              <w:rPr>
                <w:b/>
                <w:sz w:val="16"/>
                <w:szCs w:val="16"/>
              </w:rPr>
              <w:t>2007</w:t>
            </w:r>
          </w:p>
        </w:tc>
        <w:tc>
          <w:tcPr>
            <w:tcW w:w="1021" w:type="dxa"/>
            <w:tcBorders>
              <w:top w:val="single" w:sz="4" w:space="0" w:color="auto"/>
              <w:bottom w:val="single" w:sz="4" w:space="0" w:color="auto"/>
            </w:tcBorders>
          </w:tcPr>
          <w:p w:rsidR="005B1DF2" w:rsidRPr="00584CC6" w:rsidRDefault="00C45F8F" w:rsidP="00A8030A">
            <w:pPr>
              <w:spacing w:before="0" w:line="200" w:lineRule="exact"/>
              <w:rPr>
                <w:b/>
                <w:sz w:val="16"/>
                <w:szCs w:val="16"/>
              </w:rPr>
            </w:pPr>
            <w:r w:rsidRPr="00584CC6">
              <w:rPr>
                <w:b/>
                <w:sz w:val="16"/>
                <w:szCs w:val="16"/>
              </w:rPr>
              <w:t xml:space="preserve">Regeringens anslag </w:t>
            </w:r>
          </w:p>
          <w:p w:rsidR="00C45F8F" w:rsidRPr="00584CC6" w:rsidRDefault="00C45F8F" w:rsidP="00A8030A">
            <w:pPr>
              <w:spacing w:before="0" w:line="200" w:lineRule="exact"/>
              <w:rPr>
                <w:b/>
                <w:sz w:val="16"/>
                <w:szCs w:val="16"/>
              </w:rPr>
            </w:pPr>
            <w:r w:rsidRPr="00584CC6">
              <w:rPr>
                <w:b/>
                <w:sz w:val="16"/>
                <w:szCs w:val="16"/>
              </w:rPr>
              <w:t xml:space="preserve">2008 </w:t>
            </w:r>
          </w:p>
        </w:tc>
        <w:tc>
          <w:tcPr>
            <w:tcW w:w="1021" w:type="dxa"/>
            <w:tcBorders>
              <w:top w:val="single" w:sz="4" w:space="0" w:color="auto"/>
              <w:bottom w:val="single" w:sz="4" w:space="0" w:color="auto"/>
            </w:tcBorders>
          </w:tcPr>
          <w:p w:rsidR="005B1DF2" w:rsidRPr="00584CC6" w:rsidRDefault="00C45F8F" w:rsidP="005B1DF2">
            <w:pPr>
              <w:tabs>
                <w:tab w:val="left" w:pos="1044"/>
              </w:tabs>
              <w:spacing w:before="0" w:line="200" w:lineRule="exact"/>
              <w:rPr>
                <w:b/>
                <w:sz w:val="16"/>
                <w:szCs w:val="16"/>
              </w:rPr>
            </w:pPr>
            <w:r w:rsidRPr="00584CC6">
              <w:rPr>
                <w:b/>
                <w:sz w:val="16"/>
                <w:szCs w:val="16"/>
              </w:rPr>
              <w:t>Förändr.</w:t>
            </w:r>
            <w:r w:rsidR="005B1DF2" w:rsidRPr="00584CC6">
              <w:rPr>
                <w:b/>
                <w:sz w:val="16"/>
                <w:szCs w:val="16"/>
              </w:rPr>
              <w:t> </w:t>
            </w:r>
            <w:r w:rsidR="00A16A8F" w:rsidRPr="00584CC6">
              <w:rPr>
                <w:b/>
                <w:sz w:val="16"/>
                <w:szCs w:val="16"/>
              </w:rPr>
              <w:t>f</w:t>
            </w:r>
            <w:r w:rsidRPr="00584CC6">
              <w:rPr>
                <w:b/>
                <w:sz w:val="16"/>
                <w:szCs w:val="16"/>
              </w:rPr>
              <w:t xml:space="preserve">p </w:t>
            </w:r>
          </w:p>
          <w:p w:rsidR="005B1DF2" w:rsidRPr="00584CC6" w:rsidRDefault="005B1DF2" w:rsidP="005B1DF2">
            <w:pPr>
              <w:tabs>
                <w:tab w:val="left" w:pos="1044"/>
              </w:tabs>
              <w:spacing w:before="0" w:line="200" w:lineRule="exact"/>
              <w:rPr>
                <w:b/>
                <w:sz w:val="16"/>
                <w:szCs w:val="16"/>
              </w:rPr>
            </w:pPr>
          </w:p>
          <w:p w:rsidR="00C45F8F" w:rsidRPr="00584CC6" w:rsidRDefault="00C45F8F" w:rsidP="005B1DF2">
            <w:pPr>
              <w:tabs>
                <w:tab w:val="left" w:pos="1044"/>
              </w:tabs>
              <w:spacing w:before="0" w:line="200" w:lineRule="exact"/>
              <w:rPr>
                <w:b/>
                <w:sz w:val="16"/>
                <w:szCs w:val="16"/>
              </w:rPr>
            </w:pPr>
            <w:r w:rsidRPr="00584CC6">
              <w:rPr>
                <w:b/>
                <w:sz w:val="16"/>
                <w:szCs w:val="16"/>
              </w:rPr>
              <w:t>2008</w:t>
            </w:r>
          </w:p>
        </w:tc>
      </w:tr>
      <w:tr w:rsidR="00C45F8F" w:rsidRPr="00584CC6">
        <w:tblPrEx>
          <w:tblCellMar>
            <w:top w:w="0" w:type="dxa"/>
            <w:bottom w:w="0" w:type="dxa"/>
          </w:tblCellMar>
        </w:tblPrEx>
        <w:tc>
          <w:tcPr>
            <w:tcW w:w="2012" w:type="dxa"/>
            <w:tcBorders>
              <w:top w:val="single" w:sz="4" w:space="0" w:color="auto"/>
            </w:tcBorders>
          </w:tcPr>
          <w:p w:rsidR="00C45F8F" w:rsidRPr="00584CC6" w:rsidRDefault="00C45F8F" w:rsidP="00E946ED">
            <w:pPr>
              <w:spacing w:before="60" w:line="200" w:lineRule="exact"/>
              <w:rPr>
                <w:sz w:val="16"/>
                <w:szCs w:val="16"/>
              </w:rPr>
            </w:pPr>
            <w:r w:rsidRPr="00584CC6">
              <w:rPr>
                <w:sz w:val="16"/>
                <w:szCs w:val="16"/>
              </w:rPr>
              <w:t>4:1 Polisorganisationen</w:t>
            </w:r>
          </w:p>
        </w:tc>
        <w:tc>
          <w:tcPr>
            <w:tcW w:w="1021" w:type="dxa"/>
            <w:tcBorders>
              <w:top w:val="single" w:sz="4" w:space="0" w:color="auto"/>
            </w:tcBorders>
          </w:tcPr>
          <w:p w:rsidR="00C45F8F" w:rsidRPr="00584CC6" w:rsidRDefault="00C45F8F" w:rsidP="005B1DF2">
            <w:pPr>
              <w:tabs>
                <w:tab w:val="left" w:pos="1044"/>
              </w:tabs>
              <w:spacing w:before="60" w:line="200" w:lineRule="exact"/>
              <w:ind w:right="113"/>
              <w:jc w:val="right"/>
              <w:rPr>
                <w:sz w:val="16"/>
                <w:szCs w:val="16"/>
              </w:rPr>
            </w:pPr>
            <w:r w:rsidRPr="00584CC6">
              <w:rPr>
                <w:sz w:val="16"/>
                <w:szCs w:val="16"/>
              </w:rPr>
              <w:t>16 669 600</w:t>
            </w:r>
          </w:p>
        </w:tc>
        <w:tc>
          <w:tcPr>
            <w:tcW w:w="1021" w:type="dxa"/>
            <w:tcBorders>
              <w:top w:val="single" w:sz="4" w:space="0" w:color="auto"/>
            </w:tcBorders>
          </w:tcPr>
          <w:p w:rsidR="00C45F8F" w:rsidRPr="00584CC6" w:rsidRDefault="00C45F8F" w:rsidP="005B1DF2">
            <w:pPr>
              <w:spacing w:before="60" w:line="200" w:lineRule="exact"/>
              <w:ind w:right="113"/>
              <w:jc w:val="right"/>
              <w:rPr>
                <w:sz w:val="16"/>
                <w:szCs w:val="16"/>
              </w:rPr>
            </w:pPr>
            <w:r w:rsidRPr="00584CC6">
              <w:rPr>
                <w:sz w:val="16"/>
                <w:szCs w:val="16"/>
              </w:rPr>
              <w:t>+750 000</w:t>
            </w:r>
          </w:p>
        </w:tc>
        <w:tc>
          <w:tcPr>
            <w:tcW w:w="1021" w:type="dxa"/>
            <w:tcBorders>
              <w:top w:val="single" w:sz="4" w:space="0" w:color="auto"/>
            </w:tcBorders>
          </w:tcPr>
          <w:p w:rsidR="00C45F8F" w:rsidRPr="00584CC6" w:rsidRDefault="00C45F8F" w:rsidP="005B1DF2">
            <w:pPr>
              <w:spacing w:before="60" w:line="200" w:lineRule="exact"/>
              <w:ind w:right="113"/>
              <w:jc w:val="right"/>
              <w:rPr>
                <w:sz w:val="16"/>
                <w:szCs w:val="16"/>
              </w:rPr>
            </w:pPr>
            <w:r w:rsidRPr="00584CC6">
              <w:rPr>
                <w:sz w:val="16"/>
                <w:szCs w:val="16"/>
              </w:rPr>
              <w:t>16 955 700</w:t>
            </w:r>
          </w:p>
        </w:tc>
        <w:tc>
          <w:tcPr>
            <w:tcW w:w="1021" w:type="dxa"/>
            <w:tcBorders>
              <w:top w:val="single" w:sz="4" w:space="0" w:color="auto"/>
            </w:tcBorders>
          </w:tcPr>
          <w:p w:rsidR="00C45F8F" w:rsidRPr="00584CC6" w:rsidRDefault="00C45F8F" w:rsidP="005B1DF2">
            <w:pPr>
              <w:spacing w:before="60" w:line="200" w:lineRule="exact"/>
              <w:ind w:right="113"/>
              <w:jc w:val="right"/>
              <w:rPr>
                <w:sz w:val="16"/>
                <w:szCs w:val="16"/>
              </w:rPr>
            </w:pPr>
            <w:r w:rsidRPr="00584CC6">
              <w:rPr>
                <w:sz w:val="16"/>
                <w:szCs w:val="16"/>
              </w:rPr>
              <w:t>+750 000</w:t>
            </w:r>
          </w:p>
        </w:tc>
      </w:tr>
      <w:tr w:rsidR="00C45F8F" w:rsidRPr="00584CC6">
        <w:tblPrEx>
          <w:tblCellMar>
            <w:top w:w="0" w:type="dxa"/>
            <w:bottom w:w="0" w:type="dxa"/>
          </w:tblCellMar>
        </w:tblPrEx>
        <w:tc>
          <w:tcPr>
            <w:tcW w:w="2012" w:type="dxa"/>
          </w:tcPr>
          <w:p w:rsidR="00C45F8F" w:rsidRPr="00584CC6" w:rsidRDefault="00C45F8F" w:rsidP="00A8030A">
            <w:pPr>
              <w:spacing w:before="60" w:line="200" w:lineRule="exact"/>
              <w:rPr>
                <w:sz w:val="16"/>
                <w:szCs w:val="16"/>
              </w:rPr>
            </w:pPr>
            <w:r w:rsidRPr="00584CC6">
              <w:rPr>
                <w:sz w:val="16"/>
                <w:szCs w:val="16"/>
              </w:rPr>
              <w:t>4:2 Säkerhetspolisen</w:t>
            </w:r>
          </w:p>
        </w:tc>
        <w:tc>
          <w:tcPr>
            <w:tcW w:w="1021" w:type="dxa"/>
          </w:tcPr>
          <w:p w:rsidR="00C45F8F" w:rsidRPr="00584CC6" w:rsidRDefault="00C45F8F" w:rsidP="005B1DF2">
            <w:pPr>
              <w:tabs>
                <w:tab w:val="left" w:pos="1044"/>
              </w:tabs>
              <w:spacing w:before="60" w:line="200" w:lineRule="exact"/>
              <w:ind w:right="113"/>
              <w:jc w:val="right"/>
              <w:rPr>
                <w:sz w:val="16"/>
                <w:szCs w:val="16"/>
              </w:rPr>
            </w:pPr>
            <w:r w:rsidRPr="00584CC6">
              <w:rPr>
                <w:sz w:val="16"/>
                <w:szCs w:val="16"/>
              </w:rPr>
              <w:t xml:space="preserve">713 000 </w:t>
            </w:r>
          </w:p>
        </w:tc>
        <w:tc>
          <w:tcPr>
            <w:tcW w:w="1021" w:type="dxa"/>
          </w:tcPr>
          <w:p w:rsidR="00C45F8F" w:rsidRPr="00584CC6" w:rsidRDefault="00C45F8F" w:rsidP="005B1DF2">
            <w:pPr>
              <w:spacing w:before="60" w:line="200" w:lineRule="exact"/>
              <w:ind w:right="113"/>
              <w:jc w:val="right"/>
              <w:rPr>
                <w:sz w:val="16"/>
                <w:szCs w:val="16"/>
              </w:rPr>
            </w:pPr>
            <w:r w:rsidRPr="00584CC6">
              <w:rPr>
                <w:sz w:val="16"/>
                <w:szCs w:val="16"/>
              </w:rPr>
              <w:t>+30 000</w:t>
            </w:r>
          </w:p>
        </w:tc>
        <w:tc>
          <w:tcPr>
            <w:tcW w:w="1021" w:type="dxa"/>
          </w:tcPr>
          <w:p w:rsidR="00C45F8F" w:rsidRPr="00584CC6" w:rsidRDefault="00C45F8F" w:rsidP="005B1DF2">
            <w:pPr>
              <w:spacing w:before="60" w:line="200" w:lineRule="exact"/>
              <w:ind w:right="113"/>
              <w:jc w:val="right"/>
              <w:rPr>
                <w:sz w:val="16"/>
                <w:szCs w:val="16"/>
              </w:rPr>
            </w:pPr>
            <w:r w:rsidRPr="00584CC6">
              <w:rPr>
                <w:sz w:val="16"/>
                <w:szCs w:val="16"/>
              </w:rPr>
              <w:t xml:space="preserve">724 600 </w:t>
            </w:r>
          </w:p>
        </w:tc>
        <w:tc>
          <w:tcPr>
            <w:tcW w:w="1021" w:type="dxa"/>
          </w:tcPr>
          <w:p w:rsidR="00C45F8F" w:rsidRPr="00584CC6" w:rsidRDefault="00C45F8F" w:rsidP="005B1DF2">
            <w:pPr>
              <w:spacing w:before="60" w:line="200" w:lineRule="exact"/>
              <w:ind w:right="113"/>
              <w:jc w:val="right"/>
              <w:rPr>
                <w:sz w:val="16"/>
                <w:szCs w:val="16"/>
              </w:rPr>
            </w:pPr>
            <w:r w:rsidRPr="00584CC6">
              <w:rPr>
                <w:sz w:val="16"/>
                <w:szCs w:val="16"/>
              </w:rPr>
              <w:t>+30 000</w:t>
            </w:r>
          </w:p>
        </w:tc>
      </w:tr>
      <w:tr w:rsidR="00C45F8F" w:rsidRPr="00584CC6">
        <w:tblPrEx>
          <w:tblCellMar>
            <w:top w:w="0" w:type="dxa"/>
            <w:bottom w:w="0" w:type="dxa"/>
          </w:tblCellMar>
        </w:tblPrEx>
        <w:tc>
          <w:tcPr>
            <w:tcW w:w="2012" w:type="dxa"/>
          </w:tcPr>
          <w:p w:rsidR="00C45F8F" w:rsidRPr="00584CC6" w:rsidRDefault="00C45F8F" w:rsidP="00A8030A">
            <w:pPr>
              <w:spacing w:before="60" w:line="200" w:lineRule="exact"/>
              <w:rPr>
                <w:sz w:val="16"/>
                <w:szCs w:val="16"/>
              </w:rPr>
            </w:pPr>
            <w:r w:rsidRPr="00584CC6">
              <w:rPr>
                <w:sz w:val="16"/>
                <w:szCs w:val="16"/>
              </w:rPr>
              <w:t>4:3 Åklagarorganisationen</w:t>
            </w:r>
          </w:p>
        </w:tc>
        <w:tc>
          <w:tcPr>
            <w:tcW w:w="1021" w:type="dxa"/>
          </w:tcPr>
          <w:p w:rsidR="00C45F8F" w:rsidRPr="00584CC6" w:rsidRDefault="00C45F8F" w:rsidP="005B1DF2">
            <w:pPr>
              <w:tabs>
                <w:tab w:val="left" w:pos="1044"/>
              </w:tabs>
              <w:spacing w:before="60" w:line="200" w:lineRule="exact"/>
              <w:ind w:right="113"/>
              <w:jc w:val="right"/>
              <w:rPr>
                <w:sz w:val="16"/>
                <w:szCs w:val="16"/>
              </w:rPr>
            </w:pPr>
            <w:r w:rsidRPr="00584CC6">
              <w:rPr>
                <w:sz w:val="16"/>
                <w:szCs w:val="16"/>
              </w:rPr>
              <w:t xml:space="preserve">900 600 </w:t>
            </w:r>
          </w:p>
        </w:tc>
        <w:tc>
          <w:tcPr>
            <w:tcW w:w="1021" w:type="dxa"/>
          </w:tcPr>
          <w:p w:rsidR="00C45F8F" w:rsidRPr="00584CC6" w:rsidRDefault="005B1DF2" w:rsidP="005B1DF2">
            <w:pPr>
              <w:spacing w:before="60" w:line="200" w:lineRule="exact"/>
              <w:ind w:right="113"/>
              <w:jc w:val="right"/>
              <w:rPr>
                <w:sz w:val="16"/>
                <w:szCs w:val="16"/>
              </w:rPr>
            </w:pPr>
            <w:r w:rsidRPr="00584CC6">
              <w:rPr>
                <w:sz w:val="16"/>
                <w:szCs w:val="16"/>
              </w:rPr>
              <w:t>+25 000</w:t>
            </w:r>
          </w:p>
        </w:tc>
        <w:tc>
          <w:tcPr>
            <w:tcW w:w="1021" w:type="dxa"/>
          </w:tcPr>
          <w:p w:rsidR="00C45F8F" w:rsidRPr="00584CC6" w:rsidRDefault="005B1DF2" w:rsidP="005B1DF2">
            <w:pPr>
              <w:spacing w:before="60" w:line="200" w:lineRule="exact"/>
              <w:ind w:right="113"/>
              <w:jc w:val="right"/>
              <w:rPr>
                <w:sz w:val="16"/>
                <w:szCs w:val="16"/>
              </w:rPr>
            </w:pPr>
            <w:r w:rsidRPr="00584CC6">
              <w:rPr>
                <w:sz w:val="16"/>
                <w:szCs w:val="16"/>
              </w:rPr>
              <w:t>915 100</w:t>
            </w:r>
          </w:p>
        </w:tc>
        <w:tc>
          <w:tcPr>
            <w:tcW w:w="1021" w:type="dxa"/>
          </w:tcPr>
          <w:p w:rsidR="00C45F8F" w:rsidRPr="00584CC6" w:rsidRDefault="00C45F8F" w:rsidP="005B1DF2">
            <w:pPr>
              <w:spacing w:before="60" w:line="200" w:lineRule="exact"/>
              <w:ind w:right="113"/>
              <w:jc w:val="right"/>
              <w:rPr>
                <w:sz w:val="16"/>
                <w:szCs w:val="16"/>
              </w:rPr>
            </w:pPr>
            <w:r w:rsidRPr="00584CC6">
              <w:rPr>
                <w:sz w:val="16"/>
                <w:szCs w:val="16"/>
              </w:rPr>
              <w:t>+25 000</w:t>
            </w:r>
          </w:p>
        </w:tc>
      </w:tr>
      <w:tr w:rsidR="00C45F8F" w:rsidRPr="00584CC6">
        <w:tblPrEx>
          <w:tblCellMar>
            <w:top w:w="0" w:type="dxa"/>
            <w:bottom w:w="0" w:type="dxa"/>
          </w:tblCellMar>
        </w:tblPrEx>
        <w:tc>
          <w:tcPr>
            <w:tcW w:w="2012" w:type="dxa"/>
          </w:tcPr>
          <w:p w:rsidR="00C45F8F" w:rsidRPr="00584CC6" w:rsidRDefault="00C45F8F" w:rsidP="00A8030A">
            <w:pPr>
              <w:spacing w:before="60" w:line="200" w:lineRule="exact"/>
              <w:rPr>
                <w:sz w:val="16"/>
                <w:szCs w:val="16"/>
              </w:rPr>
            </w:pPr>
            <w:r w:rsidRPr="00584CC6">
              <w:rPr>
                <w:sz w:val="16"/>
                <w:szCs w:val="16"/>
              </w:rPr>
              <w:t>4:5 Domstolsväsendet m.m.</w:t>
            </w:r>
          </w:p>
        </w:tc>
        <w:tc>
          <w:tcPr>
            <w:tcW w:w="1021" w:type="dxa"/>
          </w:tcPr>
          <w:p w:rsidR="00C45F8F" w:rsidRPr="00584CC6" w:rsidRDefault="003F4764" w:rsidP="005B1DF2">
            <w:pPr>
              <w:tabs>
                <w:tab w:val="left" w:pos="1044"/>
              </w:tabs>
              <w:spacing w:before="60" w:line="200" w:lineRule="exact"/>
              <w:ind w:right="113"/>
              <w:jc w:val="right"/>
              <w:rPr>
                <w:sz w:val="16"/>
                <w:szCs w:val="16"/>
              </w:rPr>
            </w:pPr>
            <w:r w:rsidRPr="00584CC6">
              <w:rPr>
                <w:sz w:val="16"/>
                <w:szCs w:val="16"/>
              </w:rPr>
              <w:t xml:space="preserve">4 </w:t>
            </w:r>
            <w:r w:rsidR="005B1DF2" w:rsidRPr="00584CC6">
              <w:rPr>
                <w:sz w:val="16"/>
                <w:szCs w:val="16"/>
              </w:rPr>
              <w:t>2</w:t>
            </w:r>
            <w:r w:rsidR="00C45F8F" w:rsidRPr="00584CC6">
              <w:rPr>
                <w:sz w:val="16"/>
                <w:szCs w:val="16"/>
              </w:rPr>
              <w:t xml:space="preserve">45 600 </w:t>
            </w:r>
          </w:p>
        </w:tc>
        <w:tc>
          <w:tcPr>
            <w:tcW w:w="1021" w:type="dxa"/>
          </w:tcPr>
          <w:p w:rsidR="00C45F8F" w:rsidRPr="00584CC6" w:rsidRDefault="00C45F8F" w:rsidP="005B1DF2">
            <w:pPr>
              <w:spacing w:before="60" w:line="200" w:lineRule="exact"/>
              <w:ind w:right="113"/>
              <w:jc w:val="right"/>
              <w:rPr>
                <w:sz w:val="16"/>
                <w:szCs w:val="16"/>
              </w:rPr>
            </w:pPr>
            <w:r w:rsidRPr="00584CC6">
              <w:rPr>
                <w:sz w:val="16"/>
                <w:szCs w:val="16"/>
              </w:rPr>
              <w:t>+105 000</w:t>
            </w:r>
          </w:p>
        </w:tc>
        <w:tc>
          <w:tcPr>
            <w:tcW w:w="1021" w:type="dxa"/>
          </w:tcPr>
          <w:p w:rsidR="00C45F8F" w:rsidRPr="00584CC6" w:rsidRDefault="00C45F8F" w:rsidP="005B1DF2">
            <w:pPr>
              <w:spacing w:before="60" w:line="200" w:lineRule="exact"/>
              <w:ind w:right="113"/>
              <w:jc w:val="right"/>
              <w:rPr>
                <w:sz w:val="16"/>
                <w:szCs w:val="16"/>
              </w:rPr>
            </w:pPr>
            <w:r w:rsidRPr="00584CC6">
              <w:rPr>
                <w:sz w:val="16"/>
                <w:szCs w:val="16"/>
              </w:rPr>
              <w:t>4 284 800</w:t>
            </w:r>
          </w:p>
        </w:tc>
        <w:tc>
          <w:tcPr>
            <w:tcW w:w="1021" w:type="dxa"/>
          </w:tcPr>
          <w:p w:rsidR="00C45F8F" w:rsidRPr="00584CC6" w:rsidRDefault="00E946ED" w:rsidP="005B1DF2">
            <w:pPr>
              <w:spacing w:before="60" w:line="200" w:lineRule="exact"/>
              <w:ind w:right="113"/>
              <w:jc w:val="right"/>
              <w:rPr>
                <w:sz w:val="16"/>
                <w:szCs w:val="16"/>
              </w:rPr>
            </w:pPr>
            <w:r w:rsidRPr="00584CC6">
              <w:rPr>
                <w:sz w:val="16"/>
                <w:szCs w:val="16"/>
              </w:rPr>
              <w:t>+</w:t>
            </w:r>
            <w:r w:rsidR="00C45F8F" w:rsidRPr="00584CC6">
              <w:rPr>
                <w:sz w:val="16"/>
                <w:szCs w:val="16"/>
              </w:rPr>
              <w:t>105 000</w:t>
            </w:r>
          </w:p>
        </w:tc>
      </w:tr>
      <w:tr w:rsidR="00C45F8F" w:rsidRPr="00584CC6">
        <w:tblPrEx>
          <w:tblCellMar>
            <w:top w:w="0" w:type="dxa"/>
            <w:bottom w:w="0" w:type="dxa"/>
          </w:tblCellMar>
        </w:tblPrEx>
        <w:tc>
          <w:tcPr>
            <w:tcW w:w="2012" w:type="dxa"/>
          </w:tcPr>
          <w:p w:rsidR="00C45F8F" w:rsidRPr="00584CC6" w:rsidRDefault="005B1DF2" w:rsidP="00A8030A">
            <w:pPr>
              <w:spacing w:before="60" w:line="200" w:lineRule="exact"/>
              <w:rPr>
                <w:sz w:val="16"/>
                <w:szCs w:val="16"/>
              </w:rPr>
            </w:pPr>
            <w:r w:rsidRPr="00584CC6">
              <w:rPr>
                <w:sz w:val="16"/>
                <w:szCs w:val="16"/>
              </w:rPr>
              <w:t>4:6 Kriminalvården</w:t>
            </w:r>
          </w:p>
        </w:tc>
        <w:tc>
          <w:tcPr>
            <w:tcW w:w="1021" w:type="dxa"/>
          </w:tcPr>
          <w:p w:rsidR="00C45F8F" w:rsidRPr="00584CC6" w:rsidRDefault="005B1DF2" w:rsidP="005B1DF2">
            <w:pPr>
              <w:tabs>
                <w:tab w:val="left" w:pos="1044"/>
              </w:tabs>
              <w:spacing w:before="60" w:line="200" w:lineRule="exact"/>
              <w:ind w:right="113"/>
              <w:jc w:val="right"/>
              <w:rPr>
                <w:sz w:val="16"/>
                <w:szCs w:val="16"/>
              </w:rPr>
            </w:pPr>
            <w:r w:rsidRPr="00584CC6">
              <w:rPr>
                <w:sz w:val="16"/>
                <w:szCs w:val="16"/>
              </w:rPr>
              <w:t>6 175 100</w:t>
            </w:r>
          </w:p>
        </w:tc>
        <w:tc>
          <w:tcPr>
            <w:tcW w:w="1021" w:type="dxa"/>
          </w:tcPr>
          <w:p w:rsidR="00C45F8F" w:rsidRPr="00584CC6" w:rsidRDefault="005B1DF2" w:rsidP="005B1DF2">
            <w:pPr>
              <w:spacing w:before="60" w:line="200" w:lineRule="exact"/>
              <w:ind w:right="113"/>
              <w:jc w:val="right"/>
              <w:rPr>
                <w:sz w:val="16"/>
                <w:szCs w:val="16"/>
              </w:rPr>
            </w:pPr>
            <w:r w:rsidRPr="00584CC6">
              <w:rPr>
                <w:sz w:val="16"/>
                <w:szCs w:val="16"/>
              </w:rPr>
              <w:t>+80 000</w:t>
            </w:r>
          </w:p>
        </w:tc>
        <w:tc>
          <w:tcPr>
            <w:tcW w:w="1021" w:type="dxa"/>
          </w:tcPr>
          <w:p w:rsidR="00C45F8F" w:rsidRPr="00584CC6" w:rsidRDefault="005B1DF2" w:rsidP="005B1DF2">
            <w:pPr>
              <w:spacing w:before="60" w:line="200" w:lineRule="exact"/>
              <w:ind w:right="113"/>
              <w:jc w:val="right"/>
              <w:rPr>
                <w:sz w:val="16"/>
                <w:szCs w:val="16"/>
              </w:rPr>
            </w:pPr>
            <w:r w:rsidRPr="00584CC6">
              <w:rPr>
                <w:sz w:val="16"/>
                <w:szCs w:val="16"/>
              </w:rPr>
              <w:t>6 286 800</w:t>
            </w:r>
          </w:p>
        </w:tc>
        <w:tc>
          <w:tcPr>
            <w:tcW w:w="1021" w:type="dxa"/>
          </w:tcPr>
          <w:p w:rsidR="00C45F8F" w:rsidRPr="00584CC6" w:rsidRDefault="005B1DF2" w:rsidP="005B1DF2">
            <w:pPr>
              <w:spacing w:before="60" w:line="200" w:lineRule="exact"/>
              <w:ind w:right="113"/>
              <w:jc w:val="right"/>
              <w:rPr>
                <w:sz w:val="16"/>
                <w:szCs w:val="16"/>
              </w:rPr>
            </w:pPr>
            <w:r w:rsidRPr="00584CC6">
              <w:rPr>
                <w:sz w:val="16"/>
                <w:szCs w:val="16"/>
              </w:rPr>
              <w:t>+80 000</w:t>
            </w:r>
          </w:p>
        </w:tc>
      </w:tr>
      <w:tr w:rsidR="00C45F8F" w:rsidRPr="00584CC6">
        <w:tblPrEx>
          <w:tblCellMar>
            <w:top w:w="0" w:type="dxa"/>
            <w:bottom w:w="0" w:type="dxa"/>
          </w:tblCellMar>
        </w:tblPrEx>
        <w:tc>
          <w:tcPr>
            <w:tcW w:w="2012" w:type="dxa"/>
          </w:tcPr>
          <w:p w:rsidR="00C45F8F" w:rsidRPr="00584CC6" w:rsidRDefault="00C45F8F" w:rsidP="00A8030A">
            <w:pPr>
              <w:pStyle w:val="Normaltindrag"/>
              <w:spacing w:before="60" w:line="200" w:lineRule="exact"/>
              <w:ind w:firstLine="0"/>
              <w:rPr>
                <w:sz w:val="16"/>
                <w:szCs w:val="16"/>
              </w:rPr>
            </w:pPr>
            <w:r w:rsidRPr="00584CC6">
              <w:rPr>
                <w:sz w:val="16"/>
                <w:szCs w:val="16"/>
              </w:rPr>
              <w:t>4:7 BRÅ</w:t>
            </w:r>
          </w:p>
        </w:tc>
        <w:tc>
          <w:tcPr>
            <w:tcW w:w="1021" w:type="dxa"/>
          </w:tcPr>
          <w:p w:rsidR="00C45F8F" w:rsidRPr="00584CC6" w:rsidRDefault="00C45F8F" w:rsidP="005B1DF2">
            <w:pPr>
              <w:pStyle w:val="Normaltindrag"/>
              <w:spacing w:before="60" w:line="200" w:lineRule="exact"/>
              <w:ind w:right="113"/>
              <w:jc w:val="right"/>
              <w:rPr>
                <w:sz w:val="16"/>
                <w:szCs w:val="16"/>
              </w:rPr>
            </w:pPr>
            <w:r w:rsidRPr="00584CC6">
              <w:rPr>
                <w:sz w:val="16"/>
                <w:szCs w:val="16"/>
              </w:rPr>
              <w:t>61</w:t>
            </w:r>
            <w:r w:rsidR="005B1DF2" w:rsidRPr="00584CC6">
              <w:rPr>
                <w:sz w:val="16"/>
                <w:szCs w:val="16"/>
              </w:rPr>
              <w:t> </w:t>
            </w:r>
            <w:r w:rsidRPr="00584CC6">
              <w:rPr>
                <w:sz w:val="16"/>
                <w:szCs w:val="16"/>
              </w:rPr>
              <w:t>413</w:t>
            </w:r>
          </w:p>
        </w:tc>
        <w:tc>
          <w:tcPr>
            <w:tcW w:w="1021" w:type="dxa"/>
          </w:tcPr>
          <w:p w:rsidR="00C45F8F" w:rsidRPr="00584CC6" w:rsidRDefault="005B1DF2" w:rsidP="005B1DF2">
            <w:pPr>
              <w:spacing w:before="60" w:line="200" w:lineRule="exact"/>
              <w:ind w:right="113"/>
              <w:jc w:val="right"/>
              <w:rPr>
                <w:sz w:val="16"/>
                <w:szCs w:val="16"/>
              </w:rPr>
            </w:pPr>
            <w:r w:rsidRPr="00584CC6">
              <w:rPr>
                <w:sz w:val="16"/>
                <w:szCs w:val="16"/>
              </w:rPr>
              <w:t>–10 000</w:t>
            </w:r>
          </w:p>
        </w:tc>
        <w:tc>
          <w:tcPr>
            <w:tcW w:w="1021" w:type="dxa"/>
          </w:tcPr>
          <w:p w:rsidR="00C45F8F" w:rsidRPr="00584CC6" w:rsidRDefault="00C45F8F" w:rsidP="005B1DF2">
            <w:pPr>
              <w:pStyle w:val="Normaltindrag"/>
              <w:spacing w:before="60" w:line="200" w:lineRule="exact"/>
              <w:ind w:right="113"/>
              <w:jc w:val="right"/>
              <w:rPr>
                <w:sz w:val="16"/>
                <w:szCs w:val="16"/>
              </w:rPr>
            </w:pPr>
            <w:r w:rsidRPr="00584CC6">
              <w:rPr>
                <w:sz w:val="16"/>
                <w:szCs w:val="16"/>
              </w:rPr>
              <w:t>62</w:t>
            </w:r>
            <w:r w:rsidR="005B1DF2" w:rsidRPr="00584CC6">
              <w:rPr>
                <w:sz w:val="16"/>
                <w:szCs w:val="16"/>
              </w:rPr>
              <w:t> </w:t>
            </w:r>
            <w:r w:rsidRPr="00584CC6">
              <w:rPr>
                <w:sz w:val="16"/>
                <w:szCs w:val="16"/>
              </w:rPr>
              <w:t>836</w:t>
            </w:r>
          </w:p>
        </w:tc>
        <w:tc>
          <w:tcPr>
            <w:tcW w:w="1021" w:type="dxa"/>
          </w:tcPr>
          <w:p w:rsidR="00C45F8F" w:rsidRPr="00584CC6" w:rsidRDefault="005B1DF2" w:rsidP="005B1DF2">
            <w:pPr>
              <w:spacing w:before="60" w:line="200" w:lineRule="exact"/>
              <w:ind w:right="113"/>
              <w:jc w:val="right"/>
              <w:rPr>
                <w:sz w:val="16"/>
                <w:szCs w:val="16"/>
              </w:rPr>
            </w:pPr>
            <w:r w:rsidRPr="00584CC6">
              <w:rPr>
                <w:sz w:val="16"/>
                <w:szCs w:val="16"/>
              </w:rPr>
              <w:t>–10 000</w:t>
            </w:r>
          </w:p>
        </w:tc>
      </w:tr>
      <w:tr w:rsidR="00C45F8F" w:rsidRPr="00584CC6">
        <w:tblPrEx>
          <w:tblCellMar>
            <w:top w:w="0" w:type="dxa"/>
            <w:bottom w:w="0" w:type="dxa"/>
          </w:tblCellMar>
        </w:tblPrEx>
        <w:tc>
          <w:tcPr>
            <w:tcW w:w="2012" w:type="dxa"/>
          </w:tcPr>
          <w:p w:rsidR="00C45F8F" w:rsidRPr="00584CC6" w:rsidRDefault="00C45F8F" w:rsidP="00A8030A">
            <w:pPr>
              <w:spacing w:before="60" w:line="200" w:lineRule="exact"/>
              <w:rPr>
                <w:sz w:val="16"/>
                <w:szCs w:val="16"/>
              </w:rPr>
            </w:pPr>
            <w:r w:rsidRPr="00584CC6">
              <w:rPr>
                <w:sz w:val="16"/>
                <w:szCs w:val="16"/>
              </w:rPr>
              <w:t>4:12 Rättshjälpskostn. m.m.</w:t>
            </w:r>
          </w:p>
        </w:tc>
        <w:tc>
          <w:tcPr>
            <w:tcW w:w="1021" w:type="dxa"/>
          </w:tcPr>
          <w:p w:rsidR="00C45F8F" w:rsidRPr="00584CC6" w:rsidRDefault="00C45F8F" w:rsidP="005B1DF2">
            <w:pPr>
              <w:spacing w:before="60" w:line="200" w:lineRule="exact"/>
              <w:ind w:right="113"/>
              <w:jc w:val="right"/>
              <w:rPr>
                <w:sz w:val="16"/>
                <w:szCs w:val="16"/>
              </w:rPr>
            </w:pPr>
            <w:r w:rsidRPr="00584CC6">
              <w:rPr>
                <w:sz w:val="16"/>
                <w:szCs w:val="16"/>
              </w:rPr>
              <w:t>1 208 700</w:t>
            </w:r>
          </w:p>
        </w:tc>
        <w:tc>
          <w:tcPr>
            <w:tcW w:w="1021" w:type="dxa"/>
          </w:tcPr>
          <w:p w:rsidR="00C45F8F" w:rsidRPr="00584CC6" w:rsidRDefault="005B1DF2" w:rsidP="005B1DF2">
            <w:pPr>
              <w:spacing w:before="60" w:line="200" w:lineRule="exact"/>
              <w:ind w:right="113"/>
              <w:jc w:val="right"/>
              <w:rPr>
                <w:sz w:val="16"/>
                <w:szCs w:val="16"/>
              </w:rPr>
            </w:pPr>
            <w:r w:rsidRPr="00584CC6">
              <w:rPr>
                <w:sz w:val="16"/>
                <w:szCs w:val="16"/>
              </w:rPr>
              <w:t>+30 000</w:t>
            </w:r>
          </w:p>
        </w:tc>
        <w:tc>
          <w:tcPr>
            <w:tcW w:w="1021" w:type="dxa"/>
          </w:tcPr>
          <w:p w:rsidR="00C45F8F" w:rsidRPr="00584CC6" w:rsidRDefault="00C45F8F" w:rsidP="005B1DF2">
            <w:pPr>
              <w:spacing w:before="60" w:line="200" w:lineRule="exact"/>
              <w:ind w:right="113"/>
              <w:jc w:val="right"/>
              <w:rPr>
                <w:sz w:val="16"/>
                <w:szCs w:val="16"/>
              </w:rPr>
            </w:pPr>
            <w:r w:rsidRPr="00584CC6">
              <w:rPr>
                <w:sz w:val="16"/>
                <w:szCs w:val="16"/>
              </w:rPr>
              <w:t xml:space="preserve">1 218 300 </w:t>
            </w:r>
          </w:p>
        </w:tc>
        <w:tc>
          <w:tcPr>
            <w:tcW w:w="1021" w:type="dxa"/>
          </w:tcPr>
          <w:p w:rsidR="00C45F8F" w:rsidRPr="00584CC6" w:rsidRDefault="005B1DF2" w:rsidP="005B1DF2">
            <w:pPr>
              <w:spacing w:before="60" w:line="200" w:lineRule="exact"/>
              <w:ind w:right="113"/>
              <w:jc w:val="right"/>
              <w:rPr>
                <w:sz w:val="16"/>
                <w:szCs w:val="16"/>
              </w:rPr>
            </w:pPr>
            <w:r w:rsidRPr="00584CC6">
              <w:rPr>
                <w:sz w:val="16"/>
                <w:szCs w:val="16"/>
              </w:rPr>
              <w:t>+30 000</w:t>
            </w:r>
          </w:p>
        </w:tc>
      </w:tr>
      <w:tr w:rsidR="00C45F8F" w:rsidRPr="00584CC6">
        <w:tblPrEx>
          <w:tblCellMar>
            <w:top w:w="0" w:type="dxa"/>
            <w:bottom w:w="0" w:type="dxa"/>
          </w:tblCellMar>
        </w:tblPrEx>
        <w:tc>
          <w:tcPr>
            <w:tcW w:w="2012" w:type="dxa"/>
            <w:tcBorders>
              <w:bottom w:val="single" w:sz="4" w:space="0" w:color="auto"/>
            </w:tcBorders>
          </w:tcPr>
          <w:p w:rsidR="00C45F8F" w:rsidRPr="00584CC6" w:rsidRDefault="00C45F8F" w:rsidP="00A8030A">
            <w:pPr>
              <w:spacing w:before="60" w:line="200" w:lineRule="exact"/>
              <w:rPr>
                <w:b/>
                <w:sz w:val="16"/>
                <w:szCs w:val="16"/>
              </w:rPr>
            </w:pPr>
            <w:r w:rsidRPr="00584CC6">
              <w:rPr>
                <w:b/>
                <w:sz w:val="16"/>
                <w:szCs w:val="16"/>
              </w:rPr>
              <w:t xml:space="preserve">Tot. </w:t>
            </w:r>
          </w:p>
        </w:tc>
        <w:tc>
          <w:tcPr>
            <w:tcW w:w="1021" w:type="dxa"/>
            <w:tcBorders>
              <w:bottom w:val="single" w:sz="4" w:space="0" w:color="auto"/>
            </w:tcBorders>
          </w:tcPr>
          <w:p w:rsidR="00C45F8F" w:rsidRPr="00584CC6" w:rsidRDefault="00C45F8F" w:rsidP="005B1DF2">
            <w:pPr>
              <w:spacing w:before="60" w:line="200" w:lineRule="exact"/>
              <w:ind w:right="113"/>
              <w:jc w:val="right"/>
              <w:rPr>
                <w:b/>
                <w:sz w:val="16"/>
                <w:szCs w:val="16"/>
              </w:rPr>
            </w:pPr>
            <w:r w:rsidRPr="00584CC6">
              <w:rPr>
                <w:b/>
                <w:sz w:val="16"/>
                <w:szCs w:val="16"/>
              </w:rPr>
              <w:t>30 744 100</w:t>
            </w:r>
          </w:p>
        </w:tc>
        <w:tc>
          <w:tcPr>
            <w:tcW w:w="1021" w:type="dxa"/>
            <w:tcBorders>
              <w:bottom w:val="single" w:sz="4" w:space="0" w:color="auto"/>
            </w:tcBorders>
          </w:tcPr>
          <w:p w:rsidR="00C45F8F" w:rsidRPr="00584CC6" w:rsidRDefault="005B1DF2" w:rsidP="005B1DF2">
            <w:pPr>
              <w:spacing w:before="60" w:line="200" w:lineRule="exact"/>
              <w:ind w:right="113"/>
              <w:jc w:val="right"/>
              <w:rPr>
                <w:b/>
                <w:sz w:val="16"/>
                <w:szCs w:val="16"/>
              </w:rPr>
            </w:pPr>
            <w:r w:rsidRPr="00584CC6">
              <w:rPr>
                <w:b/>
                <w:sz w:val="16"/>
                <w:szCs w:val="16"/>
              </w:rPr>
              <w:t>+1 010 000</w:t>
            </w:r>
          </w:p>
        </w:tc>
        <w:tc>
          <w:tcPr>
            <w:tcW w:w="1021" w:type="dxa"/>
            <w:tcBorders>
              <w:bottom w:val="single" w:sz="4" w:space="0" w:color="auto"/>
            </w:tcBorders>
          </w:tcPr>
          <w:p w:rsidR="00C45F8F" w:rsidRPr="00584CC6" w:rsidRDefault="00C45F8F" w:rsidP="005B1DF2">
            <w:pPr>
              <w:spacing w:before="60" w:line="200" w:lineRule="exact"/>
              <w:ind w:right="113"/>
              <w:jc w:val="right"/>
              <w:rPr>
                <w:b/>
                <w:sz w:val="16"/>
                <w:szCs w:val="16"/>
              </w:rPr>
            </w:pPr>
            <w:r w:rsidRPr="00584CC6">
              <w:rPr>
                <w:b/>
                <w:sz w:val="16"/>
                <w:szCs w:val="16"/>
              </w:rPr>
              <w:t xml:space="preserve">31 230 700 </w:t>
            </w:r>
          </w:p>
        </w:tc>
        <w:tc>
          <w:tcPr>
            <w:tcW w:w="1021" w:type="dxa"/>
            <w:tcBorders>
              <w:bottom w:val="single" w:sz="4" w:space="0" w:color="auto"/>
            </w:tcBorders>
          </w:tcPr>
          <w:p w:rsidR="00C45F8F" w:rsidRPr="00584CC6" w:rsidRDefault="005B1DF2" w:rsidP="005B1DF2">
            <w:pPr>
              <w:spacing w:before="60" w:line="200" w:lineRule="exact"/>
              <w:ind w:right="113"/>
              <w:jc w:val="right"/>
              <w:rPr>
                <w:b/>
                <w:sz w:val="16"/>
                <w:szCs w:val="16"/>
              </w:rPr>
            </w:pPr>
            <w:r w:rsidRPr="00584CC6">
              <w:rPr>
                <w:b/>
                <w:sz w:val="16"/>
                <w:szCs w:val="16"/>
              </w:rPr>
              <w:t>+1 010 000</w:t>
            </w:r>
          </w:p>
        </w:tc>
      </w:tr>
    </w:tbl>
    <w:p w:rsidR="00807570" w:rsidRPr="00584CC6" w:rsidRDefault="00807570" w:rsidP="00807570">
      <w:pPr>
        <w:pStyle w:val="Normaltindrag"/>
      </w:pPr>
    </w:p>
    <w:p w:rsidR="00A16A8F" w:rsidRPr="00584CC6" w:rsidRDefault="00A16A8F" w:rsidP="00807570">
      <w:pPr>
        <w:pStyle w:val="Normaltindrag"/>
      </w:pPr>
    </w:p>
    <w:p w:rsidR="00A16A8F" w:rsidRPr="00584CC6" w:rsidRDefault="00A16A8F" w:rsidP="00807570">
      <w:pPr>
        <w:pStyle w:val="Normaltindrag"/>
      </w:pPr>
    </w:p>
    <w:p w:rsidR="00A16A8F" w:rsidRPr="00584CC6" w:rsidRDefault="00A16A8F" w:rsidP="00807570">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16A8F" w:rsidRPr="00584CC6">
        <w:tblPrEx>
          <w:tblCellMar>
            <w:top w:w="0" w:type="dxa"/>
            <w:bottom w:w="0" w:type="dxa"/>
          </w:tblCellMar>
        </w:tblPrEx>
        <w:trPr>
          <w:cantSplit/>
        </w:trPr>
        <w:tc>
          <w:tcPr>
            <w:tcW w:w="3046" w:type="dxa"/>
          </w:tcPr>
          <w:p w:rsidR="00A16A8F" w:rsidRPr="00584CC6" w:rsidRDefault="00A16A8F" w:rsidP="00A16A8F">
            <w:pPr>
              <w:pStyle w:val="UnderskriftDatum"/>
              <w:spacing w:before="0"/>
            </w:pPr>
            <w:r w:rsidRPr="00584CC6">
              <w:t>Stockholm den 5 oktober 2005</w:t>
            </w:r>
          </w:p>
        </w:tc>
        <w:tc>
          <w:tcPr>
            <w:tcW w:w="3047" w:type="dxa"/>
          </w:tcPr>
          <w:p w:rsidR="00A16A8F" w:rsidRPr="00584CC6" w:rsidRDefault="00A16A8F" w:rsidP="00A16A8F">
            <w:pPr>
              <w:pStyle w:val="Underskrifter"/>
            </w:pPr>
          </w:p>
        </w:tc>
      </w:tr>
      <w:tr w:rsidR="00A16A8F" w:rsidRPr="00584CC6">
        <w:tblPrEx>
          <w:tblCellMar>
            <w:top w:w="0" w:type="dxa"/>
            <w:bottom w:w="0" w:type="dxa"/>
          </w:tblCellMar>
        </w:tblPrEx>
        <w:trPr>
          <w:cantSplit/>
        </w:trPr>
        <w:tc>
          <w:tcPr>
            <w:tcW w:w="3046" w:type="dxa"/>
          </w:tcPr>
          <w:p w:rsidR="00A16A8F" w:rsidRPr="00584CC6" w:rsidRDefault="00A16A8F" w:rsidP="00A16A8F">
            <w:pPr>
              <w:pStyle w:val="Underskrifter"/>
            </w:pPr>
            <w:r w:rsidRPr="00584CC6">
              <w:t>Johan Pehrson (fp)</w:t>
            </w:r>
          </w:p>
        </w:tc>
        <w:tc>
          <w:tcPr>
            <w:tcW w:w="3047" w:type="dxa"/>
          </w:tcPr>
          <w:p w:rsidR="00A16A8F" w:rsidRPr="00584CC6" w:rsidRDefault="00A16A8F" w:rsidP="00A16A8F">
            <w:pPr>
              <w:pStyle w:val="Underskrifter"/>
            </w:pPr>
          </w:p>
        </w:tc>
      </w:tr>
      <w:tr w:rsidR="00A16A8F" w:rsidRPr="00584CC6">
        <w:tblPrEx>
          <w:tblCellMar>
            <w:top w:w="0" w:type="dxa"/>
            <w:bottom w:w="0" w:type="dxa"/>
          </w:tblCellMar>
        </w:tblPrEx>
        <w:trPr>
          <w:cantSplit/>
        </w:trPr>
        <w:tc>
          <w:tcPr>
            <w:tcW w:w="3046" w:type="dxa"/>
          </w:tcPr>
          <w:p w:rsidR="00A16A8F" w:rsidRPr="00584CC6" w:rsidRDefault="00A16A8F" w:rsidP="00A16A8F">
            <w:pPr>
              <w:pStyle w:val="Underskrifter"/>
            </w:pPr>
            <w:r w:rsidRPr="00584CC6">
              <w:t>Torkild Strandberg (fp)</w:t>
            </w:r>
          </w:p>
        </w:tc>
        <w:tc>
          <w:tcPr>
            <w:tcW w:w="3047" w:type="dxa"/>
          </w:tcPr>
          <w:p w:rsidR="00A16A8F" w:rsidRPr="00584CC6" w:rsidRDefault="00A16A8F" w:rsidP="00A16A8F">
            <w:pPr>
              <w:pStyle w:val="Underskrifter"/>
            </w:pPr>
            <w:r w:rsidRPr="00584CC6">
              <w:t>Karin Granbom (fp)</w:t>
            </w:r>
          </w:p>
        </w:tc>
      </w:tr>
      <w:tr w:rsidR="00A16A8F" w:rsidRPr="00584CC6">
        <w:tblPrEx>
          <w:tblCellMar>
            <w:top w:w="0" w:type="dxa"/>
            <w:bottom w:w="0" w:type="dxa"/>
          </w:tblCellMar>
        </w:tblPrEx>
        <w:trPr>
          <w:cantSplit/>
        </w:trPr>
        <w:tc>
          <w:tcPr>
            <w:tcW w:w="3046" w:type="dxa"/>
          </w:tcPr>
          <w:p w:rsidR="00A16A8F" w:rsidRPr="00584CC6" w:rsidRDefault="00A16A8F" w:rsidP="00A16A8F">
            <w:pPr>
              <w:pStyle w:val="Underskrifter"/>
            </w:pPr>
            <w:r w:rsidRPr="00584CC6">
              <w:t>Jan Ertsborn (fp)</w:t>
            </w:r>
          </w:p>
        </w:tc>
        <w:tc>
          <w:tcPr>
            <w:tcW w:w="3047" w:type="dxa"/>
          </w:tcPr>
          <w:p w:rsidR="00A16A8F" w:rsidRPr="00584CC6" w:rsidRDefault="00A16A8F" w:rsidP="00A16A8F">
            <w:pPr>
              <w:pStyle w:val="Underskrifter"/>
            </w:pPr>
            <w:r w:rsidRPr="00584CC6">
              <w:t>Helena Bargholtz (fp)</w:t>
            </w:r>
          </w:p>
        </w:tc>
      </w:tr>
      <w:tr w:rsidR="00A16A8F" w:rsidRPr="00584CC6">
        <w:tblPrEx>
          <w:tblCellMar>
            <w:top w:w="0" w:type="dxa"/>
            <w:bottom w:w="0" w:type="dxa"/>
          </w:tblCellMar>
        </w:tblPrEx>
        <w:trPr>
          <w:cantSplit/>
        </w:trPr>
        <w:tc>
          <w:tcPr>
            <w:tcW w:w="3046" w:type="dxa"/>
          </w:tcPr>
          <w:p w:rsidR="00A16A8F" w:rsidRPr="00584CC6" w:rsidRDefault="00A16A8F" w:rsidP="00A16A8F">
            <w:pPr>
              <w:pStyle w:val="Underskrifter"/>
            </w:pPr>
            <w:r w:rsidRPr="00584CC6">
              <w:t>Cecilia Wigström (fp)</w:t>
            </w:r>
          </w:p>
        </w:tc>
        <w:tc>
          <w:tcPr>
            <w:tcW w:w="3047" w:type="dxa"/>
          </w:tcPr>
          <w:p w:rsidR="00A16A8F" w:rsidRPr="00584CC6" w:rsidRDefault="00A16A8F" w:rsidP="00A16A8F">
            <w:pPr>
              <w:pStyle w:val="Underskrifter"/>
            </w:pPr>
          </w:p>
        </w:tc>
      </w:tr>
    </w:tbl>
    <w:p w:rsidR="006B20FF" w:rsidRPr="00584CC6" w:rsidRDefault="006B20FF" w:rsidP="00A16A8F">
      <w:pPr>
        <w:pStyle w:val="Normaltindrag"/>
      </w:pPr>
    </w:p>
    <w:sectPr w:rsidR="006B20FF" w:rsidRPr="00584CC6" w:rsidSect="005B1D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17D4" w:rsidRPr="00584CC6" w:rsidRDefault="004617D4">
      <w:r w:rsidRPr="00584CC6">
        <w:separator/>
      </w:r>
    </w:p>
  </w:endnote>
  <w:endnote w:type="continuationSeparator" w:id="0">
    <w:p w:rsidR="004617D4" w:rsidRPr="00584CC6" w:rsidRDefault="004617D4">
      <w:r w:rsidRPr="00584C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6ED" w:rsidRPr="00584CC6" w:rsidRDefault="00584CC6" w:rsidP="005B1DF2">
    <w:pPr>
      <w:pStyle w:val="Sidfot"/>
    </w:pPr>
    <w:r w:rsidRPr="00584C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914117177"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6ED" w:rsidRDefault="00E946ED">
                          <w:pPr>
                            <w:pStyle w:val="NormalS5sidnrV"/>
                          </w:pPr>
                          <w:r>
                            <w:fldChar w:fldCharType="begin"/>
                          </w:r>
                          <w:r>
                            <w:instrText xml:space="preserve"> PAGE *\charformat</w:instrText>
                          </w:r>
                          <w:r>
                            <w:fldChar w:fldCharType="separate"/>
                          </w:r>
                          <w:r w:rsidR="00EF57B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46ED" w:rsidRDefault="00E946ED">
                    <w:pPr>
                      <w:pStyle w:val="NormalS5sidnrV"/>
                    </w:pPr>
                    <w:r>
                      <w:fldChar w:fldCharType="begin"/>
                    </w:r>
                    <w:r>
                      <w:instrText xml:space="preserve"> PAGE *\charformat</w:instrText>
                    </w:r>
                    <w:r>
                      <w:fldChar w:fldCharType="separate"/>
                    </w:r>
                    <w:r w:rsidR="00EF57B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6ED" w:rsidRPr="00584CC6" w:rsidRDefault="00584CC6" w:rsidP="005B1DF2">
    <w:pPr>
      <w:pStyle w:val="Sidfot"/>
    </w:pPr>
    <w:r w:rsidRPr="00584C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030879334"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6ED" w:rsidRDefault="00E946ED">
                          <w:pPr>
                            <w:pStyle w:val="NormalS5sidnrH"/>
                            <w:ind w:right="0"/>
                          </w:pPr>
                          <w:r>
                            <w:fldChar w:fldCharType="begin"/>
                          </w:r>
                          <w:r>
                            <w:instrText xml:space="preserve"> PAGE *\charformat</w:instrText>
                          </w:r>
                          <w:r>
                            <w:fldChar w:fldCharType="separate"/>
                          </w:r>
                          <w:r w:rsidR="00EF57BC">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46ED" w:rsidRDefault="00E946ED">
                    <w:pPr>
                      <w:pStyle w:val="NormalS5sidnrH"/>
                      <w:ind w:right="0"/>
                    </w:pPr>
                    <w:r>
                      <w:fldChar w:fldCharType="begin"/>
                    </w:r>
                    <w:r>
                      <w:instrText xml:space="preserve"> PAGE *\charformat</w:instrText>
                    </w:r>
                    <w:r>
                      <w:fldChar w:fldCharType="separate"/>
                    </w:r>
                    <w:r w:rsidR="00EF57BC">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6ED" w:rsidRPr="00584CC6" w:rsidRDefault="00584CC6" w:rsidP="005B1DF2">
    <w:pPr>
      <w:pStyle w:val="Sidfot"/>
    </w:pPr>
    <w:r w:rsidRPr="00584C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29513415"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6ED" w:rsidRDefault="00E946ED">
                          <w:pPr>
                            <w:pStyle w:val="NormalS5sidnrH"/>
                            <w:ind w:right="0"/>
                          </w:pPr>
                          <w:r>
                            <w:fldChar w:fldCharType="begin"/>
                          </w:r>
                          <w:r>
                            <w:instrText xml:space="preserve"> PAGE *\charformat</w:instrText>
                          </w:r>
                          <w:r>
                            <w:fldChar w:fldCharType="separate"/>
                          </w:r>
                          <w:r w:rsidR="00EF57B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46ED" w:rsidRDefault="00E946ED">
                    <w:pPr>
                      <w:pStyle w:val="NormalS5sidnrH"/>
                      <w:ind w:right="0"/>
                    </w:pPr>
                    <w:r>
                      <w:fldChar w:fldCharType="begin"/>
                    </w:r>
                    <w:r>
                      <w:instrText xml:space="preserve"> PAGE *\charformat</w:instrText>
                    </w:r>
                    <w:r>
                      <w:fldChar w:fldCharType="separate"/>
                    </w:r>
                    <w:r w:rsidR="00EF57B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17D4" w:rsidRPr="00584CC6" w:rsidRDefault="004617D4">
      <w:r w:rsidRPr="00584CC6">
        <w:separator/>
      </w:r>
    </w:p>
  </w:footnote>
  <w:footnote w:type="continuationSeparator" w:id="0">
    <w:p w:rsidR="004617D4" w:rsidRPr="00584CC6" w:rsidRDefault="004617D4">
      <w:r w:rsidRPr="00584C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6ED" w:rsidRPr="00584CC6" w:rsidRDefault="00584CC6" w:rsidP="005B1DF2">
    <w:pPr>
      <w:pStyle w:val="Sidhuvud"/>
    </w:pPr>
    <w:r w:rsidRPr="00584C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494940829"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6ED" w:rsidRDefault="00E946ED">
                          <w:pPr>
                            <w:pStyle w:val="KantRubrikS5V"/>
                          </w:pPr>
                          <w:r>
                            <w:fldChar w:fldCharType="begin"/>
                          </w:r>
                          <w:r>
                            <w:instrText xml:space="preserve"> DOCPROPERTY "YearUser" *\charformat </w:instrText>
                          </w:r>
                          <w:r>
                            <w:fldChar w:fldCharType="separate"/>
                          </w:r>
                          <w:r w:rsidR="00EF57BC">
                            <w:t>2005/06</w:t>
                          </w:r>
                          <w:r>
                            <w:fldChar w:fldCharType="end"/>
                          </w:r>
                          <w:r>
                            <w:t>:</w:t>
                          </w:r>
                          <w:r>
                            <w:fldChar w:fldCharType="begin"/>
                          </w:r>
                          <w:r>
                            <w:instrText xml:space="preserve"> DOCPROPERTY "Motionsnummer" *\charformat </w:instrText>
                          </w:r>
                          <w:r>
                            <w:fldChar w:fldCharType="separate"/>
                          </w:r>
                          <w:r w:rsidR="00EF57BC">
                            <w:t>Ju508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46ED" w:rsidRDefault="00E946ED">
                    <w:pPr>
                      <w:pStyle w:val="KantRubrikS5V"/>
                    </w:pPr>
                    <w:r>
                      <w:fldChar w:fldCharType="begin"/>
                    </w:r>
                    <w:r>
                      <w:instrText xml:space="preserve"> DOCPROPERTY "YearUser" *\charformat </w:instrText>
                    </w:r>
                    <w:r>
                      <w:fldChar w:fldCharType="separate"/>
                    </w:r>
                    <w:r w:rsidR="00EF57BC">
                      <w:t>2005/06</w:t>
                    </w:r>
                    <w:r>
                      <w:fldChar w:fldCharType="end"/>
                    </w:r>
                    <w:r>
                      <w:t>:</w:t>
                    </w:r>
                    <w:r>
                      <w:fldChar w:fldCharType="begin"/>
                    </w:r>
                    <w:r>
                      <w:instrText xml:space="preserve"> DOCPROPERTY "Motionsnummer" *\charformat </w:instrText>
                    </w:r>
                    <w:r>
                      <w:fldChar w:fldCharType="separate"/>
                    </w:r>
                    <w:r w:rsidR="00EF57BC">
                      <w:t>Ju508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6ED" w:rsidRPr="00584CC6" w:rsidRDefault="00584CC6" w:rsidP="005B1DF2">
    <w:pPr>
      <w:pStyle w:val="Sidhuvud"/>
    </w:pPr>
    <w:r w:rsidRPr="00584C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296604689"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6ED" w:rsidRDefault="00E946ED">
                          <w:pPr>
                            <w:pStyle w:val="KantRubrikS5H"/>
                            <w:ind w:right="0"/>
                          </w:pPr>
                          <w:r>
                            <w:fldChar w:fldCharType="begin"/>
                          </w:r>
                          <w:r>
                            <w:instrText xml:space="preserve"> DOCPROPERTY "YearUser" *\charformat </w:instrText>
                          </w:r>
                          <w:r>
                            <w:fldChar w:fldCharType="separate"/>
                          </w:r>
                          <w:r w:rsidR="00EF57BC">
                            <w:t>2005/06</w:t>
                          </w:r>
                          <w:r>
                            <w:fldChar w:fldCharType="end"/>
                          </w:r>
                          <w:r>
                            <w:t>:</w:t>
                          </w:r>
                          <w:r>
                            <w:fldChar w:fldCharType="begin"/>
                          </w:r>
                          <w:r>
                            <w:instrText xml:space="preserve"> DOCPROPERTY "Motionsnummer" *\charformat </w:instrText>
                          </w:r>
                          <w:r>
                            <w:fldChar w:fldCharType="separate"/>
                          </w:r>
                          <w:r w:rsidR="00EF57BC">
                            <w:t>Ju508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46ED" w:rsidRDefault="00E946ED">
                    <w:pPr>
                      <w:pStyle w:val="KantRubrikS5H"/>
                      <w:ind w:right="0"/>
                    </w:pPr>
                    <w:r>
                      <w:fldChar w:fldCharType="begin"/>
                    </w:r>
                    <w:r>
                      <w:instrText xml:space="preserve"> DOCPROPERTY "YearUser" *\charformat </w:instrText>
                    </w:r>
                    <w:r>
                      <w:fldChar w:fldCharType="separate"/>
                    </w:r>
                    <w:r w:rsidR="00EF57BC">
                      <w:t>2005/06</w:t>
                    </w:r>
                    <w:r>
                      <w:fldChar w:fldCharType="end"/>
                    </w:r>
                    <w:r>
                      <w:t>:</w:t>
                    </w:r>
                    <w:r>
                      <w:fldChar w:fldCharType="begin"/>
                    </w:r>
                    <w:r>
                      <w:instrText xml:space="preserve"> DOCPROPERTY "Motionsnummer" *\charformat </w:instrText>
                    </w:r>
                    <w:r>
                      <w:fldChar w:fldCharType="separate"/>
                    </w:r>
                    <w:r w:rsidR="00EF57BC">
                      <w:t>Ju508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6ED" w:rsidRPr="00584CC6" w:rsidRDefault="00E946ED">
    <w:pPr>
      <w:pStyle w:val="FSHNormal"/>
      <w:tabs>
        <w:tab w:val="right" w:pos="5840"/>
      </w:tabs>
    </w:pPr>
    <w:r w:rsidRPr="00584CC6">
      <w:br/>
    </w:r>
    <w:r w:rsidRPr="00584CC6">
      <w:fldChar w:fldCharType="begin" w:fldLock="1"/>
    </w:r>
    <w:r w:rsidRPr="00584CC6">
      <w:instrText xml:space="preserve"> DOCPROPERTY</w:instrText>
    </w:r>
    <w:r w:rsidRPr="00584CC6">
      <w:rPr>
        <w:sz w:val="18"/>
      </w:rPr>
      <w:instrText xml:space="preserve"> "YearUser" *\charformat </w:instrText>
    </w:r>
    <w:r w:rsidRPr="00584CC6">
      <w:fldChar w:fldCharType="separate"/>
    </w:r>
    <w:r w:rsidR="00EF57BC" w:rsidRPr="00584CC6">
      <w:t>2005/06</w:t>
    </w:r>
    <w:r w:rsidRPr="00584CC6">
      <w:fldChar w:fldCharType="end"/>
    </w:r>
    <w:r w:rsidRPr="00584CC6">
      <w:t xml:space="preserve"> </w:t>
    </w:r>
    <w:r w:rsidRPr="00584CC6">
      <w:tab/>
      <w:t xml:space="preserve">mnr: </w:t>
    </w:r>
    <w:r w:rsidRPr="00584CC6">
      <w:fldChar w:fldCharType="begin" w:fldLock="1"/>
    </w:r>
    <w:r w:rsidRPr="00584CC6">
      <w:instrText xml:space="preserve"> DOCPROPERTY</w:instrText>
    </w:r>
    <w:r w:rsidRPr="00584CC6">
      <w:rPr>
        <w:sz w:val="18"/>
      </w:rPr>
      <w:instrText xml:space="preserve"> "Motionsnummer" *\charformat </w:instrText>
    </w:r>
    <w:r w:rsidRPr="00584CC6">
      <w:fldChar w:fldCharType="separate"/>
    </w:r>
    <w:r w:rsidR="00EF57BC" w:rsidRPr="00584CC6">
      <w:t>Ju508</w:t>
    </w:r>
    <w:r w:rsidRPr="00584CC6">
      <w:fldChar w:fldCharType="end"/>
    </w:r>
    <w:r w:rsidRPr="00584CC6">
      <w:br/>
    </w:r>
    <w:r w:rsidRPr="00584CC6">
      <w:fldChar w:fldCharType="begin" w:fldLock="1"/>
    </w:r>
    <w:r w:rsidRPr="00584CC6">
      <w:instrText xml:space="preserve"> DOCPROPERTY</w:instrText>
    </w:r>
    <w:r w:rsidRPr="00584CC6">
      <w:rPr>
        <w:sz w:val="18"/>
      </w:rPr>
      <w:instrText xml:space="preserve"> "Samling" *\charformat </w:instrText>
    </w:r>
    <w:r w:rsidRPr="00584CC6">
      <w:fldChar w:fldCharType="end"/>
    </w:r>
    <w:r w:rsidRPr="00584CC6">
      <w:tab/>
      <w:t xml:space="preserve">pnr: </w:t>
    </w:r>
    <w:r w:rsidRPr="00584CC6">
      <w:fldChar w:fldCharType="begin" w:fldLock="1"/>
    </w:r>
    <w:r w:rsidRPr="00584CC6">
      <w:instrText xml:space="preserve"> DOCPROPERTY</w:instrText>
    </w:r>
    <w:r w:rsidRPr="00584CC6">
      <w:rPr>
        <w:sz w:val="18"/>
      </w:rPr>
      <w:instrText xml:space="preserve"> "Partinummer" *\charformat </w:instrText>
    </w:r>
    <w:r w:rsidRPr="00584CC6">
      <w:fldChar w:fldCharType="separate"/>
    </w:r>
    <w:r w:rsidR="00EF57BC" w:rsidRPr="00584CC6">
      <w:t>fp138</w:t>
    </w:r>
    <w:r w:rsidRPr="00584CC6">
      <w:fldChar w:fldCharType="end"/>
    </w:r>
  </w:p>
  <w:p w:rsidR="00E946ED" w:rsidRPr="00584CC6" w:rsidRDefault="00E946ED">
    <w:pPr>
      <w:pStyle w:val="FSHRub1"/>
    </w:pPr>
    <w:r w:rsidRPr="00584CC6">
      <w:t>Motion till riksdagen</w:t>
    </w:r>
    <w:r w:rsidRPr="00584CC6">
      <w:br/>
    </w:r>
    <w:r w:rsidRPr="00584CC6">
      <w:fldChar w:fldCharType="begin" w:fldLock="1"/>
    </w:r>
    <w:r w:rsidRPr="00584CC6">
      <w:instrText xml:space="preserve"> DOCPROPERTY "YearUser" *\charformat </w:instrText>
    </w:r>
    <w:r w:rsidRPr="00584CC6">
      <w:fldChar w:fldCharType="separate"/>
    </w:r>
    <w:r w:rsidR="00EF57BC" w:rsidRPr="00584CC6">
      <w:t>2005/06</w:t>
    </w:r>
    <w:r w:rsidRPr="00584CC6">
      <w:fldChar w:fldCharType="end"/>
    </w:r>
    <w:r w:rsidRPr="00584CC6">
      <w:t>:</w:t>
    </w:r>
    <w:r w:rsidRPr="00584CC6">
      <w:fldChar w:fldCharType="begin" w:fldLock="1"/>
    </w:r>
    <w:r w:rsidRPr="00584CC6">
      <w:instrText xml:space="preserve"> DOCPROPERTY "Motionsnummer" *\charformat </w:instrText>
    </w:r>
    <w:r w:rsidRPr="00584CC6">
      <w:fldChar w:fldCharType="separate"/>
    </w:r>
    <w:r w:rsidR="00EF57BC" w:rsidRPr="00584CC6">
      <w:t>Ju508</w:t>
    </w:r>
    <w:r w:rsidRPr="00584CC6">
      <w:fldChar w:fldCharType="end"/>
    </w:r>
  </w:p>
  <w:p w:rsidR="00E946ED" w:rsidRPr="00584CC6" w:rsidRDefault="00E946ED">
    <w:pPr>
      <w:pStyle w:val="FSHNormalS5"/>
    </w:pPr>
    <w:r w:rsidRPr="00584CC6">
      <w:fldChar w:fldCharType="begin" w:fldLock="1"/>
    </w:r>
    <w:r w:rsidRPr="00584CC6">
      <w:instrText xml:space="preserve"> DOCPROPERTY "MotionarText" *\charformat </w:instrText>
    </w:r>
    <w:r w:rsidRPr="00584CC6">
      <w:fldChar w:fldCharType="separate"/>
    </w:r>
    <w:r w:rsidR="00EF57BC" w:rsidRPr="00584CC6">
      <w:t>av Johan Pehrson m.fl. (fp)</w:t>
    </w:r>
    <w:r w:rsidRPr="00584CC6">
      <w:fldChar w:fldCharType="end"/>
    </w:r>
    <w:r w:rsidRPr="00584CC6">
      <w:br/>
    </w:r>
    <w:r w:rsidRPr="00584CC6">
      <w:fldChar w:fldCharType="begin" w:fldLock="1"/>
    </w:r>
    <w:r w:rsidRPr="00584CC6">
      <w:instrText xml:space="preserve"> DOCPROPERTY "SvarFrasKort" *\charformat </w:instrText>
    </w:r>
    <w:r w:rsidRPr="00584CC6">
      <w:fldChar w:fldCharType="end"/>
    </w:r>
  </w:p>
  <w:p w:rsidR="00E946ED" w:rsidRPr="00584CC6" w:rsidRDefault="00E946ED">
    <w:pPr>
      <w:pStyle w:val="FSHTitel"/>
    </w:pPr>
    <w:r w:rsidRPr="00584CC6">
      <w:fldChar w:fldCharType="begin" w:fldLock="1"/>
    </w:r>
    <w:r w:rsidRPr="00584CC6">
      <w:instrText xml:space="preserve"> DOCPROPERTY</w:instrText>
    </w:r>
    <w:r w:rsidRPr="00584CC6">
      <w:rPr>
        <w:sz w:val="18"/>
      </w:rPr>
      <w:instrText xml:space="preserve"> "RubrikSvar" *\charformat </w:instrText>
    </w:r>
    <w:r w:rsidRPr="00584CC6">
      <w:fldChar w:fldCharType="separate"/>
    </w:r>
    <w:r w:rsidR="00EF57BC" w:rsidRPr="00584CC6">
      <w:t xml:space="preserve">Liberala satsningar på rättsväsendet </w:t>
    </w:r>
    <w:r w:rsidRPr="00584CC6">
      <w:fldChar w:fldCharType="end"/>
    </w:r>
  </w:p>
  <w:p w:rsidR="00E946ED" w:rsidRPr="00584CC6" w:rsidRDefault="00E946ED" w:rsidP="005B1DF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CB684D"/>
    <w:multiLevelType w:val="hybridMultilevel"/>
    <w:tmpl w:val="94145B16"/>
    <w:lvl w:ilvl="0" w:tplc="A9140AB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num w:numId="1" w16cid:durableId="1800684266">
    <w:abstractNumId w:val="10"/>
  </w:num>
  <w:num w:numId="2" w16cid:durableId="1337148176">
    <w:abstractNumId w:val="13"/>
  </w:num>
  <w:num w:numId="3" w16cid:durableId="2100711757">
    <w:abstractNumId w:val="8"/>
  </w:num>
  <w:num w:numId="4" w16cid:durableId="758407044">
    <w:abstractNumId w:val="3"/>
  </w:num>
  <w:num w:numId="5" w16cid:durableId="318000707">
    <w:abstractNumId w:val="2"/>
  </w:num>
  <w:num w:numId="6" w16cid:durableId="391971176">
    <w:abstractNumId w:val="1"/>
  </w:num>
  <w:num w:numId="7" w16cid:durableId="566719623">
    <w:abstractNumId w:val="0"/>
  </w:num>
  <w:num w:numId="8" w16cid:durableId="526795101">
    <w:abstractNumId w:val="9"/>
  </w:num>
  <w:num w:numId="9" w16cid:durableId="1304850564">
    <w:abstractNumId w:val="7"/>
  </w:num>
  <w:num w:numId="10" w16cid:durableId="1404839501">
    <w:abstractNumId w:val="6"/>
  </w:num>
  <w:num w:numId="11" w16cid:durableId="105392593">
    <w:abstractNumId w:val="5"/>
  </w:num>
  <w:num w:numId="12" w16cid:durableId="2059817274">
    <w:abstractNumId w:val="4"/>
  </w:num>
  <w:num w:numId="13" w16cid:durableId="1706177099">
    <w:abstractNumId w:val="10"/>
  </w:num>
  <w:num w:numId="14" w16cid:durableId="482432201">
    <w:abstractNumId w:val="13"/>
  </w:num>
  <w:num w:numId="15" w16cid:durableId="1481460159">
    <w:abstractNumId w:val="12"/>
  </w:num>
  <w:num w:numId="16" w16cid:durableId="17349614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E368B0"/>
    <w:rsid w:val="000274FF"/>
    <w:rsid w:val="000431FD"/>
    <w:rsid w:val="00056332"/>
    <w:rsid w:val="00057D38"/>
    <w:rsid w:val="00065A23"/>
    <w:rsid w:val="00067F35"/>
    <w:rsid w:val="00073E48"/>
    <w:rsid w:val="000942AF"/>
    <w:rsid w:val="000A0521"/>
    <w:rsid w:val="000B2D49"/>
    <w:rsid w:val="000B6191"/>
    <w:rsid w:val="001259F7"/>
    <w:rsid w:val="00131170"/>
    <w:rsid w:val="00140E08"/>
    <w:rsid w:val="001440BA"/>
    <w:rsid w:val="0014656B"/>
    <w:rsid w:val="00152745"/>
    <w:rsid w:val="001553B6"/>
    <w:rsid w:val="0016404B"/>
    <w:rsid w:val="00166FE6"/>
    <w:rsid w:val="001C1076"/>
    <w:rsid w:val="001D38B0"/>
    <w:rsid w:val="00206350"/>
    <w:rsid w:val="00213196"/>
    <w:rsid w:val="0022275F"/>
    <w:rsid w:val="002B663A"/>
    <w:rsid w:val="002E53A6"/>
    <w:rsid w:val="003321EB"/>
    <w:rsid w:val="0038052C"/>
    <w:rsid w:val="003944C3"/>
    <w:rsid w:val="003A60CF"/>
    <w:rsid w:val="003B543F"/>
    <w:rsid w:val="003E7356"/>
    <w:rsid w:val="003F4764"/>
    <w:rsid w:val="0041171B"/>
    <w:rsid w:val="0042225C"/>
    <w:rsid w:val="00436D3D"/>
    <w:rsid w:val="00447159"/>
    <w:rsid w:val="004617D4"/>
    <w:rsid w:val="004C7F06"/>
    <w:rsid w:val="004D4BD0"/>
    <w:rsid w:val="00553B90"/>
    <w:rsid w:val="005676B9"/>
    <w:rsid w:val="00584CC6"/>
    <w:rsid w:val="005A1F7E"/>
    <w:rsid w:val="005B1DF2"/>
    <w:rsid w:val="005C2F1A"/>
    <w:rsid w:val="005C3C9F"/>
    <w:rsid w:val="005E2F25"/>
    <w:rsid w:val="005E4C8E"/>
    <w:rsid w:val="005F4BC1"/>
    <w:rsid w:val="00602784"/>
    <w:rsid w:val="0060674C"/>
    <w:rsid w:val="0061442B"/>
    <w:rsid w:val="00632EC2"/>
    <w:rsid w:val="00647184"/>
    <w:rsid w:val="00653CDB"/>
    <w:rsid w:val="006561A9"/>
    <w:rsid w:val="00670946"/>
    <w:rsid w:val="00673F2B"/>
    <w:rsid w:val="00680136"/>
    <w:rsid w:val="00690A57"/>
    <w:rsid w:val="00691797"/>
    <w:rsid w:val="006A7B47"/>
    <w:rsid w:val="006B20FF"/>
    <w:rsid w:val="006D78EE"/>
    <w:rsid w:val="006F2547"/>
    <w:rsid w:val="00707DB7"/>
    <w:rsid w:val="00737C64"/>
    <w:rsid w:val="007408A2"/>
    <w:rsid w:val="007A0C9B"/>
    <w:rsid w:val="007A1884"/>
    <w:rsid w:val="007D7F19"/>
    <w:rsid w:val="007F2A74"/>
    <w:rsid w:val="00807570"/>
    <w:rsid w:val="0083457B"/>
    <w:rsid w:val="0086332A"/>
    <w:rsid w:val="00866711"/>
    <w:rsid w:val="008812E6"/>
    <w:rsid w:val="008967D7"/>
    <w:rsid w:val="008B4283"/>
    <w:rsid w:val="008B4DC3"/>
    <w:rsid w:val="008B50DE"/>
    <w:rsid w:val="008D46E9"/>
    <w:rsid w:val="0090287A"/>
    <w:rsid w:val="009368B9"/>
    <w:rsid w:val="00957E3E"/>
    <w:rsid w:val="00967C0B"/>
    <w:rsid w:val="009C43D4"/>
    <w:rsid w:val="00A028CD"/>
    <w:rsid w:val="00A16A8F"/>
    <w:rsid w:val="00A3286E"/>
    <w:rsid w:val="00A458F9"/>
    <w:rsid w:val="00A56AAE"/>
    <w:rsid w:val="00A62E27"/>
    <w:rsid w:val="00A71059"/>
    <w:rsid w:val="00A8030A"/>
    <w:rsid w:val="00A8160C"/>
    <w:rsid w:val="00AA1596"/>
    <w:rsid w:val="00AC03C4"/>
    <w:rsid w:val="00AE2D7F"/>
    <w:rsid w:val="00AE5468"/>
    <w:rsid w:val="00B25569"/>
    <w:rsid w:val="00B26E8E"/>
    <w:rsid w:val="00B40FFC"/>
    <w:rsid w:val="00B67271"/>
    <w:rsid w:val="00BD0C9E"/>
    <w:rsid w:val="00BD4623"/>
    <w:rsid w:val="00BF3318"/>
    <w:rsid w:val="00C047D4"/>
    <w:rsid w:val="00C05A5F"/>
    <w:rsid w:val="00C43598"/>
    <w:rsid w:val="00C45F8F"/>
    <w:rsid w:val="00C8313D"/>
    <w:rsid w:val="00C83CF9"/>
    <w:rsid w:val="00C94192"/>
    <w:rsid w:val="00CA2BD6"/>
    <w:rsid w:val="00CB49DB"/>
    <w:rsid w:val="00CB514E"/>
    <w:rsid w:val="00CC5E3E"/>
    <w:rsid w:val="00CD1719"/>
    <w:rsid w:val="00D418F1"/>
    <w:rsid w:val="00D4698C"/>
    <w:rsid w:val="00D51CBB"/>
    <w:rsid w:val="00DC2820"/>
    <w:rsid w:val="00E04C79"/>
    <w:rsid w:val="00E207DB"/>
    <w:rsid w:val="00E251AD"/>
    <w:rsid w:val="00E32576"/>
    <w:rsid w:val="00E368B0"/>
    <w:rsid w:val="00E66A8A"/>
    <w:rsid w:val="00E94460"/>
    <w:rsid w:val="00E946ED"/>
    <w:rsid w:val="00EA1C83"/>
    <w:rsid w:val="00EB6D29"/>
    <w:rsid w:val="00ED509D"/>
    <w:rsid w:val="00EE4F66"/>
    <w:rsid w:val="00EF57BC"/>
    <w:rsid w:val="00F078A4"/>
    <w:rsid w:val="00F274F4"/>
    <w:rsid w:val="00F57C1F"/>
    <w:rsid w:val="00F870C4"/>
    <w:rsid w:val="00FD6A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425562-B5C0-4CC5-873D-0D7EA2A28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1C1076"/>
    <w:pPr>
      <w:spacing w:after="250"/>
    </w:pPr>
  </w:style>
  <w:style w:type="paragraph" w:customStyle="1" w:styleId="Hemstlatt">
    <w:name w:val="Hemstl_att"/>
    <w:aliases w:val="HemstPunkt,HemstPunktFlera,HemställansPunkt,Förslagstext"/>
    <w:basedOn w:val="Normal"/>
    <w:next w:val="Normal"/>
    <w:rsid w:val="00690A57"/>
    <w:pPr>
      <w:keepLines/>
      <w:spacing w:before="0"/>
      <w:ind w:left="34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3915</Words>
  <Characters>24470</Characters>
  <Application>Microsoft Office Word</Application>
  <DocSecurity>4</DocSecurity>
  <Lines>520</Lines>
  <Paragraphs>208</Paragraphs>
  <ScaleCrop>false</ScaleCrop>
  <HeadingPairs>
    <vt:vector size="2" baseType="variant">
      <vt:variant>
        <vt:lpstr>Rubrik</vt:lpstr>
      </vt:variant>
      <vt:variant>
        <vt:i4>1</vt:i4>
      </vt:variant>
    </vt:vector>
  </HeadingPairs>
  <TitlesOfParts>
    <vt:vector size="1" baseType="lpstr">
      <vt:lpstr>Ju508</vt:lpstr>
    </vt:vector>
  </TitlesOfParts>
  <Company>RD/RFK/IT/DTSL</Company>
  <LinksUpToDate>false</LinksUpToDate>
  <CharactersWithSpaces>28177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Ju508</dc:title>
  <dc:subject>Ju508</dc:subject>
  <dc:creator>Riksdagen</dc:creator>
  <cp:keywords>Riksdagen</cp:keywords>
  <dc:description>Q- och KP/XP-anpassad. v3.</dc:description>
  <cp:lastModifiedBy>Lars Brink</cp:lastModifiedBy>
  <cp:revision>2</cp:revision>
  <cp:lastPrinted>2006-01-19T07:56:00Z</cp:lastPrinted>
  <dcterms:created xsi:type="dcterms:W3CDTF">2025-12-16T19:30:00Z</dcterms:created>
  <dcterms:modified xsi:type="dcterms:W3CDTF">2025-12-16T19:30:00Z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Sekr">
    <vt:lpwstr>mb</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Liberala satsningar på rättsväsendet </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Liberala satsningar på rättsväsendet </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fp138</vt:lpwstr>
  </property>
  <property fmtid="{D5CDD505-2E9C-101B-9397-08002B2CF9AE}" pid="15" name="ArbRubr">
    <vt:lpwstr/>
  </property>
  <property fmtid="{D5CDD505-2E9C-101B-9397-08002B2CF9AE}" pid="16" name="Partilogo">
    <vt:lpwstr>fp</vt:lpwstr>
  </property>
  <property fmtid="{D5CDD505-2E9C-101B-9397-08002B2CF9AE}" pid="17" name="AntalParti">
    <vt:lpwstr>Partier: 1</vt:lpwstr>
  </property>
  <property fmtid="{D5CDD505-2E9C-101B-9397-08002B2CF9AE}" pid="18" name="AntalMot">
    <vt:lpwstr>Antal: 6</vt:lpwstr>
  </property>
  <property fmtid="{D5CDD505-2E9C-101B-9397-08002B2CF9AE}" pid="19" name="MotionarText">
    <vt:lpwstr>av Johan Pehrson m.fl. (fp)</vt:lpwstr>
  </property>
  <property fmtid="{D5CDD505-2E9C-101B-9397-08002B2CF9AE}" pid="20" name="MotionarLista">
    <vt:lpwstr>Pehrson, Johan (fp)\Strandberg, Torkild (fp)\Granbom, Karin (fp)\Ertsborn, Jan (fp)\Bargholtz, Helena (fp)\Wigström, Cecilia (fp)</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Johan Pehrson (fp), Torkild Strandberg (fp), Karin Granbom (fp), Jan Ertsborn (fp), Helena Bargholtz (fp), Cecilia Wigström (fp)</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fp</vt:lpwstr>
  </property>
  <property fmtid="{D5CDD505-2E9C-101B-9397-08002B2CF9AE}" pid="29" name="AntalLed">
    <vt:lpwstr>42</vt:lpwstr>
  </property>
  <property fmtid="{D5CDD505-2E9C-101B-9397-08002B2CF9AE}" pid="30" name="Samling">
    <vt:lpwstr/>
  </property>
  <property fmtid="{D5CDD505-2E9C-101B-9397-08002B2CF9AE}" pid="31" name="SamlingPrint">
    <vt:lpwstr/>
  </property>
  <property fmtid="{D5CDD505-2E9C-101B-9397-08002B2CF9AE}" pid="32" name="Motionsnummer">
    <vt:lpwstr>Ju508</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5 oktober 2005</vt:lpwstr>
  </property>
  <property fmtid="{D5CDD505-2E9C-101B-9397-08002B2CF9AE}" pid="38" name="NotesUID">
    <vt:lpwstr>niklas.frykman@riksdagen.se</vt:lpwstr>
  </property>
  <property fmtid="{D5CDD505-2E9C-101B-9397-08002B2CF9AE}" pid="39" name="ReservUID">
    <vt:lpwstr>peter jansson</vt:lpwstr>
  </property>
  <property fmtid="{D5CDD505-2E9C-101B-9397-08002B2CF9AE}" pid="40" name="MotionID">
    <vt:lpwstr>20052006000001020112000001380075</vt:lpwstr>
  </property>
  <property fmtid="{D5CDD505-2E9C-101B-9397-08002B2CF9AE}" pid="41" name="avs-org">
    <vt:lpwstr/>
  </property>
  <property fmtid="{D5CDD505-2E9C-101B-9397-08002B2CF9AE}" pid="42" name="datum">
    <vt:lpwstr>051005</vt:lpwstr>
  </property>
  <property fmtid="{D5CDD505-2E9C-101B-9397-08002B2CF9AE}" pid="43" name="dokumenttyp">
    <vt:lpwstr/>
  </property>
  <property fmtid="{D5CDD505-2E9C-101B-9397-08002B2CF9AE}" pid="44" name="avsändar-e-post">
    <vt:lpwstr>niklas.frykman@riksdagen.se</vt:lpwstr>
  </property>
  <property fmtid="{D5CDD505-2E9C-101B-9397-08002B2CF9AE}" pid="45" name="id">
    <vt:lpwstr>20052006000001020112000001380075</vt:lpwstr>
  </property>
  <property fmtid="{D5CDD505-2E9C-101B-9397-08002B2CF9AE}" pid="46" name="nummer">
    <vt:lpwstr>508</vt:lpwstr>
  </property>
  <property fmtid="{D5CDD505-2E9C-101B-9397-08002B2CF9AE}" pid="47" name="partibeteckning">
    <vt:lpwstr>fp</vt:lpwstr>
  </property>
  <property fmtid="{D5CDD505-2E9C-101B-9397-08002B2CF9AE}" pid="48" name="årsuppgift">
    <vt:lpwstr>200506</vt:lpwstr>
  </property>
  <property fmtid="{D5CDD505-2E9C-101B-9397-08002B2CF9AE}" pid="49" name="utskottsbeteckning">
    <vt:lpwstr>Ju</vt:lpwstr>
  </property>
  <property fmtid="{D5CDD505-2E9C-101B-9397-08002B2CF9AE}" pid="50" name="version">
    <vt:lpwstr/>
  </property>
  <property fmtid="{D5CDD505-2E9C-101B-9397-08002B2CF9AE}" pid="51" name="DeladMotion">
    <vt:lpwstr>nej</vt:lpwstr>
  </property>
</Properties>
</file>