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27A20" w:rsidRPr="00613DE9">
        <w:tblPrEx>
          <w:tblCellMar>
            <w:top w:w="0" w:type="dxa"/>
            <w:bottom w:w="0" w:type="dxa"/>
          </w:tblCellMar>
        </w:tblPrEx>
        <w:tc>
          <w:tcPr>
            <w:tcW w:w="2268" w:type="dxa"/>
          </w:tcPr>
          <w:p w:rsidR="00827A20" w:rsidRPr="00613DE9" w:rsidRDefault="00827A20">
            <w:pPr>
              <w:framePr w:w="4400" w:h="1644" w:wrap="notBeside" w:vAnchor="page" w:hAnchor="page" w:x="6573" w:y="721"/>
              <w:rPr>
                <w:rFonts w:ascii="TradeGothic" w:hAnsi="TradeGothic"/>
                <w:i/>
                <w:sz w:val="18"/>
              </w:rPr>
            </w:pPr>
          </w:p>
        </w:tc>
        <w:tc>
          <w:tcPr>
            <w:tcW w:w="2347" w:type="dxa"/>
            <w:gridSpan w:val="2"/>
          </w:tcPr>
          <w:p w:rsidR="00827A20" w:rsidRPr="00613DE9" w:rsidRDefault="00827A20">
            <w:pPr>
              <w:framePr w:w="4400" w:h="1644" w:wrap="notBeside" w:vAnchor="page" w:hAnchor="page" w:x="6573" w:y="721"/>
              <w:rPr>
                <w:rFonts w:ascii="TradeGothic" w:hAnsi="TradeGothic"/>
                <w:i/>
                <w:sz w:val="18"/>
              </w:rPr>
            </w:pPr>
          </w:p>
        </w:tc>
      </w:tr>
      <w:tr w:rsidR="00827A20" w:rsidRPr="00613DE9">
        <w:tblPrEx>
          <w:tblCellMar>
            <w:top w:w="0" w:type="dxa"/>
            <w:bottom w:w="0" w:type="dxa"/>
          </w:tblCellMar>
        </w:tblPrEx>
        <w:trPr>
          <w:cantSplit/>
        </w:trPr>
        <w:tc>
          <w:tcPr>
            <w:tcW w:w="4615" w:type="dxa"/>
            <w:gridSpan w:val="3"/>
          </w:tcPr>
          <w:p w:rsidR="00827A20" w:rsidRPr="00613DE9" w:rsidRDefault="00827A20">
            <w:pPr>
              <w:framePr w:w="4400" w:h="1644" w:wrap="notBeside" w:vAnchor="page" w:hAnchor="page" w:x="6573" w:y="721"/>
              <w:rPr>
                <w:rFonts w:ascii="TradeGothic" w:hAnsi="TradeGothic"/>
                <w:b/>
                <w:sz w:val="22"/>
              </w:rPr>
            </w:pPr>
            <w:r w:rsidRPr="00613DE9">
              <w:rPr>
                <w:rFonts w:ascii="TradeGothic" w:hAnsi="TradeGothic"/>
                <w:b/>
                <w:sz w:val="22"/>
              </w:rPr>
              <w:t>Rådspromemoria</w:t>
            </w:r>
          </w:p>
        </w:tc>
      </w:tr>
      <w:tr w:rsidR="00827A20" w:rsidRPr="00613DE9">
        <w:tblPrEx>
          <w:tblCellMar>
            <w:top w:w="0" w:type="dxa"/>
            <w:bottom w:w="0" w:type="dxa"/>
          </w:tblCellMar>
        </w:tblPrEx>
        <w:tc>
          <w:tcPr>
            <w:tcW w:w="3402" w:type="dxa"/>
            <w:gridSpan w:val="2"/>
          </w:tcPr>
          <w:p w:rsidR="00827A20" w:rsidRPr="00613DE9" w:rsidRDefault="00827A20">
            <w:pPr>
              <w:framePr w:w="4400" w:h="1644" w:wrap="notBeside" w:vAnchor="page" w:hAnchor="page" w:x="6573" w:y="721"/>
            </w:pPr>
          </w:p>
        </w:tc>
        <w:tc>
          <w:tcPr>
            <w:tcW w:w="1213" w:type="dxa"/>
          </w:tcPr>
          <w:p w:rsidR="00827A20" w:rsidRPr="00613DE9" w:rsidRDefault="00827A20">
            <w:pPr>
              <w:framePr w:w="4400" w:h="1644" w:wrap="notBeside" w:vAnchor="page" w:hAnchor="page" w:x="6573" w:y="721"/>
            </w:pPr>
          </w:p>
        </w:tc>
      </w:tr>
      <w:tr w:rsidR="00827A20" w:rsidRPr="00613DE9">
        <w:tblPrEx>
          <w:tblCellMar>
            <w:top w:w="0" w:type="dxa"/>
            <w:bottom w:w="0" w:type="dxa"/>
          </w:tblCellMar>
        </w:tblPrEx>
        <w:tc>
          <w:tcPr>
            <w:tcW w:w="2268" w:type="dxa"/>
          </w:tcPr>
          <w:p w:rsidR="00827A20" w:rsidRPr="00613DE9" w:rsidRDefault="00827A20">
            <w:pPr>
              <w:framePr w:w="4400" w:h="1644" w:wrap="notBeside" w:vAnchor="page" w:hAnchor="page" w:x="6573" w:y="721"/>
            </w:pPr>
            <w:r w:rsidRPr="00613DE9">
              <w:t>2006-11-16</w:t>
            </w:r>
          </w:p>
        </w:tc>
        <w:tc>
          <w:tcPr>
            <w:tcW w:w="2347" w:type="dxa"/>
            <w:gridSpan w:val="2"/>
          </w:tcPr>
          <w:p w:rsidR="00827A20" w:rsidRPr="00613DE9" w:rsidRDefault="00827A20">
            <w:pPr>
              <w:framePr w:w="4400" w:h="1644" w:wrap="notBeside" w:vAnchor="page" w:hAnchor="page" w:x="6573" w:y="721"/>
            </w:pPr>
          </w:p>
        </w:tc>
      </w:tr>
      <w:tr w:rsidR="00827A20" w:rsidRPr="00613DE9">
        <w:tblPrEx>
          <w:tblCellMar>
            <w:top w:w="0" w:type="dxa"/>
            <w:bottom w:w="0" w:type="dxa"/>
          </w:tblCellMar>
        </w:tblPrEx>
        <w:tc>
          <w:tcPr>
            <w:tcW w:w="2268" w:type="dxa"/>
          </w:tcPr>
          <w:p w:rsidR="00827A20" w:rsidRPr="00613DE9" w:rsidRDefault="00827A20">
            <w:pPr>
              <w:framePr w:w="4400" w:h="1644" w:wrap="notBeside" w:vAnchor="page" w:hAnchor="page" w:x="6573" w:y="721"/>
            </w:pPr>
          </w:p>
        </w:tc>
        <w:tc>
          <w:tcPr>
            <w:tcW w:w="2347" w:type="dxa"/>
            <w:gridSpan w:val="2"/>
          </w:tcPr>
          <w:p w:rsidR="00827A20" w:rsidRPr="00613DE9" w:rsidRDefault="00827A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27A20" w:rsidRPr="00613DE9">
        <w:tblPrEx>
          <w:tblCellMar>
            <w:top w:w="0" w:type="dxa"/>
            <w:bottom w:w="0" w:type="dxa"/>
          </w:tblCellMar>
        </w:tblPrEx>
        <w:trPr>
          <w:trHeight w:val="284"/>
        </w:trPr>
        <w:tc>
          <w:tcPr>
            <w:tcW w:w="4911" w:type="dxa"/>
          </w:tcPr>
          <w:p w:rsidR="00827A20" w:rsidRPr="00613DE9" w:rsidRDefault="00827A20">
            <w:pPr>
              <w:pStyle w:val="Avsndare"/>
              <w:framePr w:h="2483" w:wrap="notBeside" w:x="1504"/>
              <w:rPr>
                <w:b/>
                <w:i w:val="0"/>
                <w:sz w:val="22"/>
              </w:rPr>
            </w:pPr>
            <w:r w:rsidRPr="00613DE9">
              <w:rPr>
                <w:b/>
                <w:i w:val="0"/>
                <w:sz w:val="22"/>
              </w:rPr>
              <w:t>Justitiedepartementet</w:t>
            </w:r>
          </w:p>
        </w:tc>
      </w:tr>
      <w:tr w:rsidR="00827A20" w:rsidRPr="00613DE9">
        <w:tblPrEx>
          <w:tblCellMar>
            <w:top w:w="0" w:type="dxa"/>
            <w:bottom w:w="0" w:type="dxa"/>
          </w:tblCellMar>
        </w:tblPrEx>
        <w:trPr>
          <w:trHeight w:val="284"/>
        </w:trPr>
        <w:tc>
          <w:tcPr>
            <w:tcW w:w="4911" w:type="dxa"/>
          </w:tcPr>
          <w:p w:rsidR="00827A20" w:rsidRPr="00613DE9" w:rsidRDefault="00827A20">
            <w:pPr>
              <w:pStyle w:val="Avsndare"/>
              <w:framePr w:h="2483" w:wrap="notBeside" w:x="1504"/>
              <w:rPr>
                <w:bCs/>
                <w:iCs/>
              </w:rPr>
            </w:pPr>
          </w:p>
        </w:tc>
      </w:tr>
      <w:tr w:rsidR="00827A20" w:rsidRPr="00613DE9">
        <w:tblPrEx>
          <w:tblCellMar>
            <w:top w:w="0" w:type="dxa"/>
            <w:bottom w:w="0" w:type="dxa"/>
          </w:tblCellMar>
        </w:tblPrEx>
        <w:trPr>
          <w:trHeight w:val="284"/>
        </w:trPr>
        <w:tc>
          <w:tcPr>
            <w:tcW w:w="4911" w:type="dxa"/>
          </w:tcPr>
          <w:p w:rsidR="00827A20" w:rsidRPr="00613DE9" w:rsidRDefault="00827A20">
            <w:pPr>
              <w:pStyle w:val="Avsndare"/>
              <w:framePr w:h="2483" w:wrap="notBeside" w:x="1504"/>
              <w:rPr>
                <w:bCs/>
                <w:iCs/>
              </w:rPr>
            </w:pPr>
          </w:p>
        </w:tc>
      </w:tr>
      <w:tr w:rsidR="00827A20" w:rsidRPr="00613DE9">
        <w:tblPrEx>
          <w:tblCellMar>
            <w:top w:w="0" w:type="dxa"/>
            <w:bottom w:w="0" w:type="dxa"/>
          </w:tblCellMar>
        </w:tblPrEx>
        <w:trPr>
          <w:trHeight w:val="284"/>
        </w:trPr>
        <w:tc>
          <w:tcPr>
            <w:tcW w:w="4911" w:type="dxa"/>
          </w:tcPr>
          <w:p w:rsidR="00827A20" w:rsidRPr="00613DE9" w:rsidRDefault="00827A20">
            <w:pPr>
              <w:pStyle w:val="Avsndare"/>
              <w:framePr w:h="2483" w:wrap="notBeside" w:x="1504"/>
              <w:rPr>
                <w:bCs/>
                <w:iCs/>
              </w:rPr>
            </w:pPr>
          </w:p>
        </w:tc>
      </w:tr>
      <w:tr w:rsidR="00827A20" w:rsidRPr="00613DE9">
        <w:tblPrEx>
          <w:tblCellMar>
            <w:top w:w="0" w:type="dxa"/>
            <w:bottom w:w="0" w:type="dxa"/>
          </w:tblCellMar>
        </w:tblPrEx>
        <w:trPr>
          <w:trHeight w:val="284"/>
        </w:trPr>
        <w:tc>
          <w:tcPr>
            <w:tcW w:w="4911" w:type="dxa"/>
          </w:tcPr>
          <w:p w:rsidR="00827A20" w:rsidRPr="00613DE9" w:rsidRDefault="00827A20">
            <w:pPr>
              <w:pStyle w:val="Avsndare"/>
              <w:framePr w:h="2483" w:wrap="notBeside" w:x="1504"/>
              <w:rPr>
                <w:bCs/>
                <w:iCs/>
              </w:rPr>
            </w:pPr>
          </w:p>
        </w:tc>
      </w:tr>
      <w:tr w:rsidR="00827A20" w:rsidRPr="00613DE9">
        <w:tblPrEx>
          <w:tblCellMar>
            <w:top w:w="0" w:type="dxa"/>
            <w:bottom w:w="0" w:type="dxa"/>
          </w:tblCellMar>
        </w:tblPrEx>
        <w:trPr>
          <w:trHeight w:val="284"/>
        </w:trPr>
        <w:tc>
          <w:tcPr>
            <w:tcW w:w="4911" w:type="dxa"/>
          </w:tcPr>
          <w:p w:rsidR="00827A20" w:rsidRPr="00613DE9" w:rsidRDefault="00827A20">
            <w:pPr>
              <w:pStyle w:val="Avsndare"/>
              <w:framePr w:h="2483" w:wrap="notBeside" w:x="1504"/>
              <w:rPr>
                <w:bCs/>
                <w:iCs/>
              </w:rPr>
            </w:pPr>
          </w:p>
        </w:tc>
      </w:tr>
      <w:tr w:rsidR="00827A20" w:rsidRPr="00613DE9">
        <w:tblPrEx>
          <w:tblCellMar>
            <w:top w:w="0" w:type="dxa"/>
            <w:bottom w:w="0" w:type="dxa"/>
          </w:tblCellMar>
        </w:tblPrEx>
        <w:trPr>
          <w:trHeight w:val="284"/>
        </w:trPr>
        <w:tc>
          <w:tcPr>
            <w:tcW w:w="4911" w:type="dxa"/>
          </w:tcPr>
          <w:p w:rsidR="00827A20" w:rsidRPr="00613DE9" w:rsidRDefault="00827A20">
            <w:pPr>
              <w:pStyle w:val="Avsndare"/>
              <w:framePr w:h="2483" w:wrap="notBeside" w:x="1504"/>
              <w:rPr>
                <w:bCs/>
                <w:iCs/>
              </w:rPr>
            </w:pPr>
          </w:p>
        </w:tc>
      </w:tr>
      <w:tr w:rsidR="00827A20" w:rsidRPr="00613DE9">
        <w:tblPrEx>
          <w:tblCellMar>
            <w:top w:w="0" w:type="dxa"/>
            <w:bottom w:w="0" w:type="dxa"/>
          </w:tblCellMar>
        </w:tblPrEx>
        <w:trPr>
          <w:trHeight w:val="284"/>
        </w:trPr>
        <w:tc>
          <w:tcPr>
            <w:tcW w:w="4911" w:type="dxa"/>
          </w:tcPr>
          <w:p w:rsidR="00827A20" w:rsidRPr="00613DE9" w:rsidRDefault="00827A20">
            <w:pPr>
              <w:pStyle w:val="Avsndare"/>
              <w:framePr w:h="2483" w:wrap="notBeside" w:x="1504"/>
              <w:rPr>
                <w:bCs/>
                <w:iCs/>
              </w:rPr>
            </w:pPr>
          </w:p>
        </w:tc>
      </w:tr>
      <w:tr w:rsidR="00827A20" w:rsidRPr="00613DE9">
        <w:tblPrEx>
          <w:tblCellMar>
            <w:top w:w="0" w:type="dxa"/>
            <w:bottom w:w="0" w:type="dxa"/>
          </w:tblCellMar>
        </w:tblPrEx>
        <w:trPr>
          <w:trHeight w:val="284"/>
        </w:trPr>
        <w:tc>
          <w:tcPr>
            <w:tcW w:w="4911" w:type="dxa"/>
          </w:tcPr>
          <w:p w:rsidR="00827A20" w:rsidRPr="00613DE9" w:rsidRDefault="00827A20">
            <w:pPr>
              <w:pStyle w:val="Avsndare"/>
              <w:framePr w:h="2483" w:wrap="notBeside" w:x="1504"/>
              <w:rPr>
                <w:bCs/>
                <w:iCs/>
              </w:rPr>
            </w:pPr>
          </w:p>
        </w:tc>
      </w:tr>
    </w:tbl>
    <w:p w:rsidR="00827A20" w:rsidRPr="00613DE9" w:rsidRDefault="00827A20">
      <w:pPr>
        <w:framePr w:w="4400" w:h="2523" w:wrap="notBeside" w:vAnchor="page" w:hAnchor="page" w:x="6453" w:y="2445"/>
        <w:ind w:left="142"/>
        <w:rPr>
          <w:b/>
        </w:rPr>
      </w:pPr>
    </w:p>
    <w:p w:rsidR="00827A20" w:rsidRPr="00613DE9" w:rsidRDefault="00827A20">
      <w:pPr>
        <w:pStyle w:val="RKrubrik"/>
        <w:pBdr>
          <w:bottom w:val="single" w:sz="6" w:space="1" w:color="auto"/>
        </w:pBdr>
      </w:pPr>
      <w:bookmarkStart w:id="0" w:name="bRubrik"/>
      <w:bookmarkEnd w:id="0"/>
      <w:r w:rsidRPr="00613DE9">
        <w:t>Rådets möte (transport, telekommunikation och energi) den 29–30 november 2007</w:t>
      </w:r>
    </w:p>
    <w:p w:rsidR="00827A20" w:rsidRPr="00613DE9" w:rsidRDefault="00827A20">
      <w:pPr>
        <w:pStyle w:val="RKnormal"/>
      </w:pPr>
    </w:p>
    <w:p w:rsidR="00827A20" w:rsidRPr="00613DE9" w:rsidRDefault="00827A20">
      <w:pPr>
        <w:pStyle w:val="RKnormal"/>
      </w:pPr>
      <w:r w:rsidRPr="00613DE9">
        <w:t>Dagordningspunkt 11.</w:t>
      </w:r>
    </w:p>
    <w:p w:rsidR="00827A20" w:rsidRPr="00613DE9" w:rsidRDefault="00827A20">
      <w:pPr>
        <w:pStyle w:val="RKnormal"/>
      </w:pPr>
    </w:p>
    <w:p w:rsidR="00827A20" w:rsidRPr="00613DE9" w:rsidRDefault="00827A20">
      <w:pPr>
        <w:pStyle w:val="RKnormal"/>
      </w:pPr>
      <w:r w:rsidRPr="00613DE9">
        <w:t>Rubrik: Förslag till Europaparlamentets och rådets förordning om bortfraktarens skadeståndsansvar i samband med olyckor vid passagerarbefordran till sjöss och på inre vattenvägar.</w:t>
      </w:r>
    </w:p>
    <w:p w:rsidR="00827A20" w:rsidRPr="00613DE9" w:rsidRDefault="00827A20">
      <w:pPr>
        <w:pStyle w:val="RKnormal"/>
      </w:pPr>
      <w:r w:rsidRPr="00613DE9">
        <w:t xml:space="preserve"> </w:t>
      </w:r>
    </w:p>
    <w:p w:rsidR="00827A20" w:rsidRPr="00613DE9" w:rsidRDefault="00827A20">
      <w:pPr>
        <w:pStyle w:val="RKnormal"/>
      </w:pPr>
      <w:r w:rsidRPr="00613DE9">
        <w:t xml:space="preserve">Dokument: </w:t>
      </w:r>
    </w:p>
    <w:p w:rsidR="00827A20" w:rsidRPr="00613DE9" w:rsidRDefault="00827A20">
      <w:pPr>
        <w:pStyle w:val="RKnormal"/>
      </w:pPr>
    </w:p>
    <w:p w:rsidR="00827A20" w:rsidRPr="00613DE9" w:rsidRDefault="00827A20" w:rsidP="00827A20">
      <w:pPr>
        <w:pStyle w:val="RKnormal"/>
      </w:pPr>
      <w:r w:rsidRPr="00613DE9">
        <w:t>1. KOM(2005)592 slutlig</w:t>
      </w:r>
    </w:p>
    <w:p w:rsidR="00827A20" w:rsidRPr="00613DE9" w:rsidRDefault="00827A20" w:rsidP="00827A20">
      <w:pPr>
        <w:pStyle w:val="RKnormal"/>
      </w:pPr>
      <w:r w:rsidRPr="00613DE9">
        <w:t>2. 6827/06 LIMITE MAR 22 ENV 127 CODEC 195</w:t>
      </w:r>
    </w:p>
    <w:p w:rsidR="00827A20" w:rsidRPr="00613DE9" w:rsidRDefault="00827A20" w:rsidP="00827A20">
      <w:pPr>
        <w:pStyle w:val="RKnormal"/>
      </w:pPr>
    </w:p>
    <w:p w:rsidR="00827A20" w:rsidRPr="00613DE9" w:rsidRDefault="00827A20" w:rsidP="00827A20">
      <w:pPr>
        <w:pStyle w:val="RKnormal"/>
      </w:pPr>
      <w:r w:rsidRPr="00613DE9">
        <w:t>Nya dokument väntas inkomma inför mötet i COREPER den 21 november 2007.</w:t>
      </w:r>
    </w:p>
    <w:p w:rsidR="00827A20" w:rsidRPr="00613DE9" w:rsidRDefault="00827A20">
      <w:pPr>
        <w:pStyle w:val="RKnormal"/>
      </w:pPr>
    </w:p>
    <w:p w:rsidR="00827A20" w:rsidRPr="00613DE9" w:rsidRDefault="00827A20">
      <w:pPr>
        <w:pStyle w:val="RKnormal"/>
      </w:pPr>
      <w:r w:rsidRPr="00613DE9">
        <w:t>Tidigare dokument: Fakta-PM Justitiedepartementet 2005/06:FPM67.</w:t>
      </w:r>
    </w:p>
    <w:p w:rsidR="00827A20" w:rsidRPr="00613DE9" w:rsidRDefault="00827A20">
      <w:pPr>
        <w:pStyle w:val="RKnormal"/>
      </w:pPr>
    </w:p>
    <w:p w:rsidR="00827A20" w:rsidRPr="00613DE9" w:rsidRDefault="00827A20">
      <w:pPr>
        <w:pStyle w:val="RKnormal"/>
      </w:pPr>
      <w:r w:rsidRPr="00613DE9">
        <w:t>Rättsakten behandlades senast i EU-nämnden den 1 juni 2007</w:t>
      </w:r>
      <w:r w:rsidR="005737BF" w:rsidRPr="00613DE9">
        <w:t xml:space="preserve"> inför TTE-rådet</w:t>
      </w:r>
      <w:r w:rsidRPr="00613DE9">
        <w:t>.</w:t>
      </w:r>
    </w:p>
    <w:p w:rsidR="00827A20" w:rsidRPr="00613DE9" w:rsidRDefault="00827A20">
      <w:pPr>
        <w:pStyle w:val="RKrubrik"/>
      </w:pPr>
      <w:r w:rsidRPr="00613DE9">
        <w:t>Bakgrund</w:t>
      </w:r>
    </w:p>
    <w:p w:rsidR="00827A20" w:rsidRPr="00613DE9" w:rsidRDefault="00827A20" w:rsidP="00827A20">
      <w:pPr>
        <w:pStyle w:val="RKnormal"/>
      </w:pPr>
      <w:r w:rsidRPr="00613DE9">
        <w:t>Förslaget till passagerarförordning innebär att 1974 års Atenkon</w:t>
      </w:r>
      <w:r w:rsidRPr="00613DE9">
        <w:softHyphen/>
        <w:t>vention om ansvar för passagerare och deras resgods vid sjötransporter införlivas med gemenskapsrätten i den lydelse konventionen har genom tilläggs</w:t>
      </w:r>
      <w:r w:rsidRPr="00613DE9">
        <w:softHyphen/>
        <w:t>protokollet av den 1 november 2002. Konventionen såväl som protokollet har förhandlats fram inom Internationella sjöfartsorganisationen (IMO).</w:t>
      </w:r>
    </w:p>
    <w:p w:rsidR="00827A20" w:rsidRPr="00613DE9" w:rsidRDefault="00827A20" w:rsidP="00827A20">
      <w:pPr>
        <w:pStyle w:val="RKnormal"/>
      </w:pPr>
    </w:p>
    <w:p w:rsidR="00827A20" w:rsidRPr="00613DE9" w:rsidRDefault="00827A20" w:rsidP="00827A20">
      <w:pPr>
        <w:pStyle w:val="RKnormal"/>
      </w:pPr>
      <w:r w:rsidRPr="00613DE9">
        <w:t>Enligt 2002 års tilläggsprotokoll till Atenkonventionen bär trans</w:t>
      </w:r>
      <w:r w:rsidRPr="00613DE9">
        <w:softHyphen/>
        <w:t>portören i fråga om dödsfall och personskador på passagerare som or</w:t>
      </w:r>
      <w:r w:rsidRPr="00613DE9">
        <w:softHyphen/>
        <w:t>sak</w:t>
      </w:r>
      <w:r w:rsidRPr="00613DE9">
        <w:softHyphen/>
        <w:t>ats genom sjöolyckor ett i princip strikt ansvar upp till ett belopp om 250 000 särskilda dragningsrätter (SDR) per passagerare (ca 2 750 000 kr). För skador går utöver det beloppet bär transportören ett presumtionsansvar. Det totala ansvaret är begränsat till 400 000 SDR per passagerare (ca 4 400 000 kr).</w:t>
      </w:r>
    </w:p>
    <w:p w:rsidR="00827A20" w:rsidRPr="00613DE9" w:rsidRDefault="00827A20" w:rsidP="00827A20">
      <w:pPr>
        <w:pStyle w:val="RKnormal"/>
      </w:pPr>
    </w:p>
    <w:p w:rsidR="00827A20" w:rsidRPr="00613DE9" w:rsidRDefault="00827A20" w:rsidP="00827A20">
      <w:pPr>
        <w:pStyle w:val="RKnormal"/>
      </w:pPr>
      <w:r w:rsidRPr="00613DE9">
        <w:lastRenderedPageBreak/>
        <w:t>I fråga om passa</w:t>
      </w:r>
      <w:r w:rsidRPr="00613DE9">
        <w:softHyphen/>
      </w:r>
      <w:r w:rsidRPr="00613DE9">
        <w:softHyphen/>
        <w:t>gerarfartyg som kan ta fler än tolv passagerare skall transportören ha en försäk</w:t>
      </w:r>
      <w:r w:rsidRPr="00613DE9">
        <w:softHyphen/>
        <w:t>ring som täcker det strikta ansvaret enligt konventionen.</w:t>
      </w:r>
    </w:p>
    <w:p w:rsidR="00827A20" w:rsidRPr="00613DE9" w:rsidRDefault="00827A20" w:rsidP="00827A20">
      <w:pPr>
        <w:pStyle w:val="RKnormal"/>
      </w:pPr>
    </w:p>
    <w:p w:rsidR="00827A20" w:rsidRPr="00613DE9" w:rsidRDefault="00827A20" w:rsidP="00827A20">
      <w:pPr>
        <w:pStyle w:val="RKnormal"/>
      </w:pPr>
      <w:r w:rsidRPr="00613DE9">
        <w:t>Förslaget till förordning har ett vidare tillämpningsområde än Atenkonventionen.  Den sistnämnda är endast tillämplig i fråga internationella transpor</w:t>
      </w:r>
      <w:r w:rsidRPr="00613DE9">
        <w:softHyphen/>
        <w:t>ter över hav. I förslaget till förordning modifieras emellertid reglerna på så sätt konventionens regler utsträcks till att omfatta såväl utrikes som inrikes transporter till havs och på inre vattenvägar.</w:t>
      </w:r>
    </w:p>
    <w:p w:rsidR="00827A20" w:rsidRPr="00613DE9" w:rsidRDefault="00827A20" w:rsidP="00827A20">
      <w:pPr>
        <w:pStyle w:val="RKnormal"/>
      </w:pPr>
    </w:p>
    <w:p w:rsidR="00827A20" w:rsidRPr="00613DE9" w:rsidRDefault="00827A20" w:rsidP="00827A20">
      <w:pPr>
        <w:pStyle w:val="RKnormal"/>
      </w:pPr>
      <w:r w:rsidRPr="00613DE9">
        <w:t>I förordningens föreskrivs även att passagerarna och i förekommande fall deras efterlevande har rätt till förskott på ersättningen vid person</w:t>
      </w:r>
      <w:r w:rsidRPr="00613DE9">
        <w:softHyphen/>
        <w:t>skada och dödsfall. Den regleringen saknar motsvarighet i konventionen.</w:t>
      </w:r>
    </w:p>
    <w:p w:rsidR="00827A20" w:rsidRPr="00613DE9" w:rsidRDefault="00827A20" w:rsidP="00827A20">
      <w:pPr>
        <w:pStyle w:val="RKnormal"/>
      </w:pPr>
    </w:p>
    <w:p w:rsidR="00827A20" w:rsidRPr="00613DE9" w:rsidRDefault="00827A20" w:rsidP="00827A20">
      <w:pPr>
        <w:pStyle w:val="RKnormal"/>
      </w:pPr>
      <w:r w:rsidRPr="00613DE9">
        <w:t>Förslaget till rättsakt har behandlats vid ett antal möten i rådsarbetsgruppen för sjöfart under våren och hösten 2007. De viktigaste frågorna har gällt huruvida förordningen skall tillämpas på inre vattenvägar och i lokal fart, hur IMO-riktlinjerna rörande försäkring av terrorrisker skall implementeras i förordningen samt huruvida passagerarskador skall omfattas av reglerna om globalbegränsning i 1976 års konvention på området. Förhandlingarna har resulterat i att trafik på inre vattenvägar samt i lokal fart kommer att undantas från förordningens tillämpningsområde. Vidare kommer IMO:s riktlinjer rörande försäkring av terrorrisker att implementeras genom förordningen. Vidare kommer bestämmelserna inte att påverka reglerna om globalbegränsning som de kommer till uttryck 1976 års konvention om globalbegränsning i den lydelse denna har enligt tilläggsprotokollet från 1996. Ordförandeskapet kommer vid TTE-rådet att presentera ett förslag till politisk överenskommelse som kan ligga till grund för antagande av en gemensam ståndpunkt.</w:t>
      </w:r>
    </w:p>
    <w:p w:rsidR="00827A20" w:rsidRPr="00613DE9" w:rsidRDefault="00827A20">
      <w:pPr>
        <w:pStyle w:val="RKrubrik"/>
      </w:pPr>
      <w:r w:rsidRPr="00613DE9">
        <w:t>Rättslig grund och beslutsförfarande</w:t>
      </w:r>
    </w:p>
    <w:p w:rsidR="00827A20" w:rsidRPr="00613DE9" w:rsidRDefault="00827A20" w:rsidP="00827A20">
      <w:pPr>
        <w:pStyle w:val="RKnormal"/>
      </w:pPr>
      <w:r w:rsidRPr="00613DE9">
        <w:t>KOM har som rättslig grund åberopat artikel 71.1 och artikel 80.2 i fördraget. EP deltar i förfarandet i enlighet med artikel 251 (medbeslutande). Rådet fattar beslut med kvalificerad majoritet.</w:t>
      </w:r>
    </w:p>
    <w:p w:rsidR="00827A20" w:rsidRPr="00613DE9" w:rsidRDefault="00827A20">
      <w:pPr>
        <w:pStyle w:val="RKrubrik"/>
      </w:pPr>
      <w:r w:rsidRPr="00613DE9">
        <w:t>Svensk ståndpunkt</w:t>
      </w:r>
    </w:p>
    <w:p w:rsidR="00827A20" w:rsidRPr="00613DE9" w:rsidRDefault="00827A20" w:rsidP="00827A20">
      <w:r w:rsidRPr="00613DE9">
        <w:t>SE har arbetat aktivt i den Internationella sjöfartsorganisationen (IMO) för att stärka det ersättningsrättsliga skyddet i samband med dödsfall och skador på passagerare vid sjötransporter. Arbetet resulterade i antagandet av 2002 års tilläggsprotokoll till Atenkonventionen.</w:t>
      </w:r>
    </w:p>
    <w:p w:rsidR="00827A20" w:rsidRPr="00613DE9" w:rsidRDefault="00827A20" w:rsidP="00827A20"/>
    <w:p w:rsidR="00827A20" w:rsidRPr="00613DE9" w:rsidRDefault="00827A20" w:rsidP="00827A20">
      <w:pPr>
        <w:pStyle w:val="RKnormal"/>
      </w:pPr>
      <w:r w:rsidRPr="00613DE9">
        <w:t>SE har i rådsarbetsgruppen arbetat för att ett undantag för lokal fart borde införas i förordningen. Vidare har SE välkomnat att IMO-riktlinjerna för försäkring av terrorrisker kompletterar förordningen. SE har vidare arbetat för att passagerarskadorna bör omfattas av reglerna om globalbegränsning. SE har haft framgång i detta.</w:t>
      </w:r>
    </w:p>
    <w:p w:rsidR="00827A20" w:rsidRPr="00613DE9" w:rsidRDefault="00827A20" w:rsidP="00827A20">
      <w:pPr>
        <w:pStyle w:val="RKnormal"/>
      </w:pPr>
    </w:p>
    <w:p w:rsidR="00827A20" w:rsidRPr="00613DE9" w:rsidRDefault="00827A20" w:rsidP="00827A20">
      <w:pPr>
        <w:pStyle w:val="RKnormal"/>
      </w:pPr>
      <w:r w:rsidRPr="00613DE9">
        <w:t>SE välkomnar därför att konventionen införlivas i EG-rätten.</w:t>
      </w:r>
    </w:p>
    <w:p w:rsidR="00827A20" w:rsidRPr="00613DE9" w:rsidRDefault="00827A20">
      <w:pPr>
        <w:pStyle w:val="RKrubrik"/>
      </w:pPr>
      <w:r w:rsidRPr="00613DE9">
        <w:t>Europaparlamentets inställning</w:t>
      </w:r>
    </w:p>
    <w:p w:rsidR="00827A20" w:rsidRPr="00613DE9" w:rsidRDefault="00827A20" w:rsidP="00827A20">
      <w:pPr>
        <w:pStyle w:val="RKnormal"/>
      </w:pPr>
      <w:r w:rsidRPr="00613DE9">
        <w:t>EP behandlade förslaget inom ramen för en första läsning i plenum den 25 april 2007. EP ser positivt på att förordningen föreslås omfatta såväl transporter till sjöss som på inre vattenvägar, men förordar övergångstider för inrikes färjetransporter och fart på inre vattenvägar om två respektive fyra år</w:t>
      </w:r>
    </w:p>
    <w:p w:rsidR="00827A20" w:rsidRPr="00613DE9" w:rsidRDefault="00827A20">
      <w:pPr>
        <w:pStyle w:val="RKrubrik"/>
      </w:pPr>
      <w:r w:rsidRPr="00613DE9">
        <w:t>Förslaget</w:t>
      </w:r>
    </w:p>
    <w:p w:rsidR="00827A20" w:rsidRPr="00613DE9" w:rsidRDefault="00827A20">
      <w:pPr>
        <w:pStyle w:val="RKnormal"/>
      </w:pPr>
      <w:r w:rsidRPr="00613DE9">
        <w:t>Nedan ges endast en översiktlig redogörelse för innehållet i förslaget till förordning</w:t>
      </w:r>
    </w:p>
    <w:p w:rsidR="00827A20" w:rsidRPr="00613DE9" w:rsidRDefault="00827A20">
      <w:pPr>
        <w:pStyle w:val="RKnormal"/>
      </w:pPr>
    </w:p>
    <w:p w:rsidR="00827A20" w:rsidRPr="00613DE9" w:rsidRDefault="00827A20" w:rsidP="00827A20">
      <w:pPr>
        <w:pStyle w:val="RKnormal"/>
        <w:rPr>
          <w:rFonts w:ascii="Times New Roman" w:hAnsi="Times New Roman"/>
          <w:sz w:val="19"/>
          <w:lang w:eastAsia="sv-SE"/>
        </w:rPr>
      </w:pPr>
      <w:r w:rsidRPr="00613DE9">
        <w:t>Reglerna i förslaget till förordning är fördelade på åtta artiklar. Dessutom har 2002 års Atenkonvention fogats till förslaget som en bilaga.</w:t>
      </w:r>
    </w:p>
    <w:p w:rsidR="00827A20" w:rsidRPr="00613DE9" w:rsidRDefault="00827A20" w:rsidP="00827A20">
      <w:pPr>
        <w:pStyle w:val="Normaltindrag"/>
        <w:rPr>
          <w:u w:val="single"/>
        </w:rPr>
      </w:pPr>
    </w:p>
    <w:p w:rsidR="00827A20" w:rsidRPr="00613DE9" w:rsidRDefault="00827A20" w:rsidP="00827A20">
      <w:pPr>
        <w:pStyle w:val="RKnormal"/>
        <w:rPr>
          <w:lang w:eastAsia="sv-SE"/>
        </w:rPr>
      </w:pPr>
      <w:r w:rsidRPr="00613DE9">
        <w:rPr>
          <w:u w:val="single"/>
        </w:rPr>
        <w:t>Artikel 1.</w:t>
      </w:r>
      <w:r w:rsidRPr="00613DE9">
        <w:t xml:space="preserve"> I bestämmelsen klargörs att förordningens syfte är att inom ge</w:t>
      </w:r>
      <w:r w:rsidRPr="00613DE9">
        <w:softHyphen/>
        <w:t>menskapen lägga fast ett enhetligt skadeståndsansvar vid passagerarbeford</w:t>
      </w:r>
      <w:r w:rsidRPr="00613DE9">
        <w:softHyphen/>
        <w:t>ran till sjöss. Det åstadkoms genom att förordningen inkorporerar be</w:t>
      </w:r>
      <w:r w:rsidRPr="00613DE9">
        <w:softHyphen/>
        <w:t>stäm</w:t>
      </w:r>
      <w:r w:rsidRPr="00613DE9">
        <w:softHyphen/>
        <w:t>melserna i 2002 års Atenkonvention samt utsträcker til</w:t>
      </w:r>
      <w:r w:rsidRPr="00613DE9">
        <w:softHyphen/>
        <w:t>lämp</w:t>
      </w:r>
      <w:r w:rsidRPr="00613DE9">
        <w:softHyphen/>
        <w:t>ningen av dessa till att omfatta även inrikes transporter. Genom bestämmelsen implementeras också IMO:s riktlinjer rörande försäkring av terrorrisker.</w:t>
      </w:r>
    </w:p>
    <w:p w:rsidR="00827A20" w:rsidRPr="00613DE9" w:rsidRDefault="00827A20" w:rsidP="00827A20">
      <w:pPr>
        <w:pStyle w:val="RKnormal"/>
        <w:rPr>
          <w:u w:val="single"/>
        </w:rPr>
      </w:pPr>
    </w:p>
    <w:p w:rsidR="00827A20" w:rsidRPr="00613DE9" w:rsidRDefault="00827A20" w:rsidP="00827A20">
      <w:pPr>
        <w:pStyle w:val="RKnormal"/>
        <w:rPr>
          <w:lang w:eastAsia="sv-SE"/>
        </w:rPr>
      </w:pPr>
      <w:r w:rsidRPr="00613DE9">
        <w:rPr>
          <w:u w:val="single"/>
        </w:rPr>
        <w:t>Artikel 2.</w:t>
      </w:r>
      <w:r w:rsidRPr="00613DE9">
        <w:t xml:space="preserve"> Bestämmelsen anger förordningens tillämpningsområde. Förord</w:t>
      </w:r>
      <w:r w:rsidRPr="00613DE9">
        <w:softHyphen/>
        <w:t>ningen skall tillämpas på varje internationell eller inrikes befordran till sjöss ombord på fartyg som faller inom klass A i artikel 4 direktivet (EG) nr 98/18 förutsatt att fartyget för en med</w:t>
      </w:r>
      <w:r w:rsidRPr="00613DE9">
        <w:softHyphen/>
        <w:t>lems</w:t>
      </w:r>
      <w:r w:rsidRPr="00613DE9">
        <w:softHyphen/>
        <w:t>stats flagga eller beford</w:t>
      </w:r>
      <w:r w:rsidRPr="00613DE9">
        <w:softHyphen/>
        <w:t>ringsavtalet har träffats i en medlemsstat eller att avgångs- eller ankomst</w:t>
      </w:r>
      <w:r w:rsidRPr="00613DE9">
        <w:softHyphen/>
        <w:t>orten ligger i en medlems</w:t>
      </w:r>
      <w:r w:rsidRPr="00613DE9">
        <w:softHyphen/>
        <w:t>stat.</w:t>
      </w:r>
    </w:p>
    <w:p w:rsidR="00827A20" w:rsidRPr="00613DE9" w:rsidRDefault="00827A20" w:rsidP="00827A20">
      <w:pPr>
        <w:pStyle w:val="RKnormal"/>
        <w:rPr>
          <w:u w:val="single"/>
        </w:rPr>
      </w:pPr>
    </w:p>
    <w:p w:rsidR="00827A20" w:rsidRPr="00613DE9" w:rsidRDefault="00827A20" w:rsidP="00827A20">
      <w:pPr>
        <w:pStyle w:val="RKnormal"/>
        <w:rPr>
          <w:lang w:eastAsia="sv-SE"/>
        </w:rPr>
      </w:pPr>
      <w:r w:rsidRPr="00613DE9">
        <w:rPr>
          <w:u w:val="single"/>
        </w:rPr>
        <w:t>Artikel 3.</w:t>
      </w:r>
      <w:r w:rsidRPr="00613DE9">
        <w:t xml:space="preserve"> I bestämmelsen anges att såväl den avtalsslutande som den utfö</w:t>
      </w:r>
      <w:r w:rsidRPr="00613DE9">
        <w:softHyphen/>
        <w:t>rande transportörens ansvar för passagerare och deras bagage bestäms av til</w:t>
      </w:r>
      <w:r w:rsidRPr="00613DE9">
        <w:softHyphen/>
        <w:t xml:space="preserve">lämpliga bestämmelser i 2002 års Atenkonvention och IMO:s riktlinjer rörande försäkring av terrorrisker. </w:t>
      </w:r>
    </w:p>
    <w:p w:rsidR="00827A20" w:rsidRPr="00613DE9" w:rsidRDefault="00827A20" w:rsidP="00827A20">
      <w:pPr>
        <w:pStyle w:val="RKnormal"/>
      </w:pPr>
    </w:p>
    <w:p w:rsidR="00827A20" w:rsidRPr="00613DE9" w:rsidRDefault="00827A20" w:rsidP="00827A20">
      <w:pPr>
        <w:pStyle w:val="RKnormal"/>
      </w:pPr>
      <w:r w:rsidRPr="00613DE9">
        <w:rPr>
          <w:u w:val="single"/>
        </w:rPr>
        <w:t>Artikel 4bis.</w:t>
      </w:r>
      <w:r w:rsidRPr="00613DE9">
        <w:t xml:space="preserve"> Bestämmelsen reglerar att redaren fortsatt har rätt att begränsa sitt ansvar enligt 1976 års globalbegränsningskonvention i dess lydelse enligt 1996 års tilläggsprotokoll.</w:t>
      </w:r>
    </w:p>
    <w:p w:rsidR="00827A20" w:rsidRPr="00613DE9" w:rsidRDefault="00827A20" w:rsidP="00827A20">
      <w:pPr>
        <w:pStyle w:val="RKnormal"/>
      </w:pPr>
    </w:p>
    <w:p w:rsidR="00827A20" w:rsidRPr="00613DE9" w:rsidRDefault="00827A20" w:rsidP="00827A20">
      <w:pPr>
        <w:pStyle w:val="RKnormal"/>
        <w:rPr>
          <w:lang w:eastAsia="sv-SE"/>
        </w:rPr>
      </w:pPr>
      <w:r w:rsidRPr="00613DE9">
        <w:rPr>
          <w:u w:val="single"/>
        </w:rPr>
        <w:t>Artikel 4.</w:t>
      </w:r>
      <w:r w:rsidRPr="00613DE9">
        <w:t xml:space="preserve"> I bestämmelsen anges att vid förlust av eller skada på hjälp</w:t>
      </w:r>
      <w:r w:rsidRPr="00613DE9">
        <w:softHyphen/>
        <w:t>medel för funktionshindrade eller medicinsk utrustning som hör till passage</w:t>
      </w:r>
      <w:r w:rsidRPr="00613DE9">
        <w:softHyphen/>
        <w:t>rare har den skadelidande rätt till ersättning som uppgår till kostna</w:t>
      </w:r>
      <w:r w:rsidRPr="00613DE9">
        <w:softHyphen/>
        <w:t>den för återanskaffning eller reparation. Bestämmelsen, som fyller ut Atenkonventionen, har sin motsvarighet i bland annat kommissionens förslag till förordning om inter</w:t>
      </w:r>
      <w:r w:rsidRPr="00613DE9">
        <w:softHyphen/>
        <w:t>nationella tågpassa</w:t>
      </w:r>
      <w:r w:rsidRPr="00613DE9">
        <w:softHyphen/>
        <w:t>gera</w:t>
      </w:r>
      <w:r w:rsidRPr="00613DE9">
        <w:softHyphen/>
        <w:t>res rättigheter och skyldigheter (dok. 15028/28 ADD 1 LIMITE TRANS 257 CODEC 1101).</w:t>
      </w:r>
    </w:p>
    <w:p w:rsidR="00827A20" w:rsidRPr="00613DE9" w:rsidRDefault="00827A20" w:rsidP="00827A20">
      <w:pPr>
        <w:pStyle w:val="RKnormal"/>
        <w:rPr>
          <w:u w:val="single"/>
        </w:rPr>
      </w:pPr>
    </w:p>
    <w:p w:rsidR="00827A20" w:rsidRPr="00613DE9" w:rsidRDefault="00827A20" w:rsidP="00827A20">
      <w:pPr>
        <w:pStyle w:val="RKnormal"/>
        <w:rPr>
          <w:lang w:eastAsia="sv-SE"/>
        </w:rPr>
      </w:pPr>
      <w:r w:rsidRPr="00613DE9">
        <w:rPr>
          <w:u w:val="single"/>
        </w:rPr>
        <w:t>Artikel 5.</w:t>
      </w:r>
      <w:r w:rsidRPr="00613DE9">
        <w:t xml:space="preserve"> Vid dödsfall och personskador skall transportören enligt bestäm</w:t>
      </w:r>
      <w:r w:rsidRPr="00613DE9">
        <w:softHyphen/>
        <w:t>m</w:t>
      </w:r>
      <w:r w:rsidRPr="00613DE9">
        <w:softHyphen/>
        <w:t>el</w:t>
      </w:r>
      <w:r w:rsidRPr="00613DE9">
        <w:softHyphen/>
        <w:t>sen betala ut ett förskott inom femton dagar efter det att den behövande identifierats. Förskottsbeloppet skall uppgå till minst 21.000 euro. En liknan</w:t>
      </w:r>
      <w:r w:rsidRPr="00613DE9">
        <w:softHyphen/>
        <w:t>de reglering finns även på luftfartsom</w:t>
      </w:r>
      <w:r w:rsidRPr="00613DE9">
        <w:softHyphen/>
        <w:t>rådet (rådets förordning (EG) nr 2027/97 av den 9 oktober 1997 om lufttrafikföretags skadeståndsansvar vid olyckor) samt i det nyss nämnda förslaget till förordning om internationella tågpassa</w:t>
      </w:r>
      <w:r w:rsidRPr="00613DE9">
        <w:softHyphen/>
        <w:t>gera</w:t>
      </w:r>
      <w:r w:rsidRPr="00613DE9">
        <w:softHyphen/>
        <w:t>res rättigheter och skyldigheter.</w:t>
      </w:r>
    </w:p>
    <w:p w:rsidR="00827A20" w:rsidRPr="00613DE9" w:rsidRDefault="00827A20" w:rsidP="00827A20">
      <w:pPr>
        <w:pStyle w:val="RKnormal"/>
        <w:rPr>
          <w:u w:val="single"/>
        </w:rPr>
      </w:pPr>
    </w:p>
    <w:p w:rsidR="00827A20" w:rsidRPr="00613DE9" w:rsidRDefault="00827A20" w:rsidP="00827A20">
      <w:pPr>
        <w:pStyle w:val="RKnormal"/>
        <w:rPr>
          <w:lang w:eastAsia="sv-SE"/>
        </w:rPr>
      </w:pPr>
      <w:r w:rsidRPr="00613DE9">
        <w:rPr>
          <w:u w:val="single"/>
        </w:rPr>
        <w:t>Artikel 6.</w:t>
      </w:r>
      <w:r w:rsidRPr="00613DE9">
        <w:t xml:space="preserve"> Av bestämmelsen följer att den avtalsslutande transportören, den utförande transportören samt researrangören har en skyl</w:t>
      </w:r>
      <w:r w:rsidRPr="00613DE9">
        <w:softHyphen/>
        <w:t>dighet att infor</w:t>
      </w:r>
      <w:r w:rsidRPr="00613DE9">
        <w:softHyphen/>
        <w:t xml:space="preserve">mera passagerarna om deras rättigheter enligt förordningen. </w:t>
      </w:r>
    </w:p>
    <w:p w:rsidR="00827A20" w:rsidRPr="00613DE9" w:rsidRDefault="00827A20" w:rsidP="00827A20">
      <w:pPr>
        <w:pStyle w:val="RKnormal"/>
        <w:rPr>
          <w:u w:val="single"/>
        </w:rPr>
      </w:pPr>
    </w:p>
    <w:p w:rsidR="00827A20" w:rsidRPr="00613DE9" w:rsidRDefault="00827A20" w:rsidP="00827A20">
      <w:pPr>
        <w:pStyle w:val="RKnormal"/>
        <w:rPr>
          <w:lang w:eastAsia="sv-SE"/>
        </w:rPr>
      </w:pPr>
      <w:r w:rsidRPr="00613DE9">
        <w:rPr>
          <w:u w:val="single"/>
        </w:rPr>
        <w:t>Artikel 7.</w:t>
      </w:r>
      <w:r w:rsidRPr="00613DE9">
        <w:t xml:space="preserve"> Bestämmelsen anger att kommissionen är skyldig att senast efter tre år utvärdera förordningen i ljuset av utvecklingen på passa</w:t>
      </w:r>
      <w:r w:rsidRPr="00613DE9">
        <w:softHyphen/>
        <w:t>gerar</w:t>
      </w:r>
      <w:r w:rsidRPr="00613DE9">
        <w:softHyphen/>
      </w:r>
      <w:r w:rsidRPr="00613DE9">
        <w:softHyphen/>
        <w:t>trans</w:t>
      </w:r>
      <w:r w:rsidRPr="00613DE9">
        <w:softHyphen/>
        <w:t>port</w:t>
      </w:r>
      <w:r w:rsidRPr="00613DE9">
        <w:softHyphen/>
        <w:t>området samt redogöra för detta i en rapport.</w:t>
      </w:r>
    </w:p>
    <w:p w:rsidR="00827A20" w:rsidRPr="00613DE9" w:rsidRDefault="00827A20" w:rsidP="00827A20">
      <w:pPr>
        <w:pStyle w:val="RKnormal"/>
        <w:rPr>
          <w:u w:val="single"/>
        </w:rPr>
      </w:pPr>
    </w:p>
    <w:p w:rsidR="00827A20" w:rsidRPr="00613DE9" w:rsidRDefault="00827A20" w:rsidP="00827A20">
      <w:pPr>
        <w:pStyle w:val="RKnormal"/>
        <w:rPr>
          <w:lang w:eastAsia="sv-SE"/>
        </w:rPr>
      </w:pPr>
      <w:r w:rsidRPr="00613DE9">
        <w:rPr>
          <w:u w:val="single"/>
        </w:rPr>
        <w:t>Artikel 7a och 7b.</w:t>
      </w:r>
      <w:r w:rsidRPr="00613DE9">
        <w:t xml:space="preserve"> Bestämmelsen reglerar att mindre ändringar av förordningen som utgör en konsekvens av ändringar i Atenkonventionen ska beslutas i enlighet med proceduren i artikel 7b(2), det vill säga genom kommittéförfarande.</w:t>
      </w:r>
    </w:p>
    <w:p w:rsidR="00827A20" w:rsidRPr="00613DE9" w:rsidRDefault="00827A20" w:rsidP="00827A20">
      <w:pPr>
        <w:pStyle w:val="RKnormal"/>
        <w:rPr>
          <w:u w:val="single"/>
        </w:rPr>
      </w:pPr>
    </w:p>
    <w:p w:rsidR="00827A20" w:rsidRPr="00613DE9" w:rsidRDefault="00827A20" w:rsidP="00827A20">
      <w:pPr>
        <w:pStyle w:val="RKnormal"/>
        <w:rPr>
          <w:lang w:eastAsia="sv-SE"/>
        </w:rPr>
      </w:pPr>
      <w:r w:rsidRPr="00613DE9">
        <w:rPr>
          <w:u w:val="single"/>
        </w:rPr>
        <w:t>Artikel 7c.</w:t>
      </w:r>
      <w:r w:rsidRPr="00613DE9">
        <w:t xml:space="preserve"> Bestämmelsen reglerar i fråga om inrikes trafik en övergångsperiod om fyra år gäller efter det att förordningen trätt börjat tillämpas.</w:t>
      </w:r>
    </w:p>
    <w:p w:rsidR="00827A20" w:rsidRPr="00613DE9" w:rsidRDefault="00827A20" w:rsidP="00827A20">
      <w:pPr>
        <w:pStyle w:val="RKnormal"/>
        <w:rPr>
          <w:u w:val="single"/>
        </w:rPr>
      </w:pPr>
    </w:p>
    <w:p w:rsidR="00827A20" w:rsidRPr="00613DE9" w:rsidRDefault="00827A20" w:rsidP="00827A20">
      <w:pPr>
        <w:pStyle w:val="RKnormal"/>
      </w:pPr>
      <w:r w:rsidRPr="00613DE9">
        <w:rPr>
          <w:u w:val="single"/>
        </w:rPr>
        <w:t>Artikel 8.</w:t>
      </w:r>
      <w:r w:rsidRPr="00613DE9">
        <w:t xml:space="preserve"> Bestämmelsen avser att reglera förordningens ikraftträdande. Förord</w:t>
      </w:r>
      <w:r w:rsidRPr="00613DE9">
        <w:softHyphen/>
        <w:t>ningen skall dock inte tillämpas förrän Atenkonven</w:t>
      </w:r>
      <w:r w:rsidRPr="00613DE9">
        <w:softHyphen/>
        <w:t>tionen har trätt i kraft inom gemenskapen.</w:t>
      </w:r>
    </w:p>
    <w:p w:rsidR="00827A20" w:rsidRPr="00613DE9" w:rsidRDefault="00827A20">
      <w:pPr>
        <w:pStyle w:val="RKrubrik"/>
      </w:pPr>
      <w:r w:rsidRPr="00613DE9">
        <w:t>Gällande svenska regler och förslagets effekter på dessa</w:t>
      </w:r>
    </w:p>
    <w:p w:rsidR="00827A20" w:rsidRPr="00613DE9" w:rsidRDefault="00827A20" w:rsidP="00827A20">
      <w:pPr>
        <w:pStyle w:val="RKnormal"/>
      </w:pPr>
      <w:r w:rsidRPr="00613DE9">
        <w:t>Bestämmelser om passagerarbefordran med fartyg finns i 15 kap. sjölagen (1994:1009). Kapitlet innehåller regler om passagerarens rättigheter och plik</w:t>
      </w:r>
      <w:r w:rsidRPr="00613DE9">
        <w:softHyphen/>
        <w:t>ter samt om transportörens ansvar för dröjsmål, dödsfall och skador på pas</w:t>
      </w:r>
      <w:r w:rsidRPr="00613DE9">
        <w:softHyphen/>
        <w:t>sagerare samt förlust av och skador på resgods. Ansvarsbestämmelserna har i stor utsträckning utformats med utgångspunkt i Atenkonventionen. Sverige har dock aldrig ratificerat konventionen. Det motiverades av att de belopp som transportören hade rätt att begränsa ersättningen till an</w:t>
      </w:r>
      <w:r w:rsidRPr="00613DE9">
        <w:softHyphen/>
        <w:t>sågs vara alltför låga och därmed oförmånliga gentemot passagerarna i den ursprungliga lydelsen av konventionen. Efter förhandlingar inom IMO antogs dock år 1990 ett tilläggsprotokoll till konventionen, var</w:t>
      </w:r>
      <w:r w:rsidRPr="00613DE9">
        <w:softHyphen/>
        <w:t>igenom begräns</w:t>
      </w:r>
      <w:r w:rsidRPr="00613DE9">
        <w:softHyphen/>
        <w:t>nings</w:t>
      </w:r>
      <w:r w:rsidRPr="00613DE9">
        <w:softHyphen/>
        <w:t>beloppen höjdes avsevärt. Fastän Sverige – i likhet med övriga nordiska länder – fortsatt stod utanför konventionen, blev de nya beloppen en förebild för de begränsningsbelopp som förekommer i 1994 års sjölag.</w:t>
      </w:r>
    </w:p>
    <w:p w:rsidR="00827A20" w:rsidRPr="00613DE9" w:rsidRDefault="00827A20" w:rsidP="00827A20">
      <w:pPr>
        <w:pStyle w:val="RKnormal"/>
      </w:pPr>
    </w:p>
    <w:p w:rsidR="00827A20" w:rsidRPr="00613DE9" w:rsidRDefault="00827A20" w:rsidP="00827A20">
      <w:pPr>
        <w:pStyle w:val="RKnormal"/>
      </w:pPr>
      <w:r w:rsidRPr="00613DE9">
        <w:t>Vid ett ikraftträdande av den föreslagna EG-förordningen, kommer dess bestämmelser att träda i stället för den reglering som i motsvarande hänseen</w:t>
      </w:r>
      <w:r w:rsidRPr="00613DE9">
        <w:softHyphen/>
        <w:t>den finns i Sverige.</w:t>
      </w:r>
    </w:p>
    <w:p w:rsidR="00827A20" w:rsidRPr="00613DE9" w:rsidRDefault="00827A20" w:rsidP="00827A20">
      <w:pPr>
        <w:pStyle w:val="RKnormal"/>
      </w:pPr>
    </w:p>
    <w:p w:rsidR="00827A20" w:rsidRPr="00613DE9" w:rsidRDefault="00827A20" w:rsidP="00827A20">
      <w:pPr>
        <w:pStyle w:val="RKnormal"/>
        <w:rPr>
          <w:color w:val="000000"/>
        </w:rPr>
      </w:pPr>
      <w:r w:rsidRPr="00613DE9">
        <w:rPr>
          <w:color w:val="000000"/>
        </w:rPr>
        <w:t>För Sveriges del innebär inkorporeringen av Atenkonventionen i gemen</w:t>
      </w:r>
      <w:r w:rsidRPr="00613DE9">
        <w:rPr>
          <w:color w:val="000000"/>
        </w:rPr>
        <w:softHyphen/>
        <w:t>skapsrätten att transportörens ansvar i fråga om dödsfall och skador på pas</w:t>
      </w:r>
      <w:r w:rsidRPr="00613DE9">
        <w:rPr>
          <w:color w:val="000000"/>
        </w:rPr>
        <w:softHyphen/>
        <w:t>sagerare vid sjöolyckor kommer att skärpas. I dag bär transportören enligt 15 kap. 17 och 21 §§ sjölagen ett ansvar för vårdslöshet med omvänd bevis</w:t>
      </w:r>
      <w:r w:rsidRPr="00613DE9">
        <w:rPr>
          <w:color w:val="000000"/>
        </w:rPr>
        <w:softHyphen/>
        <w:t>börda, medan – som redan framhållits – transpor</w:t>
      </w:r>
      <w:r w:rsidRPr="00613DE9">
        <w:rPr>
          <w:color w:val="000000"/>
        </w:rPr>
        <w:softHyphen/>
        <w:t>törens ansvar enligt 2002 års Atenkonvention i princip är strikt upp till ett be</w:t>
      </w:r>
      <w:r w:rsidRPr="00613DE9">
        <w:rPr>
          <w:color w:val="000000"/>
        </w:rPr>
        <w:softHyphen/>
        <w:t>lopp om 250 000 SDR per passagerare (ca 2 750 000 kr) och därutöver presumerat upp till ett belopp om 400 000 SDR (ca 4 400 000 kr).</w:t>
      </w:r>
    </w:p>
    <w:p w:rsidR="00827A20" w:rsidRPr="00613DE9" w:rsidRDefault="00827A20" w:rsidP="00827A20">
      <w:pPr>
        <w:pStyle w:val="RKnormal"/>
        <w:rPr>
          <w:color w:val="000000"/>
        </w:rPr>
      </w:pPr>
    </w:p>
    <w:p w:rsidR="00827A20" w:rsidRPr="00613DE9" w:rsidRDefault="00827A20" w:rsidP="00827A20">
      <w:pPr>
        <w:pStyle w:val="RKnormal"/>
        <w:rPr>
          <w:color w:val="000000"/>
        </w:rPr>
      </w:pPr>
      <w:r w:rsidRPr="00613DE9">
        <w:rPr>
          <w:color w:val="000000"/>
        </w:rPr>
        <w:t>En inkorporering av Atenkonventionen medför också att ersätt</w:t>
      </w:r>
      <w:r w:rsidRPr="00613DE9">
        <w:rPr>
          <w:color w:val="000000"/>
        </w:rPr>
        <w:softHyphen/>
        <w:t>ningsbelop</w:t>
      </w:r>
      <w:r w:rsidRPr="00613DE9">
        <w:rPr>
          <w:color w:val="000000"/>
        </w:rPr>
        <w:softHyphen/>
        <w:t>pen kommer att öka i och med att de belopp till vilka transportörerna tillåts begränsa sitt ansvar höjs. Begräns</w:t>
      </w:r>
      <w:r w:rsidRPr="00613DE9">
        <w:rPr>
          <w:color w:val="000000"/>
        </w:rPr>
        <w:softHyphen/>
        <w:t>ningsbeloppet vid personskada uppgår i dag enligt 15 kap. 21 § sjölagen till 175 000 SDR per passagerare (ca 1 925 000 kr). I artikel 7 i Atenkonventionen har be</w:t>
      </w:r>
      <w:r w:rsidRPr="00613DE9">
        <w:rPr>
          <w:color w:val="000000"/>
        </w:rPr>
        <w:softHyphen/>
        <w:t>gräns</w:t>
      </w:r>
      <w:r w:rsidRPr="00613DE9">
        <w:rPr>
          <w:color w:val="000000"/>
        </w:rPr>
        <w:softHyphen/>
        <w:t>nings</w:t>
      </w:r>
      <w:r w:rsidRPr="00613DE9">
        <w:rPr>
          <w:color w:val="000000"/>
        </w:rPr>
        <w:softHyphen/>
        <w:t>beloppet för dödsfall och personskador satts till 400 000 SDR per passa</w:t>
      </w:r>
      <w:r w:rsidRPr="00613DE9">
        <w:rPr>
          <w:color w:val="000000"/>
        </w:rPr>
        <w:softHyphen/>
        <w:t>gerare och hän</w:t>
      </w:r>
      <w:r w:rsidRPr="00613DE9">
        <w:rPr>
          <w:color w:val="000000"/>
        </w:rPr>
        <w:softHyphen/>
        <w:t>delse (ca 4 400 000 kr). Även begränsnings</w:t>
      </w:r>
      <w:r w:rsidRPr="00613DE9">
        <w:rPr>
          <w:color w:val="000000"/>
        </w:rPr>
        <w:softHyphen/>
        <w:t>beloppen för resgods av olika slag är högre i Atenkonventionen jämfört med reglerna i sjölagen (artikel 8 jämförd med 15 kap. 21 § sjölagen).</w:t>
      </w:r>
    </w:p>
    <w:p w:rsidR="00827A20" w:rsidRPr="00613DE9" w:rsidRDefault="00827A20" w:rsidP="00827A20">
      <w:pPr>
        <w:pStyle w:val="RKnormal"/>
        <w:rPr>
          <w:color w:val="000000"/>
        </w:rPr>
      </w:pPr>
    </w:p>
    <w:p w:rsidR="00827A20" w:rsidRPr="00613DE9" w:rsidRDefault="00827A20" w:rsidP="00827A20">
      <w:pPr>
        <w:pStyle w:val="RKnormal"/>
        <w:rPr>
          <w:color w:val="000000"/>
        </w:rPr>
      </w:pPr>
      <w:r w:rsidRPr="00613DE9">
        <w:rPr>
          <w:color w:val="000000"/>
        </w:rPr>
        <w:t>Vidare kommer passagerarnas skydd att öka genom att Atenkonventionen föreskriver att de utförande transportörerna skall försäkra sitt ansvar i fråga om fartyg som kan medföra fler än tolv passagerare. Det leder till att passa</w:t>
      </w:r>
      <w:r w:rsidRPr="00613DE9">
        <w:rPr>
          <w:color w:val="000000"/>
        </w:rPr>
        <w:softHyphen/>
        <w:t>gerarna på ett helt annat sätt är garanterade ersättning i händelse av en olycka. Skulle exempelvis rederiet gå i konkurs kan passagerarna vända sig direkt mot för</w:t>
      </w:r>
      <w:r w:rsidRPr="00613DE9">
        <w:rPr>
          <w:color w:val="000000"/>
        </w:rPr>
        <w:softHyphen/>
        <w:t>säk</w:t>
      </w:r>
      <w:r w:rsidRPr="00613DE9">
        <w:rPr>
          <w:color w:val="000000"/>
        </w:rPr>
        <w:softHyphen/>
        <w:t>ringsgivaren med sina ersättnings</w:t>
      </w:r>
      <w:r w:rsidRPr="00613DE9">
        <w:rPr>
          <w:color w:val="000000"/>
        </w:rPr>
        <w:softHyphen/>
        <w:t xml:space="preserve">krav. </w:t>
      </w:r>
    </w:p>
    <w:p w:rsidR="00827A20" w:rsidRPr="00613DE9" w:rsidRDefault="00827A20" w:rsidP="00827A20">
      <w:pPr>
        <w:pStyle w:val="RKnormal"/>
        <w:rPr>
          <w:color w:val="000000"/>
        </w:rPr>
      </w:pPr>
    </w:p>
    <w:p w:rsidR="00827A20" w:rsidRPr="00613DE9" w:rsidRDefault="00827A20" w:rsidP="00827A20">
      <w:pPr>
        <w:pStyle w:val="RKnormal"/>
        <w:rPr>
          <w:color w:val="000000"/>
        </w:rPr>
      </w:pPr>
      <w:r w:rsidRPr="00613DE9">
        <w:rPr>
          <w:color w:val="000000"/>
        </w:rPr>
        <w:t xml:space="preserve">Även reglerna i själva EG-förordningen rörande förskottsbetalning samt ersättning för hjälpmedel för funktionshindrade och medicinsk utrustning utgör en skärpning av det nuvarande ansvaret. Motsvarande regler saknas i gällande rätt. </w:t>
      </w:r>
    </w:p>
    <w:p w:rsidR="00827A20" w:rsidRPr="00613DE9" w:rsidRDefault="00827A20" w:rsidP="00827A20">
      <w:pPr>
        <w:pStyle w:val="RKnormal"/>
        <w:rPr>
          <w:color w:val="000000"/>
        </w:rPr>
      </w:pPr>
    </w:p>
    <w:p w:rsidR="00827A20" w:rsidRPr="00613DE9" w:rsidRDefault="00827A20" w:rsidP="00827A20">
      <w:pPr>
        <w:pStyle w:val="RKnormal"/>
        <w:rPr>
          <w:color w:val="000000"/>
        </w:rPr>
      </w:pPr>
      <w:r w:rsidRPr="00613DE9">
        <w:rPr>
          <w:color w:val="000000"/>
        </w:rPr>
        <w:t xml:space="preserve">Sammantaget medför förslaget att passagerarnas ställning i förhållande till transportörerna materiellt sett kommer att stärkas samtidigt som regelverket kommer att gälla inom hela gemenskapen. </w:t>
      </w:r>
    </w:p>
    <w:p w:rsidR="00827A20" w:rsidRPr="00613DE9" w:rsidRDefault="00827A20">
      <w:pPr>
        <w:pStyle w:val="RKnormal"/>
      </w:pPr>
    </w:p>
    <w:p w:rsidR="00827A20" w:rsidRPr="00613DE9" w:rsidRDefault="00827A20">
      <w:pPr>
        <w:pStyle w:val="RKrubrik"/>
      </w:pPr>
      <w:r w:rsidRPr="00613DE9">
        <w:t>Ekonomiska konsekvenser</w:t>
      </w:r>
    </w:p>
    <w:p w:rsidR="00827A20" w:rsidRPr="00613DE9" w:rsidRDefault="00827A20" w:rsidP="00827A20">
      <w:pPr>
        <w:pStyle w:val="RKnormal"/>
      </w:pPr>
      <w:r w:rsidRPr="00613DE9">
        <w:t>Förslaget kan inte förväntas medföra några direkta konsekvenser för det allmänna annat än att Sjöfartsinspektionen måste ges i uppgift att kontrollera förekomsten av försäkring ombord på svenska fartyg och utländska fartyg som anlöper svensk hamn.</w:t>
      </w:r>
    </w:p>
    <w:p w:rsidR="00827A20" w:rsidRPr="00613DE9" w:rsidRDefault="00827A20" w:rsidP="00827A20">
      <w:pPr>
        <w:pStyle w:val="RKnormal"/>
      </w:pPr>
    </w:p>
    <w:p w:rsidR="00827A20" w:rsidRPr="00613DE9" w:rsidRDefault="00827A20" w:rsidP="00827A20">
      <w:pPr>
        <w:pStyle w:val="RKnormal"/>
      </w:pPr>
      <w:r w:rsidRPr="00613DE9">
        <w:t>Det faktum att ansvaret skärps samt att krav på obligatorisk försäkring införs kan komma att medföra kostnadsökningar för rederierna. Att det mindre tonnaget undantas från förordningens tillämpningsområde medför dock en lättnad för de mindre rederierna.</w:t>
      </w:r>
    </w:p>
    <w:p w:rsidR="00827A20" w:rsidRPr="00613DE9" w:rsidRDefault="00827A20">
      <w:pPr>
        <w:pStyle w:val="RKrubrik"/>
      </w:pPr>
      <w:r w:rsidRPr="00613DE9">
        <w:t>Övrigt</w:t>
      </w:r>
    </w:p>
    <w:p w:rsidR="00827A20" w:rsidRPr="00613DE9" w:rsidRDefault="00827A20" w:rsidP="00827A20">
      <w:pPr>
        <w:pStyle w:val="Rubrik4"/>
      </w:pPr>
      <w:r w:rsidRPr="00613DE9">
        <w:t>Allmänt</w:t>
      </w:r>
    </w:p>
    <w:p w:rsidR="00827A20" w:rsidRPr="00613DE9" w:rsidRDefault="00827A20" w:rsidP="00827A20">
      <w:pPr>
        <w:pStyle w:val="RKnormal"/>
      </w:pPr>
      <w:r w:rsidRPr="00613DE9">
        <w:t>Den övervägande majoriteten av remissinstanserna välkomnar eller har inga invändningar mot förslaget, det gäller såväl företrädare för redarna som för konsumenterna. Flera remissinstanser, däribland Konsumentverket, har betonat vikten av att skyddet av passagerarna stärks genom en skärpning av ansvaret, höjning av begränsningsbeloppen respektive införande av ett försäkringstvång. Sveriges Redareförening för mindre passagerarfartyg (SWEREF), har dock uttryckt att de höga skadeståndsbeloppen kan komma att påverka försäkringspremierna och i förlängningen biljettpriserna. Det kan enligt föreningen leda till försämrad service inom skärgårdstrafiken. SEKO Sjöfolk har ifrågasatt om försäkringstvånget inte borde omfatta även fartyg som kan ta färre än tolv passagerare, då det är vanligt att ett begränsat antal lastbilschaufförer medföljer olika roll on/roll off-fartyg (ro/ro) som passagerare.</w:t>
      </w:r>
    </w:p>
    <w:p w:rsidR="00827A20" w:rsidRPr="00613DE9" w:rsidRDefault="00827A20" w:rsidP="00827A20">
      <w:pPr>
        <w:pStyle w:val="Rubrik4"/>
      </w:pPr>
      <w:r w:rsidRPr="00613DE9">
        <w:t>Fackuttryck</w:t>
      </w:r>
    </w:p>
    <w:p w:rsidR="00827A20" w:rsidRPr="00613DE9" w:rsidRDefault="00827A20" w:rsidP="00827A20">
      <w:pPr>
        <w:pStyle w:val="RKnormal"/>
      </w:pPr>
      <w:r w:rsidRPr="00613DE9">
        <w:rPr>
          <w:u w:val="single"/>
        </w:rPr>
        <w:t>IMO</w:t>
      </w:r>
      <w:r w:rsidRPr="00613DE9">
        <w:t xml:space="preserve"> står för International Maritime Organization och utgör ett fackorgan inom FN.</w:t>
      </w:r>
    </w:p>
    <w:p w:rsidR="00827A20" w:rsidRPr="00613DE9" w:rsidRDefault="00827A20" w:rsidP="00827A20">
      <w:pPr>
        <w:pStyle w:val="RKnormal"/>
      </w:pPr>
    </w:p>
    <w:p w:rsidR="00827A20" w:rsidRPr="00613DE9" w:rsidRDefault="00827A20" w:rsidP="00827A20">
      <w:pPr>
        <w:pStyle w:val="RKnormal"/>
      </w:pPr>
      <w:r w:rsidRPr="00613DE9">
        <w:rPr>
          <w:u w:val="single"/>
        </w:rPr>
        <w:t>Ro/ro-fartyg</w:t>
      </w:r>
      <w:r w:rsidRPr="00613DE9">
        <w:t xml:space="preserve"> står för roll on/roll off-fartyg. Lasten rullas ombord på dessa fartyg, vanligen genom portar i fören eller aktern.</w:t>
      </w:r>
    </w:p>
    <w:p w:rsidR="00827A20" w:rsidRPr="00613DE9" w:rsidRDefault="00827A20" w:rsidP="00827A20">
      <w:pPr>
        <w:pStyle w:val="RKnormal"/>
        <w:rPr>
          <w:u w:val="single"/>
        </w:rPr>
      </w:pPr>
    </w:p>
    <w:p w:rsidR="00827A20" w:rsidRPr="00613DE9" w:rsidRDefault="00827A20" w:rsidP="00827A20">
      <w:pPr>
        <w:pStyle w:val="RKnormal"/>
      </w:pPr>
      <w:r w:rsidRPr="00613DE9">
        <w:rPr>
          <w:u w:val="single"/>
        </w:rPr>
        <w:t>SDR</w:t>
      </w:r>
      <w:r w:rsidRPr="00613DE9">
        <w:t xml:space="preserve"> står för särskilda dragningsrätter (Special Drawing Rights) och är en valutakorg bestående av euro, japanska yen, brittiska pund samt amerikanska dollar. Valutakorgen skapades av Internationella valutafonden (IMF) år 1969. Syftet med att fast</w:t>
      </w:r>
      <w:r w:rsidRPr="00613DE9">
        <w:softHyphen/>
        <w:t>ställa begränsningsbeloppen i SDR är att förhindra att ersättningsnivåerna urholkas genom inflation och genom svängningar i de enskilda valutornas värde på den internationella marknaden. Värdet av en (1) SDR motsvarar för närvarande omkring 11 svenska kronor.</w:t>
      </w:r>
    </w:p>
    <w:p w:rsidR="00827A20" w:rsidRPr="00613DE9" w:rsidRDefault="00827A20" w:rsidP="00827A20">
      <w:pPr>
        <w:pStyle w:val="RKnormal"/>
      </w:pPr>
    </w:p>
    <w:p w:rsidR="00827A20" w:rsidRPr="00613DE9" w:rsidRDefault="00827A20" w:rsidP="00827A20">
      <w:pPr>
        <w:pStyle w:val="RKnormal"/>
      </w:pPr>
      <w:r w:rsidRPr="00613DE9">
        <w:rPr>
          <w:u w:val="single"/>
        </w:rPr>
        <w:t>SEKO</w:t>
      </w:r>
      <w:r w:rsidRPr="00613DE9">
        <w:t xml:space="preserve"> står för Facket för service och kommunikation. Förbundet organiserar bland annat sjöfolket. </w:t>
      </w:r>
    </w:p>
    <w:p w:rsidR="00827A20" w:rsidRPr="00613DE9" w:rsidRDefault="00827A20" w:rsidP="00827A20">
      <w:pPr>
        <w:pStyle w:val="RKnormal"/>
      </w:pPr>
    </w:p>
    <w:p w:rsidR="00827A20" w:rsidRPr="00613DE9" w:rsidRDefault="00827A20" w:rsidP="00827A20">
      <w:pPr>
        <w:pStyle w:val="RKnormal"/>
      </w:pPr>
      <w:r w:rsidRPr="00613DE9">
        <w:rPr>
          <w:u w:val="single"/>
        </w:rPr>
        <w:t>SWEREF</w:t>
      </w:r>
      <w:r w:rsidRPr="00613DE9">
        <w:t xml:space="preserve"> står för Sveriges Redareförening för mindre passagerarfartyg. Föreningen är en branschorganisation för rederier med färje- och passagerarfartyg för upp till 500 passagerare.</w:t>
      </w:r>
    </w:p>
    <w:p w:rsidR="00827A20" w:rsidRPr="00613DE9" w:rsidRDefault="00827A20" w:rsidP="00827A20">
      <w:pPr>
        <w:pStyle w:val="RKnormal"/>
      </w:pPr>
    </w:p>
    <w:p w:rsidR="00827A20" w:rsidRPr="00613DE9" w:rsidRDefault="00827A20">
      <w:pPr>
        <w:pStyle w:val="RKnormal"/>
        <w:rPr>
          <w:i/>
          <w:iCs/>
        </w:rPr>
      </w:pPr>
    </w:p>
    <w:p w:rsidR="00827A20" w:rsidRPr="00613DE9" w:rsidRDefault="00827A20">
      <w:pPr>
        <w:pStyle w:val="RKnormal"/>
        <w:ind w:left="-1134"/>
      </w:pPr>
    </w:p>
    <w:p w:rsidR="00827A20" w:rsidRPr="00613DE9" w:rsidRDefault="00827A20">
      <w:pPr>
        <w:pStyle w:val="RKrubrik"/>
        <w:spacing w:before="0" w:after="0"/>
      </w:pPr>
    </w:p>
    <w:p w:rsidR="00827A20" w:rsidRPr="00613DE9" w:rsidRDefault="00827A20">
      <w:pPr>
        <w:pStyle w:val="RKnormal"/>
      </w:pPr>
    </w:p>
    <w:p w:rsidR="00827A20" w:rsidRPr="00613DE9" w:rsidRDefault="00827A20">
      <w:pPr>
        <w:pStyle w:val="RKnormal"/>
      </w:pPr>
    </w:p>
    <w:sectPr w:rsidR="00827A20" w:rsidRPr="00613DE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131" w:rsidRPr="00613DE9" w:rsidRDefault="00F26131">
      <w:r w:rsidRPr="00613DE9">
        <w:separator/>
      </w:r>
    </w:p>
  </w:endnote>
  <w:endnote w:type="continuationSeparator" w:id="0">
    <w:p w:rsidR="00F26131" w:rsidRPr="00613DE9" w:rsidRDefault="00F26131">
      <w:r w:rsidRPr="00613D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131" w:rsidRPr="00613DE9" w:rsidRDefault="00F26131">
      <w:r w:rsidRPr="00613DE9">
        <w:separator/>
      </w:r>
    </w:p>
  </w:footnote>
  <w:footnote w:type="continuationSeparator" w:id="0">
    <w:p w:rsidR="00F26131" w:rsidRPr="00613DE9" w:rsidRDefault="00F26131">
      <w:r w:rsidRPr="00613D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A20" w:rsidRPr="00613DE9" w:rsidRDefault="00827A20">
    <w:pPr>
      <w:pStyle w:val="Sidhuvud"/>
      <w:framePr w:wrap="around" w:vAnchor="text" w:hAnchor="margin" w:xAlign="right" w:y="1"/>
      <w:rPr>
        <w:rStyle w:val="Sidnummer"/>
        <w:rPrChange w:id="1" w:author="Lars Brink" w:date="2025-12-17T14:17:00Z" w16du:dateUtc="2025-12-17T13:17:00Z">
          <w:rPr>
            <w:rStyle w:val="Sidnummer"/>
          </w:rPr>
        </w:rPrChange>
      </w:rPr>
    </w:pPr>
    <w:r w:rsidRPr="00613DE9">
      <w:rPr>
        <w:rStyle w:val="Sidnummer"/>
      </w:rPr>
      <w:fldChar w:fldCharType="begin" w:fldLock="1"/>
    </w:r>
    <w:r w:rsidRPr="00613DE9">
      <w:rPr>
        <w:rStyle w:val="Sidnummer"/>
      </w:rPr>
      <w:instrText xml:space="preserve">PAGE  </w:instrText>
    </w:r>
    <w:r w:rsidRPr="00613DE9">
      <w:rPr>
        <w:rStyle w:val="Sidnummer"/>
      </w:rPr>
      <w:fldChar w:fldCharType="separate"/>
    </w:r>
    <w:r w:rsidR="005737BF" w:rsidRPr="00613DE9">
      <w:rPr>
        <w:rStyle w:val="Sidnummer"/>
        <w:rPrChange w:id="2" w:author="Lars Brink" w:date="2025-12-17T14:17:00Z" w16du:dateUtc="2025-12-17T13:17:00Z">
          <w:rPr>
            <w:rStyle w:val="Sidnummer"/>
            <w:noProof/>
          </w:rPr>
        </w:rPrChange>
      </w:rPr>
      <w:t>2</w:t>
    </w:r>
    <w:r w:rsidRPr="00613DE9">
      <w:rPr>
        <w:rStyle w:val="Sidnummer"/>
        <w:rPrChange w:id="3" w:author="Lars Brink" w:date="2025-12-17T14:17:00Z" w16du:dateUtc="2025-12-17T13:17:00Z">
          <w:rPr>
            <w:rStyle w:val="Sidnummer"/>
          </w:rPr>
        </w:rPrChange>
      </w:rPr>
      <w:fldChar w:fldCharType="end"/>
    </w:r>
  </w:p>
  <w:p w:rsidR="00827A20" w:rsidRPr="00613DE9" w:rsidRDefault="00827A20">
    <w:pPr>
      <w:pStyle w:val="Sidhuvud"/>
      <w:ind w:right="360"/>
      <w:rPr>
        <w:rPrChange w:id="4" w:author="Lars Brink" w:date="2025-12-17T14:17:00Z" w16du:dateUtc="2025-12-17T13:17:00Z">
          <w:rPr/>
        </w:rPrChange>
      </w:rPr>
    </w:pPr>
  </w:p>
  <w:p w:rsidR="00827A20" w:rsidRPr="00613DE9" w:rsidRDefault="00827A20">
    <w:pPr>
      <w:pStyle w:val="Sidhuvud"/>
      <w:ind w:right="357" w:firstLine="357"/>
      <w:rPr>
        <w:rPrChange w:id="5" w:author="Lars Brink" w:date="2025-12-17T14:17:00Z" w16du:dateUtc="2025-12-17T13:17: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A20" w:rsidRPr="00613DE9" w:rsidRDefault="00827A20">
    <w:pPr>
      <w:pStyle w:val="Sidhuvud"/>
      <w:framePr w:wrap="around" w:vAnchor="text" w:hAnchor="margin" w:xAlign="right" w:y="1"/>
      <w:rPr>
        <w:rStyle w:val="Sidnummer"/>
        <w:rPrChange w:id="6" w:author="Lars Brink" w:date="2025-12-17T14:17:00Z" w16du:dateUtc="2025-12-17T13:17:00Z">
          <w:rPr>
            <w:rStyle w:val="Sidnummer"/>
          </w:rPr>
        </w:rPrChange>
      </w:rPr>
    </w:pPr>
    <w:r w:rsidRPr="00613DE9">
      <w:rPr>
        <w:rStyle w:val="Sidnummer"/>
      </w:rPr>
      <w:fldChar w:fldCharType="begin" w:fldLock="1"/>
    </w:r>
    <w:r w:rsidRPr="00613DE9">
      <w:rPr>
        <w:rStyle w:val="Sidnummer"/>
      </w:rPr>
      <w:instrText xml:space="preserve">PAGE  </w:instrText>
    </w:r>
    <w:r w:rsidRPr="00613DE9">
      <w:rPr>
        <w:rStyle w:val="Sidnummer"/>
      </w:rPr>
      <w:fldChar w:fldCharType="separate"/>
    </w:r>
    <w:r w:rsidR="005737BF" w:rsidRPr="00613DE9">
      <w:rPr>
        <w:rStyle w:val="Sidnummer"/>
        <w:rPrChange w:id="7" w:author="Lars Brink" w:date="2025-12-17T14:17:00Z" w16du:dateUtc="2025-12-17T13:17:00Z">
          <w:rPr>
            <w:rStyle w:val="Sidnummer"/>
            <w:noProof/>
          </w:rPr>
        </w:rPrChange>
      </w:rPr>
      <w:t>3</w:t>
    </w:r>
    <w:r w:rsidRPr="00613DE9">
      <w:rPr>
        <w:rStyle w:val="Sidnummer"/>
        <w:rPrChange w:id="8" w:author="Lars Brink" w:date="2025-12-17T14:17:00Z" w16du:dateUtc="2025-12-17T13:17:00Z">
          <w:rPr>
            <w:rStyle w:val="Sidnummer"/>
          </w:rPr>
        </w:rPrChange>
      </w:rPr>
      <w:fldChar w:fldCharType="end"/>
    </w:r>
  </w:p>
  <w:p w:rsidR="00827A20" w:rsidRPr="00613DE9" w:rsidRDefault="00827A20">
    <w:pPr>
      <w:pStyle w:val="Sidhuvud"/>
      <w:ind w:right="360"/>
      <w:rPr>
        <w:rPrChange w:id="9" w:author="Lars Brink" w:date="2025-12-17T14:17:00Z" w16du:dateUtc="2025-12-17T13:17:00Z">
          <w:rPr/>
        </w:rPrChange>
      </w:rPr>
    </w:pPr>
  </w:p>
  <w:p w:rsidR="00827A20" w:rsidRPr="00613DE9" w:rsidRDefault="00827A20">
    <w:pPr>
      <w:pStyle w:val="Sidhuvud"/>
      <w:ind w:right="357" w:firstLine="357"/>
      <w:rPr>
        <w:rPrChange w:id="10" w:author="Lars Brink" w:date="2025-12-17T14:17:00Z" w16du:dateUtc="2025-12-17T13:17: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A20" w:rsidRPr="00613DE9" w:rsidRDefault="00613DE9">
    <w:pPr>
      <w:framePr w:w="2948" w:h="1321" w:hRule="exact" w:wrap="notBeside" w:vAnchor="page" w:hAnchor="page" w:x="1362" w:y="653"/>
    </w:pPr>
    <w:r w:rsidRPr="00613DE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27A20" w:rsidRPr="00613DE9" w:rsidRDefault="00827A20">
    <w:pPr>
      <w:pStyle w:val="RKrubrik"/>
      <w:keepNext w:val="0"/>
      <w:tabs>
        <w:tab w:val="clear" w:pos="1134"/>
        <w:tab w:val="clear" w:pos="2835"/>
      </w:tabs>
      <w:spacing w:before="0" w:after="0" w:line="320" w:lineRule="atLeast"/>
      <w:rPr>
        <w:bCs/>
      </w:rPr>
    </w:pPr>
  </w:p>
  <w:p w:rsidR="00827A20" w:rsidRPr="00613DE9" w:rsidRDefault="00827A20">
    <w:pPr>
      <w:rPr>
        <w:rFonts w:ascii="TradeGothic" w:hAnsi="TradeGothic"/>
        <w:b/>
        <w:bCs/>
        <w:spacing w:val="12"/>
        <w:sz w:val="22"/>
      </w:rPr>
    </w:pPr>
  </w:p>
  <w:p w:rsidR="00827A20" w:rsidRPr="00613DE9" w:rsidRDefault="00827A20">
    <w:pPr>
      <w:pStyle w:val="RKrubrik"/>
      <w:keepNext w:val="0"/>
      <w:tabs>
        <w:tab w:val="clear" w:pos="1134"/>
        <w:tab w:val="clear" w:pos="2835"/>
      </w:tabs>
      <w:spacing w:before="0" w:after="0" w:line="320" w:lineRule="atLeast"/>
      <w:rPr>
        <w:bCs/>
      </w:rPr>
    </w:pPr>
  </w:p>
  <w:p w:rsidR="00827A20" w:rsidRPr="00613DE9" w:rsidRDefault="00827A20">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B06CF"/>
    <w:rsid w:val="005737BF"/>
    <w:rsid w:val="00613DE9"/>
    <w:rsid w:val="00827A20"/>
    <w:rsid w:val="00F261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74C0A2-D6B6-4E57-B68D-69BF3DC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aliases w:val=" Char Char"/>
    <w:link w:val="1"/>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1">
    <w:name w:val="1"/>
    <w:basedOn w:val="Normal"/>
    <w:link w:val="Standardstycketeckensnitt"/>
    <w:rsid w:val="00675E5B"/>
    <w:pPr>
      <w:overflowPunct/>
      <w:autoSpaceDE/>
      <w:autoSpaceDN/>
      <w:adjustRightInd/>
      <w:spacing w:after="160" w:line="240" w:lineRule="exact"/>
      <w:textAlignment w:val="auto"/>
    </w:pPr>
    <w:rPr>
      <w:rFonts w:ascii="Tahoma" w:hAnsi="Tahoma"/>
      <w:sz w:val="20"/>
      <w:lang w:val="en-US"/>
    </w:rPr>
  </w:style>
  <w:style w:type="paragraph" w:styleId="Normaltindrag">
    <w:name w:val="Normal Indent"/>
    <w:basedOn w:val="Normal"/>
    <w:rsid w:val="008055E7"/>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Revision">
    <w:name w:val="Revision"/>
    <w:hidden/>
    <w:uiPriority w:val="99"/>
    <w:semiHidden/>
    <w:rsid w:val="00613DE9"/>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1869</Words>
  <Characters>11814</Characters>
  <Application>Microsoft Office Word</Application>
  <DocSecurity>4</DocSecurity>
  <Lines>281</Lines>
  <Paragraphs>71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2005-04-07T08:10:00Z</cp:lastPrinted>
  <dcterms:created xsi:type="dcterms:W3CDTF">2025-12-17T13:17:00Z</dcterms:created>
  <dcterms:modified xsi:type="dcterms:W3CDTF">2025-12-17T13:17:00Z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