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A0039" w:rsidRDefault="007F7BC0" w14:paraId="4FA06E77" w14:textId="77777777">
      <w:pPr>
        <w:pStyle w:val="RubrikFrslagTIllRiksdagsbeslut"/>
      </w:pPr>
      <w:sdt>
        <w:sdtPr>
          <w:alias w:val="CC_Boilerplate_4"/>
          <w:tag w:val="CC_Boilerplate_4"/>
          <w:id w:val="-1644581176"/>
          <w:lock w:val="sdtContentLocked"/>
          <w:placeholder>
            <w:docPart w:val="DC09C6CB52B8410698DD8DE2E7055292"/>
          </w:placeholder>
          <w:text/>
        </w:sdtPr>
        <w:sdtEndPr/>
        <w:sdtContent>
          <w:r w:rsidRPr="009B062B" w:rsidR="00AF30DD">
            <w:t>Förslag till riksdagsbeslut</w:t>
          </w:r>
        </w:sdtContent>
      </w:sdt>
      <w:bookmarkEnd w:id="0"/>
      <w:bookmarkEnd w:id="1"/>
    </w:p>
    <w:sdt>
      <w:sdtPr>
        <w:alias w:val="Yrkande 1"/>
        <w:tag w:val="cdcf51f8-1540-4484-86e0-0682565db1cf"/>
        <w:id w:val="1944031083"/>
        <w:lock w:val="sdtLocked"/>
      </w:sdtPr>
      <w:sdtEndPr/>
      <w:sdtContent>
        <w:p w:rsidR="002274E6" w:rsidRDefault="007F7BC0" w14:paraId="762289BC" w14:textId="77777777">
          <w:pPr>
            <w:pStyle w:val="Frslagstext"/>
          </w:pPr>
          <w:r>
            <w:t>Riksdagen ställer sig bakom det som anförs i motionen om vikten av att undervisa om folkmordet seyfo 1915 och folkmordet i Srebrenica 1995 och tillkännager detta för regeringen.</w:t>
          </w:r>
        </w:p>
      </w:sdtContent>
    </w:sdt>
    <w:sdt>
      <w:sdtPr>
        <w:alias w:val="Yrkande 2"/>
        <w:tag w:val="86957043-c821-4698-a794-3029f996b141"/>
        <w:id w:val="588894840"/>
        <w:lock w:val="sdtLocked"/>
      </w:sdtPr>
      <w:sdtEndPr/>
      <w:sdtContent>
        <w:p w:rsidR="002274E6" w:rsidRDefault="007F7BC0" w14:paraId="260AF2B3" w14:textId="77777777">
          <w:pPr>
            <w:pStyle w:val="Frslagstext"/>
          </w:pPr>
          <w:r>
            <w:t xml:space="preserve">Riksdagen ställer sig </w:t>
          </w:r>
          <w:r>
            <w:t>bakom det som anförs i motionen om att även inkludera andra folkmord och etniska rensningar i undervisningen för att främja en djupare förståelse för mänskliga rättigheter och global historia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C47D715F4C4451A95D591B796665162"/>
        </w:placeholder>
        <w:text/>
      </w:sdtPr>
      <w:sdtEndPr>
        <w:rPr>
          <w14:numSpacing w14:val="default"/>
        </w:rPr>
      </w:sdtEndPr>
      <w:sdtContent>
        <w:p w:rsidRPr="009B062B" w:rsidR="006D79C9" w:rsidP="00333E95" w:rsidRDefault="006D79C9" w14:paraId="0E01D6B2" w14:textId="77777777">
          <w:pPr>
            <w:pStyle w:val="Rubrik1"/>
          </w:pPr>
          <w:r>
            <w:t>Motivering</w:t>
          </w:r>
        </w:p>
      </w:sdtContent>
    </w:sdt>
    <w:bookmarkEnd w:displacedByCustomXml="prev" w:id="3"/>
    <w:bookmarkEnd w:displacedByCustomXml="prev" w:id="4"/>
    <w:p w:rsidRPr="000375F6" w:rsidR="000375F6" w:rsidP="007F7BC0" w:rsidRDefault="000375F6" w14:paraId="71F0396D" w14:textId="11A8668A">
      <w:pPr>
        <w:pStyle w:val="Normalutanindragellerluft"/>
      </w:pPr>
      <w:r w:rsidRPr="000375F6">
        <w:t>Undervisning är en av grundpelarna för att bygga en framtid präglad av förståelse, tolerans och respekt för mänskliga rättigheter. Under åren 1915–1918 föll över 1,5 miljoner kristna invånare, däribland syrianer, assyrier, kaldéer, armenier och pontiska greker, offer för ett systematiskt folkmord i dåvarande Osmanska riket, nuvarande Turkiet. Ett annat tragiskt exempel är folkmordet i Srebrenica 1995, där över 8</w:t>
      </w:r>
      <w:r w:rsidR="0042566F">
        <w:t> </w:t>
      </w:r>
      <w:r w:rsidRPr="000375F6">
        <w:t>000 bosnienmuslimska män och pojkar mördades under Bosnienkriget. Dessa händelser visar tydligt på de faror som intolerans, nationalism och hat kan medföra, och är inte bara en fråga om det förflutna utan berör även framtida generationer.</w:t>
      </w:r>
    </w:p>
    <w:p w:rsidRPr="000375F6" w:rsidR="000375F6" w:rsidP="000375F6" w:rsidRDefault="000375F6" w14:paraId="27D7FCCA" w14:textId="46A8554A">
      <w:r w:rsidRPr="000375F6">
        <w:t xml:space="preserve">Trots att Sveriges riksdag redan 2010 erkände </w:t>
      </w:r>
      <w:r w:rsidR="0042566F">
        <w:t>s</w:t>
      </w:r>
      <w:r w:rsidRPr="000375F6">
        <w:t>eyfo, och att folkmordet i Srebrenica har erkänts av internationella domstolar, kvarstår faktum att det finns länder och grupper som än idag vägrar att erkänna och ta ansvar för dessa händelser. Detta är en fråga av stor betydelse, inte bara för ättlingar till de drabbade utan för hela samhället. Det är avgörande att framtida generationer får en grundlig förståelse för både folk</w:t>
      </w:r>
      <w:r w:rsidR="007F7BC0">
        <w:softHyphen/>
      </w:r>
      <w:r w:rsidRPr="000375F6">
        <w:t xml:space="preserve">mordet </w:t>
      </w:r>
      <w:r w:rsidR="0042566F">
        <w:t>s</w:t>
      </w:r>
      <w:r w:rsidRPr="000375F6">
        <w:t>eyfo och folkmordet i Srebrenica, och de fruktansvärda konsekvenserna av intolerans och hat.</w:t>
      </w:r>
    </w:p>
    <w:p w:rsidRPr="000375F6" w:rsidR="000375F6" w:rsidP="000375F6" w:rsidRDefault="000375F6" w14:paraId="2409A455" w14:textId="527C28B2">
      <w:r w:rsidRPr="000375F6">
        <w:t>För att ytterligare förstärka utbildningen om mänskliga rättigheter och historiska övergrepp är det nödvändigt att inkludera undervisning om andra folkmord och etniska rensningar. Detta kan omfatta exempel som Förintelsen</w:t>
      </w:r>
      <w:r w:rsidR="0042566F">
        <w:t xml:space="preserve"> och</w:t>
      </w:r>
      <w:r w:rsidRPr="000375F6">
        <w:t xml:space="preserve"> folkmordet i Rwanda och </w:t>
      </w:r>
      <w:r w:rsidRPr="000375F6">
        <w:lastRenderedPageBreak/>
        <w:t>Kambodja. Genom att bredda undervisningen skapar vi en mer heltäckande förståelse för de mekanismer som leder till sådana tragedier, vilket är ett viktigt steg för att förhindra dem i framtiden.</w:t>
      </w:r>
    </w:p>
    <w:p w:rsidRPr="000375F6" w:rsidR="000375F6" w:rsidP="000375F6" w:rsidRDefault="000375F6" w14:paraId="20F20747" w14:textId="77777777">
      <w:r w:rsidRPr="000375F6">
        <w:t>I en tid av snabb digitalisering bör regeringen även överväga att utveckla digitala utbildningsresurser som kan tillgängliggöra denna viktiga information för lärare och elever över hela landet. Digitala verktyg kan bidra till att sprida kunskap på ett mer interaktivt och engagerande sätt, vilket är avgörande för att nå dagens ungdomar.</w:t>
      </w:r>
    </w:p>
    <w:p w:rsidRPr="000375F6" w:rsidR="000375F6" w:rsidP="000375F6" w:rsidRDefault="000375F6" w14:paraId="000E03B1" w14:textId="77777777">
      <w:r w:rsidRPr="000375F6">
        <w:t>Vidare bör Sverige söka internationellt samarbete för att främja undervisningen om folkmord och mänskliga rättigheter. Detta kan innebära utbyte av utbildningsmaterial, forskning och samarbete med internationella organisationer som FN. Genom att dela kunskap och resurser kan vi gemensamt arbeta för att stärka utbildningen och därmed förebygga framtida övergrepp.</w:t>
      </w:r>
    </w:p>
    <w:p w:rsidRPr="000375F6" w:rsidR="000375F6" w:rsidP="000375F6" w:rsidRDefault="000375F6" w14:paraId="34B0490F" w14:textId="77777777">
      <w:r w:rsidRPr="000375F6">
        <w:t>Genom att lägga en stark grund för förståelse av dessa mörka kapitel i vår historia kan vi säkerställa att kommande generationer är bättre rustade att värna om mänskliga rättigheter och stå emot krafter som hotar att splittra och förstöra.</w:t>
      </w:r>
    </w:p>
    <w:sdt>
      <w:sdtPr>
        <w:alias w:val="CC_Underskrifter"/>
        <w:tag w:val="CC_Underskrifter"/>
        <w:id w:val="583496634"/>
        <w:lock w:val="sdtContentLocked"/>
        <w:placeholder>
          <w:docPart w:val="6751D6F952844D10ABEF6AFFAC1B10E2"/>
        </w:placeholder>
      </w:sdtPr>
      <w:sdtEndPr/>
      <w:sdtContent>
        <w:p w:rsidR="00FA0039" w:rsidP="00FA0039" w:rsidRDefault="00FA0039" w14:paraId="4181D760" w14:textId="77777777"/>
        <w:p w:rsidRPr="008E0FE2" w:rsidR="004801AC" w:rsidP="00FA0039" w:rsidRDefault="007F7BC0" w14:paraId="15E1AC97" w14:textId="69372BBD"/>
      </w:sdtContent>
    </w:sdt>
    <w:tbl>
      <w:tblPr>
        <w:tblW w:w="5000" w:type="pct"/>
        <w:tblLook w:val="04A0" w:firstRow="1" w:lastRow="0" w:firstColumn="1" w:lastColumn="0" w:noHBand="0" w:noVBand="1"/>
        <w:tblCaption w:val="underskrifter"/>
      </w:tblPr>
      <w:tblGrid>
        <w:gridCol w:w="4252"/>
        <w:gridCol w:w="4252"/>
      </w:tblGrid>
      <w:tr w:rsidR="002274E6" w14:paraId="46A6BEA3" w14:textId="77777777">
        <w:trPr>
          <w:cantSplit/>
        </w:trPr>
        <w:tc>
          <w:tcPr>
            <w:tcW w:w="50" w:type="pct"/>
            <w:vAlign w:val="bottom"/>
          </w:tcPr>
          <w:p w:rsidR="002274E6" w:rsidRDefault="007F7BC0" w14:paraId="60875002" w14:textId="77777777">
            <w:pPr>
              <w:pStyle w:val="Underskrifter"/>
              <w:spacing w:after="0"/>
            </w:pPr>
            <w:r>
              <w:t>Denis Begic (S)</w:t>
            </w:r>
          </w:p>
        </w:tc>
        <w:tc>
          <w:tcPr>
            <w:tcW w:w="50" w:type="pct"/>
            <w:vAlign w:val="bottom"/>
          </w:tcPr>
          <w:p w:rsidR="002274E6" w:rsidRDefault="007F7BC0" w14:paraId="42154FE4" w14:textId="77777777">
            <w:pPr>
              <w:pStyle w:val="Underskrifter"/>
              <w:spacing w:after="0"/>
            </w:pPr>
            <w:r>
              <w:t>Ingela Nylund Watz (S)</w:t>
            </w:r>
          </w:p>
        </w:tc>
      </w:tr>
    </w:tbl>
    <w:p w:rsidR="002274E6" w:rsidRDefault="002274E6" w14:paraId="1F3DE800" w14:textId="77777777"/>
    <w:sectPr w:rsidR="002274E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DBD5" w14:textId="77777777" w:rsidR="003F58B9" w:rsidRDefault="003F58B9" w:rsidP="000C1CAD">
      <w:pPr>
        <w:spacing w:line="240" w:lineRule="auto"/>
      </w:pPr>
      <w:r>
        <w:separator/>
      </w:r>
    </w:p>
  </w:endnote>
  <w:endnote w:type="continuationSeparator" w:id="0">
    <w:p w14:paraId="5E94058A" w14:textId="77777777" w:rsidR="003F58B9" w:rsidRDefault="003F5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A8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DD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A6DA" w14:textId="238D13C7" w:rsidR="00262EA3" w:rsidRPr="00FA0039" w:rsidRDefault="00262EA3" w:rsidP="00FA00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AFBC" w14:textId="77777777" w:rsidR="003F58B9" w:rsidRDefault="003F58B9" w:rsidP="000C1CAD">
      <w:pPr>
        <w:spacing w:line="240" w:lineRule="auto"/>
      </w:pPr>
      <w:r>
        <w:separator/>
      </w:r>
    </w:p>
  </w:footnote>
  <w:footnote w:type="continuationSeparator" w:id="0">
    <w:p w14:paraId="492A1EA9" w14:textId="77777777" w:rsidR="003F58B9" w:rsidRDefault="003F58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AA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260DEE" wp14:editId="6EF11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9498AF" w14:textId="2F13CC7D" w:rsidR="00262EA3" w:rsidRDefault="007F7BC0"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0375F6">
                                <w:t>641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260D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9498AF" w14:textId="2F13CC7D" w:rsidR="00262EA3" w:rsidRDefault="007F7BC0"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0375F6">
                          <w:t>641</w:t>
                        </w:r>
                      </w:sdtContent>
                    </w:sdt>
                  </w:p>
                </w:txbxContent>
              </v:textbox>
              <w10:wrap anchorx="page"/>
            </v:shape>
          </w:pict>
        </mc:Fallback>
      </mc:AlternateContent>
    </w:r>
  </w:p>
  <w:p w14:paraId="31E34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6783" w14:textId="77777777" w:rsidR="00262EA3" w:rsidRDefault="00262EA3" w:rsidP="008563AC">
    <w:pPr>
      <w:jc w:val="right"/>
    </w:pPr>
  </w:p>
  <w:p w14:paraId="7CD0E2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1D3" w14:textId="77777777" w:rsidR="00262EA3" w:rsidRDefault="007F7B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C2A5A" wp14:editId="1AB194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B9F1E" w14:textId="5C374947" w:rsidR="00262EA3" w:rsidRDefault="007F7BC0" w:rsidP="00A314CF">
    <w:pPr>
      <w:pStyle w:val="FSHNormal"/>
      <w:spacing w:before="40"/>
    </w:pPr>
    <w:sdt>
      <w:sdtPr>
        <w:alias w:val="CC_Noformat_Motionstyp"/>
        <w:tag w:val="CC_Noformat_Motionstyp"/>
        <w:id w:val="1162973129"/>
        <w:lock w:val="sdtContentLocked"/>
        <w15:appearance w15:val="hidden"/>
        <w:text/>
      </w:sdtPr>
      <w:sdtEndPr/>
      <w:sdtContent>
        <w:r w:rsidR="00FA0039">
          <w:t>Enskild motion</w:t>
        </w:r>
      </w:sdtContent>
    </w:sdt>
    <w:r w:rsidR="00821B36">
      <w:t xml:space="preserve"> </w:t>
    </w:r>
    <w:sdt>
      <w:sdtPr>
        <w:alias w:val="CC_Noformat_Partikod"/>
        <w:tag w:val="CC_Noformat_Partikod"/>
        <w:id w:val="1471015553"/>
        <w:text/>
      </w:sdtPr>
      <w:sdtEndPr/>
      <w:sdtContent>
        <w:r w:rsidR="003F58B9">
          <w:t>S</w:t>
        </w:r>
      </w:sdtContent>
    </w:sdt>
    <w:sdt>
      <w:sdtPr>
        <w:alias w:val="CC_Noformat_Partinummer"/>
        <w:tag w:val="CC_Noformat_Partinummer"/>
        <w:id w:val="-2014525982"/>
        <w:text/>
      </w:sdtPr>
      <w:sdtEndPr/>
      <w:sdtContent>
        <w:r w:rsidR="000375F6">
          <w:t>641</w:t>
        </w:r>
      </w:sdtContent>
    </w:sdt>
  </w:p>
  <w:p w14:paraId="0C641838" w14:textId="77777777" w:rsidR="00262EA3" w:rsidRPr="008227B3" w:rsidRDefault="007F7B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1D968" w14:textId="789E87A6" w:rsidR="00262EA3" w:rsidRPr="008227B3" w:rsidRDefault="007F7B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003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0039">
          <w:t>:1600</w:t>
        </w:r>
      </w:sdtContent>
    </w:sdt>
  </w:p>
  <w:p w14:paraId="1CFE6C69" w14:textId="4B9F5459" w:rsidR="00262EA3" w:rsidRDefault="007F7BC0" w:rsidP="00E03A3D">
    <w:pPr>
      <w:pStyle w:val="Motionr"/>
    </w:pPr>
    <w:sdt>
      <w:sdtPr>
        <w:alias w:val="CC_Noformat_Avtext"/>
        <w:tag w:val="CC_Noformat_Avtext"/>
        <w:id w:val="-2020768203"/>
        <w:lock w:val="sdtContentLocked"/>
        <w:placeholder>
          <w:docPart w:val="4AE80296DA0748A1AAD7A26ECBC068E2"/>
        </w:placeholder>
        <w15:appearance w15:val="hidden"/>
        <w:text/>
      </w:sdtPr>
      <w:sdtEndPr/>
      <w:sdtContent>
        <w:r w:rsidR="00FA0039">
          <w:t>av Denis Begic och Ingela Nylund Watz (båda S)</w:t>
        </w:r>
      </w:sdtContent>
    </w:sdt>
  </w:p>
  <w:sdt>
    <w:sdtPr>
      <w:alias w:val="CC_Noformat_Rubtext"/>
      <w:tag w:val="CC_Noformat_Rubtext"/>
      <w:id w:val="-218060500"/>
      <w:lock w:val="sdtLocked"/>
      <w:text/>
    </w:sdtPr>
    <w:sdtEndPr/>
    <w:sdtContent>
      <w:p w14:paraId="6791B4E9" w14:textId="2972B442" w:rsidR="00262EA3" w:rsidRDefault="000375F6" w:rsidP="00283E0F">
        <w:pPr>
          <w:pStyle w:val="FSHRub2"/>
        </w:pPr>
        <w:r>
          <w:t>Undervisning om folkmord</w:t>
        </w:r>
      </w:p>
    </w:sdtContent>
  </w:sdt>
  <w:sdt>
    <w:sdtPr>
      <w:alias w:val="CC_Boilerplate_3"/>
      <w:tag w:val="CC_Boilerplate_3"/>
      <w:id w:val="1606463544"/>
      <w:lock w:val="sdtContentLocked"/>
      <w15:appearance w15:val="hidden"/>
      <w:text w:multiLine="1"/>
    </w:sdtPr>
    <w:sdtEndPr/>
    <w:sdtContent>
      <w:p w14:paraId="5BD634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58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5F6"/>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4FF"/>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BA2"/>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D6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4E6"/>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B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66F"/>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A9F"/>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B6"/>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E6"/>
    <w:rsid w:val="005E1016"/>
    <w:rsid w:val="005E1161"/>
    <w:rsid w:val="005E13A4"/>
    <w:rsid w:val="005E1482"/>
    <w:rsid w:val="005E16E0"/>
    <w:rsid w:val="005E18FF"/>
    <w:rsid w:val="005E1FE9"/>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9EE"/>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BC0"/>
    <w:rsid w:val="00800368"/>
    <w:rsid w:val="00800C9F"/>
    <w:rsid w:val="00801879"/>
    <w:rsid w:val="00801D33"/>
    <w:rsid w:val="00801F41"/>
    <w:rsid w:val="00801F58"/>
    <w:rsid w:val="00802631"/>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70C"/>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3DA"/>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2F9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D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85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A50"/>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F63"/>
    <w:rsid w:val="00AA6CB2"/>
    <w:rsid w:val="00AA6F80"/>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0FA4"/>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9BF"/>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33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E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450"/>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CB5"/>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426"/>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02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0AB"/>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F0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5F"/>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039"/>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206"/>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8A2514"/>
  <w15:chartTrackingRefBased/>
  <w15:docId w15:val="{5B33E578-10B7-4DCC-B444-B896C35C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850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1187391">
      <w:bodyDiv w:val="1"/>
      <w:marLeft w:val="0"/>
      <w:marRight w:val="0"/>
      <w:marTop w:val="0"/>
      <w:marBottom w:val="0"/>
      <w:divBdr>
        <w:top w:val="none" w:sz="0" w:space="0" w:color="auto"/>
        <w:left w:val="none" w:sz="0" w:space="0" w:color="auto"/>
        <w:bottom w:val="none" w:sz="0" w:space="0" w:color="auto"/>
        <w:right w:val="none" w:sz="0" w:space="0" w:color="auto"/>
      </w:divBdr>
    </w:div>
    <w:div w:id="244149144">
      <w:bodyDiv w:val="1"/>
      <w:marLeft w:val="0"/>
      <w:marRight w:val="0"/>
      <w:marTop w:val="0"/>
      <w:marBottom w:val="0"/>
      <w:divBdr>
        <w:top w:val="none" w:sz="0" w:space="0" w:color="auto"/>
        <w:left w:val="none" w:sz="0" w:space="0" w:color="auto"/>
        <w:bottom w:val="none" w:sz="0" w:space="0" w:color="auto"/>
        <w:right w:val="none" w:sz="0" w:space="0" w:color="auto"/>
      </w:divBdr>
    </w:div>
    <w:div w:id="346490859">
      <w:bodyDiv w:val="1"/>
      <w:marLeft w:val="0"/>
      <w:marRight w:val="0"/>
      <w:marTop w:val="0"/>
      <w:marBottom w:val="0"/>
      <w:divBdr>
        <w:top w:val="none" w:sz="0" w:space="0" w:color="auto"/>
        <w:left w:val="none" w:sz="0" w:space="0" w:color="auto"/>
        <w:bottom w:val="none" w:sz="0" w:space="0" w:color="auto"/>
        <w:right w:val="none" w:sz="0" w:space="0" w:color="auto"/>
      </w:divBdr>
    </w:div>
    <w:div w:id="639575172">
      <w:bodyDiv w:val="1"/>
      <w:marLeft w:val="0"/>
      <w:marRight w:val="0"/>
      <w:marTop w:val="0"/>
      <w:marBottom w:val="0"/>
      <w:divBdr>
        <w:top w:val="none" w:sz="0" w:space="0" w:color="auto"/>
        <w:left w:val="none" w:sz="0" w:space="0" w:color="auto"/>
        <w:bottom w:val="none" w:sz="0" w:space="0" w:color="auto"/>
        <w:right w:val="none" w:sz="0" w:space="0" w:color="auto"/>
      </w:divBdr>
    </w:div>
    <w:div w:id="666521077">
      <w:bodyDiv w:val="1"/>
      <w:marLeft w:val="0"/>
      <w:marRight w:val="0"/>
      <w:marTop w:val="0"/>
      <w:marBottom w:val="0"/>
      <w:divBdr>
        <w:top w:val="none" w:sz="0" w:space="0" w:color="auto"/>
        <w:left w:val="none" w:sz="0" w:space="0" w:color="auto"/>
        <w:bottom w:val="none" w:sz="0" w:space="0" w:color="auto"/>
        <w:right w:val="none" w:sz="0" w:space="0" w:color="auto"/>
      </w:divBdr>
    </w:div>
    <w:div w:id="676467796">
      <w:bodyDiv w:val="1"/>
      <w:marLeft w:val="0"/>
      <w:marRight w:val="0"/>
      <w:marTop w:val="0"/>
      <w:marBottom w:val="0"/>
      <w:divBdr>
        <w:top w:val="none" w:sz="0" w:space="0" w:color="auto"/>
        <w:left w:val="none" w:sz="0" w:space="0" w:color="auto"/>
        <w:bottom w:val="none" w:sz="0" w:space="0" w:color="auto"/>
        <w:right w:val="none" w:sz="0" w:space="0" w:color="auto"/>
      </w:divBdr>
    </w:div>
    <w:div w:id="697968933">
      <w:bodyDiv w:val="1"/>
      <w:marLeft w:val="0"/>
      <w:marRight w:val="0"/>
      <w:marTop w:val="0"/>
      <w:marBottom w:val="0"/>
      <w:divBdr>
        <w:top w:val="none" w:sz="0" w:space="0" w:color="auto"/>
        <w:left w:val="none" w:sz="0" w:space="0" w:color="auto"/>
        <w:bottom w:val="none" w:sz="0" w:space="0" w:color="auto"/>
        <w:right w:val="none" w:sz="0" w:space="0" w:color="auto"/>
      </w:divBdr>
    </w:div>
    <w:div w:id="8476440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2519541">
      <w:bodyDiv w:val="1"/>
      <w:marLeft w:val="0"/>
      <w:marRight w:val="0"/>
      <w:marTop w:val="0"/>
      <w:marBottom w:val="0"/>
      <w:divBdr>
        <w:top w:val="none" w:sz="0" w:space="0" w:color="auto"/>
        <w:left w:val="none" w:sz="0" w:space="0" w:color="auto"/>
        <w:bottom w:val="none" w:sz="0" w:space="0" w:color="auto"/>
        <w:right w:val="none" w:sz="0" w:space="0" w:color="auto"/>
      </w:divBdr>
    </w:div>
    <w:div w:id="1157188259">
      <w:bodyDiv w:val="1"/>
      <w:marLeft w:val="0"/>
      <w:marRight w:val="0"/>
      <w:marTop w:val="0"/>
      <w:marBottom w:val="0"/>
      <w:divBdr>
        <w:top w:val="none" w:sz="0" w:space="0" w:color="auto"/>
        <w:left w:val="none" w:sz="0" w:space="0" w:color="auto"/>
        <w:bottom w:val="none" w:sz="0" w:space="0" w:color="auto"/>
        <w:right w:val="none" w:sz="0" w:space="0" w:color="auto"/>
      </w:divBdr>
    </w:div>
    <w:div w:id="1168402299">
      <w:bodyDiv w:val="1"/>
      <w:marLeft w:val="0"/>
      <w:marRight w:val="0"/>
      <w:marTop w:val="0"/>
      <w:marBottom w:val="0"/>
      <w:divBdr>
        <w:top w:val="none" w:sz="0" w:space="0" w:color="auto"/>
        <w:left w:val="none" w:sz="0" w:space="0" w:color="auto"/>
        <w:bottom w:val="none" w:sz="0" w:space="0" w:color="auto"/>
        <w:right w:val="none" w:sz="0" w:space="0" w:color="auto"/>
      </w:divBdr>
    </w:div>
    <w:div w:id="1189176131">
      <w:bodyDiv w:val="1"/>
      <w:marLeft w:val="0"/>
      <w:marRight w:val="0"/>
      <w:marTop w:val="0"/>
      <w:marBottom w:val="0"/>
      <w:divBdr>
        <w:top w:val="none" w:sz="0" w:space="0" w:color="auto"/>
        <w:left w:val="none" w:sz="0" w:space="0" w:color="auto"/>
        <w:bottom w:val="none" w:sz="0" w:space="0" w:color="auto"/>
        <w:right w:val="none" w:sz="0" w:space="0" w:color="auto"/>
      </w:divBdr>
    </w:div>
    <w:div w:id="1316498050">
      <w:bodyDiv w:val="1"/>
      <w:marLeft w:val="0"/>
      <w:marRight w:val="0"/>
      <w:marTop w:val="0"/>
      <w:marBottom w:val="0"/>
      <w:divBdr>
        <w:top w:val="none" w:sz="0" w:space="0" w:color="auto"/>
        <w:left w:val="none" w:sz="0" w:space="0" w:color="auto"/>
        <w:bottom w:val="none" w:sz="0" w:space="0" w:color="auto"/>
        <w:right w:val="none" w:sz="0" w:space="0" w:color="auto"/>
      </w:divBdr>
    </w:div>
    <w:div w:id="1500074235">
      <w:bodyDiv w:val="1"/>
      <w:marLeft w:val="0"/>
      <w:marRight w:val="0"/>
      <w:marTop w:val="0"/>
      <w:marBottom w:val="0"/>
      <w:divBdr>
        <w:top w:val="none" w:sz="0" w:space="0" w:color="auto"/>
        <w:left w:val="none" w:sz="0" w:space="0" w:color="auto"/>
        <w:bottom w:val="none" w:sz="0" w:space="0" w:color="auto"/>
        <w:right w:val="none" w:sz="0" w:space="0" w:color="auto"/>
      </w:divBdr>
    </w:div>
    <w:div w:id="1696269628">
      <w:bodyDiv w:val="1"/>
      <w:marLeft w:val="0"/>
      <w:marRight w:val="0"/>
      <w:marTop w:val="0"/>
      <w:marBottom w:val="0"/>
      <w:divBdr>
        <w:top w:val="none" w:sz="0" w:space="0" w:color="auto"/>
        <w:left w:val="none" w:sz="0" w:space="0" w:color="auto"/>
        <w:bottom w:val="none" w:sz="0" w:space="0" w:color="auto"/>
        <w:right w:val="none" w:sz="0" w:space="0" w:color="auto"/>
      </w:divBdr>
    </w:div>
    <w:div w:id="1697777635">
      <w:bodyDiv w:val="1"/>
      <w:marLeft w:val="0"/>
      <w:marRight w:val="0"/>
      <w:marTop w:val="0"/>
      <w:marBottom w:val="0"/>
      <w:divBdr>
        <w:top w:val="none" w:sz="0" w:space="0" w:color="auto"/>
        <w:left w:val="none" w:sz="0" w:space="0" w:color="auto"/>
        <w:bottom w:val="none" w:sz="0" w:space="0" w:color="auto"/>
        <w:right w:val="none" w:sz="0" w:space="0" w:color="auto"/>
      </w:divBdr>
    </w:div>
    <w:div w:id="1826697954">
      <w:bodyDiv w:val="1"/>
      <w:marLeft w:val="0"/>
      <w:marRight w:val="0"/>
      <w:marTop w:val="0"/>
      <w:marBottom w:val="0"/>
      <w:divBdr>
        <w:top w:val="none" w:sz="0" w:space="0" w:color="auto"/>
        <w:left w:val="none" w:sz="0" w:space="0" w:color="auto"/>
        <w:bottom w:val="none" w:sz="0" w:space="0" w:color="auto"/>
        <w:right w:val="none" w:sz="0" w:space="0" w:color="auto"/>
      </w:divBdr>
    </w:div>
    <w:div w:id="1843007714">
      <w:bodyDiv w:val="1"/>
      <w:marLeft w:val="0"/>
      <w:marRight w:val="0"/>
      <w:marTop w:val="0"/>
      <w:marBottom w:val="0"/>
      <w:divBdr>
        <w:top w:val="none" w:sz="0" w:space="0" w:color="auto"/>
        <w:left w:val="none" w:sz="0" w:space="0" w:color="auto"/>
        <w:bottom w:val="none" w:sz="0" w:space="0" w:color="auto"/>
        <w:right w:val="none" w:sz="0" w:space="0" w:color="auto"/>
      </w:divBdr>
      <w:divsChild>
        <w:div w:id="1174295811">
          <w:marLeft w:val="0"/>
          <w:marRight w:val="0"/>
          <w:marTop w:val="0"/>
          <w:marBottom w:val="0"/>
          <w:divBdr>
            <w:top w:val="none" w:sz="0" w:space="0" w:color="auto"/>
            <w:left w:val="none" w:sz="0" w:space="0" w:color="auto"/>
            <w:bottom w:val="none" w:sz="0" w:space="0" w:color="auto"/>
            <w:right w:val="none" w:sz="0" w:space="0" w:color="auto"/>
          </w:divBdr>
          <w:divsChild>
            <w:div w:id="1316688529">
              <w:marLeft w:val="0"/>
              <w:marRight w:val="0"/>
              <w:marTop w:val="0"/>
              <w:marBottom w:val="0"/>
              <w:divBdr>
                <w:top w:val="none" w:sz="0" w:space="0" w:color="auto"/>
                <w:left w:val="none" w:sz="0" w:space="0" w:color="auto"/>
                <w:bottom w:val="none" w:sz="0" w:space="0" w:color="auto"/>
                <w:right w:val="none" w:sz="0" w:space="0" w:color="auto"/>
              </w:divBdr>
              <w:divsChild>
                <w:div w:id="185683175">
                  <w:marLeft w:val="0"/>
                  <w:marRight w:val="0"/>
                  <w:marTop w:val="0"/>
                  <w:marBottom w:val="0"/>
                  <w:divBdr>
                    <w:top w:val="none" w:sz="0" w:space="0" w:color="auto"/>
                    <w:left w:val="none" w:sz="0" w:space="0" w:color="auto"/>
                    <w:bottom w:val="none" w:sz="0" w:space="0" w:color="auto"/>
                    <w:right w:val="none" w:sz="0" w:space="0" w:color="auto"/>
                  </w:divBdr>
                  <w:divsChild>
                    <w:div w:id="11729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09C6CB52B8410698DD8DE2E7055292"/>
        <w:category>
          <w:name w:val="Allmänt"/>
          <w:gallery w:val="placeholder"/>
        </w:category>
        <w:types>
          <w:type w:val="bbPlcHdr"/>
        </w:types>
        <w:behaviors>
          <w:behavior w:val="content"/>
        </w:behaviors>
        <w:guid w:val="{F1F9716C-D103-4F10-98F5-BCAF5F243B90}"/>
      </w:docPartPr>
      <w:docPartBody>
        <w:p w:rsidR="00EE2079" w:rsidRDefault="0094187E">
          <w:pPr>
            <w:pStyle w:val="DC09C6CB52B8410698DD8DE2E7055292"/>
          </w:pPr>
          <w:r w:rsidRPr="005A0A93">
            <w:rPr>
              <w:rStyle w:val="Platshllartext"/>
            </w:rPr>
            <w:t>Förslag till riksdagsbeslut</w:t>
          </w:r>
        </w:p>
      </w:docPartBody>
    </w:docPart>
    <w:docPart>
      <w:docPartPr>
        <w:name w:val="DC47D715F4C4451A95D591B796665162"/>
        <w:category>
          <w:name w:val="Allmänt"/>
          <w:gallery w:val="placeholder"/>
        </w:category>
        <w:types>
          <w:type w:val="bbPlcHdr"/>
        </w:types>
        <w:behaviors>
          <w:behavior w:val="content"/>
        </w:behaviors>
        <w:guid w:val="{83502A9C-5F4E-49E6-89CD-4D793BD56C3A}"/>
      </w:docPartPr>
      <w:docPartBody>
        <w:p w:rsidR="00EE2079" w:rsidRDefault="0094187E">
          <w:pPr>
            <w:pStyle w:val="DC47D715F4C4451A95D591B796665162"/>
          </w:pPr>
          <w:r w:rsidRPr="005A0A93">
            <w:rPr>
              <w:rStyle w:val="Platshllartext"/>
            </w:rPr>
            <w:t>Motivering</w:t>
          </w:r>
        </w:p>
      </w:docPartBody>
    </w:docPart>
    <w:docPart>
      <w:docPartPr>
        <w:name w:val="4AE80296DA0748A1AAD7A26ECBC068E2"/>
        <w:category>
          <w:name w:val="Allmänt"/>
          <w:gallery w:val="placeholder"/>
        </w:category>
        <w:types>
          <w:type w:val="bbPlcHdr"/>
        </w:types>
        <w:behaviors>
          <w:behavior w:val="content"/>
        </w:behaviors>
        <w:guid w:val="{B7262893-817F-4B2D-A0F2-FB5DDA661967}"/>
      </w:docPartPr>
      <w:docPartBody>
        <w:p w:rsidR="00EE2079" w:rsidRDefault="0094187E" w:rsidP="0094187E">
          <w:pPr>
            <w:pStyle w:val="4AE80296DA0748A1AAD7A26ECBC068E2"/>
          </w:pPr>
          <w:r w:rsidRPr="00AA4635">
            <w:rPr>
              <w:rStyle w:val="FrslagstextChar"/>
              <w:color w:val="F4B083"/>
            </w:rPr>
            <w:t>[ange din text här]</w:t>
          </w:r>
        </w:p>
      </w:docPartBody>
    </w:docPart>
    <w:docPart>
      <w:docPartPr>
        <w:name w:val="6751D6F952844D10ABEF6AFFAC1B10E2"/>
        <w:category>
          <w:name w:val="Allmänt"/>
          <w:gallery w:val="placeholder"/>
        </w:category>
        <w:types>
          <w:type w:val="bbPlcHdr"/>
        </w:types>
        <w:behaviors>
          <w:behavior w:val="content"/>
        </w:behaviors>
        <w:guid w:val="{354D685E-0A85-4C67-891B-E3F404EA1087}"/>
      </w:docPartPr>
      <w:docPartBody>
        <w:p w:rsidR="00375E80" w:rsidRDefault="00375E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7E"/>
    <w:rsid w:val="00375E80"/>
    <w:rsid w:val="0094187E"/>
    <w:rsid w:val="00EE20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09C6CB52B8410698DD8DE2E7055292">
    <w:name w:val="DC09C6CB52B8410698DD8DE2E7055292"/>
  </w:style>
  <w:style w:type="paragraph" w:customStyle="1" w:styleId="Frslagstext">
    <w:name w:val="Förslagstext"/>
    <w:aliases w:val="Yrkande,Hemstlatt"/>
    <w:basedOn w:val="Normal"/>
    <w:link w:val="FrslagstextChar"/>
    <w:uiPriority w:val="2"/>
    <w:rsid w:val="0094187E"/>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4187E"/>
    <w:rPr>
      <w:rFonts w:eastAsiaTheme="minorHAnsi"/>
      <w:kern w:val="28"/>
      <w:sz w:val="24"/>
      <w:szCs w:val="24"/>
      <w:lang w:eastAsia="en-US"/>
      <w14:numSpacing w14:val="proportional"/>
    </w:rPr>
  </w:style>
  <w:style w:type="paragraph" w:customStyle="1" w:styleId="DC47D715F4C4451A95D591B796665162">
    <w:name w:val="DC47D715F4C4451A95D591B796665162"/>
  </w:style>
  <w:style w:type="paragraph" w:customStyle="1" w:styleId="4AE80296DA0748A1AAD7A26ECBC068E2">
    <w:name w:val="4AE80296DA0748A1AAD7A26ECBC068E2"/>
    <w:rsid w:val="00941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F9F9E5-FD8A-4D13-A8C8-E2407DE77735}"/>
</file>

<file path=customXml/itemProps2.xml><?xml version="1.0" encoding="utf-8"?>
<ds:datastoreItem xmlns:ds="http://schemas.openxmlformats.org/officeDocument/2006/customXml" ds:itemID="{3AD313E2-347E-4EF3-B4F1-BDED4A17A8B9}"/>
</file>

<file path=customXml/itemProps3.xml><?xml version="1.0" encoding="utf-8"?>
<ds:datastoreItem xmlns:ds="http://schemas.openxmlformats.org/officeDocument/2006/customXml" ds:itemID="{CB9CDD06-5542-470A-A57E-5DDD95EE0845}"/>
</file>

<file path=docProps/app.xml><?xml version="1.0" encoding="utf-8"?>
<Properties xmlns="http://schemas.openxmlformats.org/officeDocument/2006/extended-properties" xmlns:vt="http://schemas.openxmlformats.org/officeDocument/2006/docPropsVTypes">
  <Template>Normal</Template>
  <TotalTime>7</TotalTime>
  <Pages>2</Pages>
  <Words>458</Words>
  <Characters>2638</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S633 Ersätt marknadsskolan med en jämlik kunskapsskola</vt:lpstr>
      <vt:lpstr>
      </vt:lpstr>
    </vt:vector>
  </TitlesOfParts>
  <Company>Sveriges riksdag</Company>
  <LinksUpToDate>false</LinksUpToDate>
  <CharactersWithSpaces>3082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