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190769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14D8D">
              <w:rPr>
                <w:b/>
                <w:sz w:val="22"/>
                <w:szCs w:val="22"/>
              </w:rPr>
              <w:t>38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099EBCE" w:rsidR="0096348C" w:rsidRPr="00477C9F" w:rsidRDefault="009D1BB5" w:rsidP="00114D8D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114D8D">
              <w:rPr>
                <w:sz w:val="22"/>
                <w:szCs w:val="22"/>
              </w:rPr>
              <w:t>4-23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379C42D" w14:textId="77777777" w:rsidR="0096348C" w:rsidRDefault="00114D8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606403">
              <w:rPr>
                <w:sz w:val="22"/>
                <w:szCs w:val="22"/>
              </w:rPr>
              <w:t>11.27</w:t>
            </w:r>
          </w:p>
          <w:p w14:paraId="40538019" w14:textId="285F54FB" w:rsidR="00606403" w:rsidRPr="00477C9F" w:rsidRDefault="0060640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12.21–12.22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AE8F737" w14:textId="77777777" w:rsidR="009C51B0" w:rsidRPr="00241263" w:rsidRDefault="00241263" w:rsidP="000156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1263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CCF2517" w14:textId="77777777" w:rsidR="00241263" w:rsidRDefault="00241263" w:rsidP="000156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98CB47" w14:textId="0645FF2E" w:rsidR="00241263" w:rsidRPr="006D3093" w:rsidRDefault="00241263" w:rsidP="002412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M.R</w:t>
            </w:r>
            <w:r w:rsidRPr="006D3093">
              <w:rPr>
                <w:snapToGrid w:val="0"/>
                <w:sz w:val="22"/>
                <w:szCs w:val="22"/>
              </w:rPr>
              <w:t xml:space="preserve">, som medföljde ledamoten </w:t>
            </w:r>
            <w:r>
              <w:rPr>
                <w:snapToGrid w:val="0"/>
                <w:sz w:val="22"/>
                <w:szCs w:val="22"/>
              </w:rPr>
              <w:t xml:space="preserve">Tuve Skånberg </w:t>
            </w:r>
            <w:r w:rsidRPr="006D309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KD</w:t>
            </w:r>
            <w:r w:rsidRPr="006D3093">
              <w:rPr>
                <w:snapToGrid w:val="0"/>
                <w:sz w:val="22"/>
                <w:szCs w:val="22"/>
              </w:rPr>
              <w:t xml:space="preserve">), </w:t>
            </w:r>
            <w:r>
              <w:rPr>
                <w:snapToGrid w:val="0"/>
                <w:sz w:val="22"/>
                <w:szCs w:val="22"/>
              </w:rPr>
              <w:t>och att praoeleven A.G</w:t>
            </w:r>
            <w:r w:rsidRPr="006D3093">
              <w:rPr>
                <w:snapToGrid w:val="0"/>
                <w:sz w:val="22"/>
                <w:szCs w:val="22"/>
              </w:rPr>
              <w:t xml:space="preserve">, som medföljde ledamoten </w:t>
            </w:r>
            <w:r w:rsidR="00380B03">
              <w:rPr>
                <w:snapToGrid w:val="0"/>
                <w:sz w:val="22"/>
                <w:szCs w:val="22"/>
              </w:rPr>
              <w:t xml:space="preserve">Jonas </w:t>
            </w:r>
            <w:r>
              <w:rPr>
                <w:snapToGrid w:val="0"/>
                <w:sz w:val="22"/>
                <w:szCs w:val="22"/>
              </w:rPr>
              <w:t xml:space="preserve">Eriksson </w:t>
            </w:r>
            <w:r w:rsidRPr="006D309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6D3093">
              <w:rPr>
                <w:snapToGrid w:val="0"/>
                <w:sz w:val="22"/>
                <w:szCs w:val="22"/>
              </w:rPr>
              <w:t>), fick närvara under sammanträdet</w:t>
            </w:r>
            <w:r>
              <w:rPr>
                <w:snapToGrid w:val="0"/>
                <w:sz w:val="22"/>
                <w:szCs w:val="22"/>
              </w:rPr>
              <w:t xml:space="preserve"> utom vid punkterna på den särskilda föredragningslistan</w:t>
            </w:r>
            <w:r w:rsidRPr="006D3093">
              <w:rPr>
                <w:snapToGrid w:val="0"/>
                <w:sz w:val="22"/>
                <w:szCs w:val="22"/>
              </w:rPr>
              <w:t>.</w:t>
            </w:r>
          </w:p>
          <w:p w14:paraId="40538024" w14:textId="1660DB70" w:rsidR="00241263" w:rsidRPr="00477C9F" w:rsidRDefault="00241263" w:rsidP="000156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5639" w:rsidRPr="00477C9F" w14:paraId="3B9F37E2" w14:textId="77777777" w:rsidTr="00A45577">
        <w:tc>
          <w:tcPr>
            <w:tcW w:w="567" w:type="dxa"/>
          </w:tcPr>
          <w:p w14:paraId="0E418BFA" w14:textId="151742B3" w:rsidR="00015639" w:rsidRPr="00477C9F" w:rsidRDefault="0001563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F243731" w14:textId="77777777" w:rsidR="00015639" w:rsidRPr="00477C9F" w:rsidRDefault="00015639" w:rsidP="000156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B662CDD" w14:textId="77777777" w:rsidR="00015639" w:rsidRPr="00477C9F" w:rsidRDefault="00015639" w:rsidP="000156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D400DC" w14:textId="77777777" w:rsidR="00015639" w:rsidRPr="00477C9F" w:rsidRDefault="00015639" w:rsidP="000156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9:36 och 37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03A3BD3B" w14:textId="77777777" w:rsidR="00015639" w:rsidRPr="00477C9F" w:rsidRDefault="00015639" w:rsidP="00114D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384779A1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563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6B939B0" w14:textId="77777777" w:rsidR="00E85690" w:rsidRPr="00FE31C2" w:rsidRDefault="00E85690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3AE70E2C" w14:textId="77777777" w:rsidR="00E85690" w:rsidRPr="00FE31C2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CCA79E" w14:textId="1AD43106" w:rsidR="00E85690" w:rsidRPr="00E85690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E85690">
              <w:rPr>
                <w:snapToGrid w:val="0"/>
                <w:sz w:val="22"/>
                <w:szCs w:val="22"/>
              </w:rPr>
              <w:t xml:space="preserve">Nermina Mizimovic (S) </w:t>
            </w:r>
            <w:r>
              <w:rPr>
                <w:snapToGrid w:val="0"/>
                <w:sz w:val="22"/>
                <w:szCs w:val="22"/>
              </w:rPr>
              <w:t>utsetts till</w:t>
            </w:r>
            <w:r w:rsidRPr="00E85690">
              <w:rPr>
                <w:snapToGrid w:val="0"/>
                <w:sz w:val="22"/>
                <w:szCs w:val="22"/>
              </w:rPr>
              <w:t xml:space="preserve"> suppleant i konstitutionsutskottet t.o.m. den 7 maj under Laila </w:t>
            </w:r>
            <w:proofErr w:type="spellStart"/>
            <w:r w:rsidRPr="00E85690">
              <w:rPr>
                <w:snapToGrid w:val="0"/>
                <w:sz w:val="22"/>
                <w:szCs w:val="22"/>
              </w:rPr>
              <w:t>Naraghis</w:t>
            </w:r>
            <w:proofErr w:type="spellEnd"/>
            <w:r w:rsidRPr="00E85690">
              <w:rPr>
                <w:snapToGrid w:val="0"/>
                <w:sz w:val="22"/>
                <w:szCs w:val="22"/>
              </w:rPr>
              <w:t xml:space="preserve"> (S) ledighet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114D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68E5511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563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F383C90" w14:textId="29F39B45" w:rsidR="003A729A" w:rsidRPr="00E85690" w:rsidRDefault="00E85690" w:rsidP="00114D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5690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5C0B967B" w14:textId="77777777" w:rsidR="00E85690" w:rsidRDefault="00E85690" w:rsidP="00114D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255356" w14:textId="77777777" w:rsidR="00E85690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E85690">
              <w:rPr>
                <w:snapToGrid w:val="0"/>
                <w:sz w:val="22"/>
                <w:szCs w:val="22"/>
              </w:rPr>
              <w:t>2018/19:100 2019 års ekonomiska vårproposition förslagspunkterna 2–5.</w:t>
            </w:r>
          </w:p>
          <w:p w14:paraId="4053802E" w14:textId="019870A0" w:rsidR="00E85690" w:rsidRPr="00477C9F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6403" w:rsidRPr="00477C9F" w14:paraId="5603B98F" w14:textId="77777777" w:rsidTr="00A45577">
        <w:tc>
          <w:tcPr>
            <w:tcW w:w="567" w:type="dxa"/>
          </w:tcPr>
          <w:p w14:paraId="1D7B0F51" w14:textId="0DA69328" w:rsidR="00606403" w:rsidRPr="00477C9F" w:rsidRDefault="0060640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67F29164" w14:textId="793C5461" w:rsidR="00606403" w:rsidRPr="00DF6B2F" w:rsidRDefault="00606403" w:rsidP="006064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6B2F">
              <w:rPr>
                <w:b/>
                <w:snapToGrid w:val="0"/>
                <w:sz w:val="22"/>
                <w:szCs w:val="22"/>
              </w:rPr>
              <w:t xml:space="preserve">Valprövningsnämndens </w:t>
            </w:r>
            <w:r w:rsidR="00DF6B2F" w:rsidRPr="00DF6B2F">
              <w:rPr>
                <w:b/>
                <w:snapToGrid w:val="0"/>
                <w:sz w:val="22"/>
                <w:szCs w:val="22"/>
              </w:rPr>
              <w:t>promemoria</w:t>
            </w:r>
          </w:p>
          <w:p w14:paraId="5FC09F7D" w14:textId="77777777" w:rsidR="00606403" w:rsidRPr="003C40F4" w:rsidRDefault="00606403" w:rsidP="006064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B36968" w14:textId="1A599F3E" w:rsidR="00606403" w:rsidRPr="003C40F4" w:rsidRDefault="00606403" w:rsidP="006064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40F4">
              <w:rPr>
                <w:snapToGrid w:val="0"/>
                <w:sz w:val="22"/>
                <w:szCs w:val="22"/>
              </w:rPr>
              <w:t>Kanslichefen anmälde att</w:t>
            </w:r>
            <w:r>
              <w:rPr>
                <w:snapToGrid w:val="0"/>
                <w:sz w:val="22"/>
                <w:szCs w:val="22"/>
              </w:rPr>
              <w:t xml:space="preserve"> VPN:s</w:t>
            </w:r>
            <w:r w:rsidRPr="003C40F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promemoria</w:t>
            </w:r>
            <w:r w:rsidRPr="003C40F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Erfarenheter av prövning av överklaganden i 2018 års val har</w:t>
            </w:r>
            <w:r w:rsidRPr="003C40F4">
              <w:rPr>
                <w:snapToGrid w:val="0"/>
                <w:sz w:val="22"/>
                <w:szCs w:val="22"/>
              </w:rPr>
              <w:t xml:space="preserve"> överlämnats till </w:t>
            </w:r>
            <w:r>
              <w:rPr>
                <w:snapToGrid w:val="0"/>
                <w:sz w:val="22"/>
                <w:szCs w:val="22"/>
              </w:rPr>
              <w:t>utskottet (dnr 2139-2018/19)</w:t>
            </w:r>
            <w:r w:rsidRPr="003C40F4">
              <w:rPr>
                <w:snapToGrid w:val="0"/>
                <w:sz w:val="22"/>
                <w:szCs w:val="22"/>
              </w:rPr>
              <w:t>.</w:t>
            </w:r>
          </w:p>
          <w:p w14:paraId="15075991" w14:textId="77777777" w:rsidR="00606403" w:rsidRPr="00E85690" w:rsidRDefault="00606403" w:rsidP="00114D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6574715A" w:rsidR="0096348C" w:rsidRPr="00477C9F" w:rsidRDefault="0096348C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</w:t>
            </w:r>
            <w:r w:rsidR="0001563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F6B2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9B997E" w14:textId="2904FEA0" w:rsidR="00D668B2" w:rsidRPr="00C94F04" w:rsidRDefault="00A7289F" w:rsidP="00D668B2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Konferens</w:t>
            </w:r>
          </w:p>
          <w:p w14:paraId="185C3378" w14:textId="77777777" w:rsidR="00D668B2" w:rsidRPr="00C94F04" w:rsidRDefault="00D668B2" w:rsidP="00D668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B992C3" w14:textId="072F0CB1" w:rsidR="009838C7" w:rsidRPr="00C94F04" w:rsidRDefault="00D668B2" w:rsidP="00D668B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Föredragande</w:t>
            </w:r>
            <w:r w:rsidRPr="00C94F04">
              <w:rPr>
                <w:sz w:val="22"/>
                <w:szCs w:val="22"/>
              </w:rPr>
              <w:t xml:space="preserve"> anmälde en </w:t>
            </w:r>
            <w:r>
              <w:rPr>
                <w:sz w:val="22"/>
                <w:szCs w:val="22"/>
              </w:rPr>
              <w:t>inbjudan till</w:t>
            </w:r>
            <w:r w:rsidRPr="00C9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="007F12B6">
              <w:rPr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 xml:space="preserve"> </w:t>
            </w:r>
            <w:r w:rsidR="007F12B6">
              <w:rPr>
                <w:sz w:val="22"/>
                <w:szCs w:val="22"/>
              </w:rPr>
              <w:t xml:space="preserve">seminarium </w:t>
            </w:r>
            <w:r w:rsidR="009838C7" w:rsidRPr="00C94F04">
              <w:rPr>
                <w:sz w:val="22"/>
                <w:szCs w:val="22"/>
              </w:rPr>
              <w:t xml:space="preserve">den </w:t>
            </w:r>
            <w:r w:rsidR="009838C7">
              <w:rPr>
                <w:sz w:val="22"/>
                <w:szCs w:val="22"/>
              </w:rPr>
              <w:t xml:space="preserve">24 maj 2019 i Oslo </w:t>
            </w:r>
            <w:r w:rsidR="007F12B6">
              <w:rPr>
                <w:sz w:val="22"/>
                <w:szCs w:val="22"/>
              </w:rPr>
              <w:t>om</w:t>
            </w:r>
            <w:r>
              <w:rPr>
                <w:sz w:val="22"/>
                <w:szCs w:val="22"/>
              </w:rPr>
              <w:t xml:space="preserve"> </w:t>
            </w:r>
            <w:r w:rsidR="007F12B6">
              <w:rPr>
                <w:sz w:val="22"/>
                <w:szCs w:val="22"/>
              </w:rPr>
              <w:t>statlig revision i Norden.</w:t>
            </w:r>
          </w:p>
          <w:p w14:paraId="40538033" w14:textId="396697C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668B2" w:rsidRPr="00477C9F" w14:paraId="09001659" w14:textId="77777777" w:rsidTr="00A45577">
        <w:tc>
          <w:tcPr>
            <w:tcW w:w="567" w:type="dxa"/>
          </w:tcPr>
          <w:p w14:paraId="74614559" w14:textId="0846AE83" w:rsidR="00D668B2" w:rsidRPr="00477C9F" w:rsidRDefault="00D668B2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6B2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D2FEDD1" w14:textId="21338365" w:rsidR="00D668B2" w:rsidRPr="00C94F04" w:rsidRDefault="00A7289F" w:rsidP="00D668B2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</w:t>
            </w:r>
          </w:p>
          <w:p w14:paraId="42C3509B" w14:textId="77777777" w:rsidR="00D668B2" w:rsidRPr="00C94F04" w:rsidRDefault="00D668B2" w:rsidP="00D668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F81071" w14:textId="5736B89B" w:rsidR="00D668B2" w:rsidRDefault="00D668B2" w:rsidP="00D668B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4F04">
              <w:rPr>
                <w:sz w:val="22"/>
                <w:szCs w:val="22"/>
              </w:rPr>
              <w:t xml:space="preserve">Kanslichefen anmälde en förfrågan om </w:t>
            </w:r>
            <w:r>
              <w:rPr>
                <w:sz w:val="22"/>
                <w:szCs w:val="22"/>
              </w:rPr>
              <w:t xml:space="preserve">ett möte </w:t>
            </w:r>
            <w:r w:rsidR="009838C7">
              <w:rPr>
                <w:sz w:val="22"/>
                <w:szCs w:val="22"/>
              </w:rPr>
              <w:t>med</w:t>
            </w:r>
            <w:r w:rsidR="00EA7435">
              <w:rPr>
                <w:sz w:val="22"/>
                <w:szCs w:val="22"/>
              </w:rPr>
              <w:t xml:space="preserve"> en</w:t>
            </w:r>
            <w:r w:rsidR="009838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rapportör från Europarådets parlamentariska församling</w:t>
            </w:r>
            <w:r w:rsidRPr="00C94F04">
              <w:rPr>
                <w:sz w:val="22"/>
                <w:szCs w:val="22"/>
              </w:rPr>
              <w:t xml:space="preserve"> onsdagen </w:t>
            </w:r>
            <w:r w:rsidR="00380B03">
              <w:rPr>
                <w:sz w:val="22"/>
                <w:szCs w:val="22"/>
              </w:rPr>
              <w:t xml:space="preserve">den 15 </w:t>
            </w:r>
            <w:r w:rsidRPr="00C94F04">
              <w:rPr>
                <w:sz w:val="22"/>
                <w:szCs w:val="22"/>
              </w:rPr>
              <w:t>maj 2019.</w:t>
            </w:r>
          </w:p>
          <w:p w14:paraId="42E0A416" w14:textId="3F03A992" w:rsidR="009838C7" w:rsidRDefault="009838C7" w:rsidP="00D668B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A8D2E1E" w14:textId="2EF5F787" w:rsidR="009838C7" w:rsidRPr="00C94F04" w:rsidRDefault="009838C7" w:rsidP="00D668B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ta emot rapportören.</w:t>
            </w:r>
          </w:p>
          <w:p w14:paraId="52AE6FB3" w14:textId="77777777" w:rsidR="00D668B2" w:rsidRDefault="00D668B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668B2" w:rsidRPr="00477C9F" w14:paraId="1A26F569" w14:textId="77777777" w:rsidTr="00A45577">
        <w:tc>
          <w:tcPr>
            <w:tcW w:w="567" w:type="dxa"/>
          </w:tcPr>
          <w:p w14:paraId="29665D24" w14:textId="465B3D0F" w:rsidR="00D668B2" w:rsidRPr="00477C9F" w:rsidRDefault="00EB426A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728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6B2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138C48E" w14:textId="77777777" w:rsidR="00D668B2" w:rsidRPr="00C94F04" w:rsidRDefault="00D668B2" w:rsidP="00D668B2">
            <w:pPr>
              <w:outlineLvl w:val="0"/>
              <w:rPr>
                <w:b/>
                <w:sz w:val="22"/>
                <w:szCs w:val="22"/>
              </w:rPr>
            </w:pPr>
            <w:r w:rsidRPr="00C94F04">
              <w:rPr>
                <w:b/>
                <w:sz w:val="22"/>
                <w:szCs w:val="22"/>
              </w:rPr>
              <w:t xml:space="preserve">Besök </w:t>
            </w:r>
          </w:p>
          <w:p w14:paraId="19D948FD" w14:textId="77777777" w:rsidR="00D668B2" w:rsidRPr="00C94F04" w:rsidRDefault="00D668B2" w:rsidP="00D668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D1DDBD" w14:textId="50B90E5B" w:rsidR="00D668B2" w:rsidRDefault="00D668B2" w:rsidP="00D668B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4F04">
              <w:rPr>
                <w:sz w:val="22"/>
                <w:szCs w:val="22"/>
              </w:rPr>
              <w:t xml:space="preserve">Kanslichefen anmälde ett inkommande </w:t>
            </w:r>
            <w:r w:rsidRPr="00C94F04">
              <w:rPr>
                <w:snapToGrid w:val="0"/>
                <w:sz w:val="22"/>
                <w:szCs w:val="22"/>
              </w:rPr>
              <w:t xml:space="preserve">besök av </w:t>
            </w:r>
            <w:r w:rsidR="009838C7">
              <w:rPr>
                <w:sz w:val="22"/>
                <w:szCs w:val="22"/>
              </w:rPr>
              <w:t>en delegation från Kinas n</w:t>
            </w:r>
            <w:r w:rsidR="00A7289F">
              <w:rPr>
                <w:sz w:val="22"/>
                <w:szCs w:val="22"/>
              </w:rPr>
              <w:t>ationella folkkongress ti</w:t>
            </w:r>
            <w:r w:rsidRPr="00C94F04">
              <w:rPr>
                <w:sz w:val="22"/>
                <w:szCs w:val="22"/>
              </w:rPr>
              <w:t xml:space="preserve">sdagen den </w:t>
            </w:r>
            <w:r w:rsidR="00A7289F">
              <w:rPr>
                <w:sz w:val="22"/>
                <w:szCs w:val="22"/>
              </w:rPr>
              <w:t>2</w:t>
            </w:r>
            <w:r w:rsidRPr="00C94F04">
              <w:rPr>
                <w:sz w:val="22"/>
                <w:szCs w:val="22"/>
              </w:rPr>
              <w:t>8 maj 2019.</w:t>
            </w:r>
          </w:p>
          <w:p w14:paraId="6668996A" w14:textId="77777777" w:rsidR="009838C7" w:rsidRPr="00C94F04" w:rsidRDefault="009838C7" w:rsidP="00D668B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F4BF66" w14:textId="513ECBC7" w:rsidR="009838C7" w:rsidRPr="00C94F04" w:rsidRDefault="009838C7" w:rsidP="009838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Utskottet beslutade att ta emot delegationen. O</w:t>
            </w:r>
            <w:r w:rsidR="00EF387C">
              <w:rPr>
                <w:sz w:val="22"/>
                <w:szCs w:val="22"/>
              </w:rPr>
              <w:t>rdförande Karin Enström (M), vic</w:t>
            </w:r>
            <w:r>
              <w:rPr>
                <w:sz w:val="22"/>
                <w:szCs w:val="22"/>
              </w:rPr>
              <w:t>e ordförande Hans Ekström (S) och ledamöterna Per-Arne Håkansson (S), Mikael Strandman (SD), Thomas Hammarberg (S) och Jessica Wetterling (V) avser delta.</w:t>
            </w:r>
          </w:p>
          <w:p w14:paraId="570FF496" w14:textId="77777777" w:rsidR="00D668B2" w:rsidRDefault="00D668B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42B637F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F6B2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85690" w:rsidRPr="00477C9F" w14:paraId="21E3E70C" w14:textId="77777777" w:rsidTr="00A45577">
        <w:tc>
          <w:tcPr>
            <w:tcW w:w="567" w:type="dxa"/>
          </w:tcPr>
          <w:p w14:paraId="4A22102D" w14:textId="142B178B" w:rsidR="00E85690" w:rsidRPr="00477C9F" w:rsidRDefault="00E8569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6B2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1D5AE96" w14:textId="77777777" w:rsidR="00E85690" w:rsidRDefault="00E85690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1D976266" w14:textId="77777777" w:rsidR="00E85690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A6957B" w14:textId="77777777" w:rsidR="00E85690" w:rsidRPr="007E5317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38C172E4" w14:textId="77777777" w:rsidR="00E85690" w:rsidRPr="007E5317" w:rsidRDefault="00E85690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615B2F" w14:textId="77777777" w:rsidR="00E85690" w:rsidRPr="007E5317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17D35801" w14:textId="77777777" w:rsidR="00E85690" w:rsidRPr="00477C9F" w:rsidRDefault="00E8569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85690" w:rsidRPr="00477C9F" w14:paraId="55162CF3" w14:textId="77777777" w:rsidTr="00A45577">
        <w:tc>
          <w:tcPr>
            <w:tcW w:w="567" w:type="dxa"/>
          </w:tcPr>
          <w:p w14:paraId="0B82D6D2" w14:textId="7FBF6B79" w:rsidR="00E85690" w:rsidRPr="00477C9F" w:rsidRDefault="00F7489A" w:rsidP="00DF6B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8569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5639">
              <w:rPr>
                <w:b/>
                <w:snapToGrid w:val="0"/>
                <w:sz w:val="22"/>
                <w:szCs w:val="22"/>
              </w:rPr>
              <w:t>1</w:t>
            </w:r>
            <w:r w:rsidR="00DF6B2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00DBC70" w14:textId="77777777" w:rsidR="00E85690" w:rsidRPr="007E5317" w:rsidRDefault="00E85690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Riksdagens arbetsformer (KU22)</w:t>
            </w:r>
          </w:p>
          <w:p w14:paraId="6A02DCEB" w14:textId="77777777" w:rsidR="00E85690" w:rsidRPr="007E5317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E2011C" w14:textId="77777777" w:rsidR="00E85690" w:rsidRPr="007E5317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1B514B91" w14:textId="77777777" w:rsidR="00E85690" w:rsidRPr="007E5317" w:rsidRDefault="00E85690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CCBC97" w14:textId="77777777" w:rsidR="00E85690" w:rsidRPr="007E5317" w:rsidRDefault="00E85690" w:rsidP="00E856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3577EEF0" w14:textId="77777777" w:rsidR="00E85690" w:rsidRPr="00477C9F" w:rsidRDefault="00E8569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47423" w:rsidRPr="00477C9F" w14:paraId="45CD0160" w14:textId="77777777" w:rsidTr="00A45577">
        <w:tc>
          <w:tcPr>
            <w:tcW w:w="567" w:type="dxa"/>
          </w:tcPr>
          <w:p w14:paraId="21F19792" w14:textId="0030DF13" w:rsidR="00947423" w:rsidRPr="00477C9F" w:rsidRDefault="00947423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725AA7CC" w14:textId="77777777" w:rsidR="00947423" w:rsidRDefault="00947423" w:rsidP="009474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Verksamheten i Europeiska unionen under 2018</w:t>
            </w:r>
          </w:p>
          <w:p w14:paraId="1AE42F14" w14:textId="77777777" w:rsidR="00947423" w:rsidRDefault="00947423" w:rsidP="009474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EED062" w14:textId="15D26F04" w:rsidR="00947423" w:rsidRDefault="00947423" w:rsidP="009474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>
              <w:rPr>
                <w:snapToGrid w:val="0"/>
                <w:sz w:val="22"/>
                <w:szCs w:val="22"/>
              </w:rPr>
              <w:t>frågan</w:t>
            </w:r>
            <w:r w:rsidRPr="007E2080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yttrande till utrikesutskottet.</w:t>
            </w:r>
          </w:p>
          <w:p w14:paraId="6ABD0954" w14:textId="77777777" w:rsidR="00947423" w:rsidRDefault="00947423" w:rsidP="009474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42051A" w14:textId="77777777" w:rsidR="00947423" w:rsidRPr="007E2080" w:rsidRDefault="00947423" w:rsidP="009474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4C507608" w14:textId="77777777" w:rsidR="00947423" w:rsidRPr="00477C9F" w:rsidRDefault="0094742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F4FB281" w:rsidR="00D52626" w:rsidRPr="00477C9F" w:rsidRDefault="00D52626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5639">
              <w:rPr>
                <w:b/>
                <w:snapToGrid w:val="0"/>
                <w:sz w:val="22"/>
                <w:szCs w:val="22"/>
              </w:rPr>
              <w:t>1</w:t>
            </w:r>
            <w:r w:rsidR="0094742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E97A16A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85690">
              <w:rPr>
                <w:snapToGrid w:val="0"/>
                <w:sz w:val="22"/>
                <w:szCs w:val="22"/>
              </w:rPr>
              <w:t>31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015639" w14:paraId="4449EBBF" w14:textId="77777777" w:rsidTr="00A45577">
        <w:tc>
          <w:tcPr>
            <w:tcW w:w="567" w:type="dxa"/>
          </w:tcPr>
          <w:p w14:paraId="2D4043B1" w14:textId="672B13FE" w:rsidR="00C30867" w:rsidRPr="00015639" w:rsidRDefault="00C30867" w:rsidP="00E856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563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5639">
              <w:rPr>
                <w:b/>
                <w:snapToGrid w:val="0"/>
                <w:sz w:val="22"/>
                <w:szCs w:val="22"/>
              </w:rPr>
              <w:t>1</w:t>
            </w:r>
            <w:r w:rsidR="0094742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C5CC5B7" w14:textId="28B1B284" w:rsidR="00C30867" w:rsidRPr="00DF6B2F" w:rsidRDefault="00015639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6B2F">
              <w:rPr>
                <w:b/>
                <w:snapToGrid w:val="0"/>
                <w:sz w:val="22"/>
                <w:szCs w:val="22"/>
              </w:rPr>
              <w:t>S</w:t>
            </w:r>
            <w:r w:rsidR="00C30867" w:rsidRPr="00DF6B2F">
              <w:rPr>
                <w:b/>
                <w:snapToGrid w:val="0"/>
                <w:sz w:val="22"/>
                <w:szCs w:val="22"/>
              </w:rPr>
              <w:t>ammanträde</w:t>
            </w:r>
            <w:r w:rsidR="00F7489A" w:rsidRPr="00DF6B2F">
              <w:rPr>
                <w:b/>
                <w:snapToGrid w:val="0"/>
                <w:sz w:val="22"/>
                <w:szCs w:val="22"/>
              </w:rPr>
              <w:t>n</w:t>
            </w:r>
          </w:p>
          <w:p w14:paraId="7E19CF39" w14:textId="77777777" w:rsidR="00C30867" w:rsidRPr="00DF6B2F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78D41578" w:rsidR="00C30867" w:rsidRPr="00DF6B2F" w:rsidRDefault="00015639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Utskottet beslutade att sammanträdet tor</w:t>
            </w:r>
            <w:r w:rsidR="00C30867" w:rsidRPr="00DF6B2F">
              <w:rPr>
                <w:bCs/>
                <w:color w:val="000000"/>
                <w:sz w:val="22"/>
                <w:szCs w:val="22"/>
                <w:lang w:eastAsia="en-US"/>
              </w:rPr>
              <w:t>sdagen den 2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5</w:t>
            </w:r>
            <w:r w:rsidR="00C30867" w:rsidRPr="00DF6B2F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april 2019 börjar kl. 8</w:t>
            </w:r>
            <w:r w:rsidR="00C30867" w:rsidRPr="00DF6B2F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C30867" w:rsidRPr="00DF6B2F">
              <w:rPr>
                <w:bCs/>
                <w:color w:val="000000"/>
                <w:sz w:val="22"/>
                <w:szCs w:val="22"/>
                <w:lang w:eastAsia="en-US"/>
              </w:rPr>
              <w:t>0.</w:t>
            </w:r>
          </w:p>
          <w:p w14:paraId="7B4888B6" w14:textId="77777777" w:rsidR="00F7489A" w:rsidRPr="00DF6B2F" w:rsidRDefault="00F7489A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CF2001A" w14:textId="2059F9E3" w:rsidR="00F7489A" w:rsidRPr="00DF6B2F" w:rsidRDefault="00F7489A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 xml:space="preserve">Vidare beslutade utskottet att sammanträdet fredagen den </w:t>
            </w:r>
            <w:r w:rsidR="00637041" w:rsidRPr="00DF6B2F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DF6B2F">
              <w:rPr>
                <w:bCs/>
                <w:color w:val="000000"/>
                <w:sz w:val="22"/>
                <w:szCs w:val="22"/>
                <w:lang w:eastAsia="en-US"/>
              </w:rPr>
              <w:t>6 april 2019 börjar kl. 14.00.</w:t>
            </w:r>
          </w:p>
          <w:p w14:paraId="1571A815" w14:textId="77777777" w:rsidR="00C30867" w:rsidRPr="00015639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B14DCCE" w:rsidR="0013426B" w:rsidRPr="007615A5" w:rsidRDefault="00380B03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2019-05-02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D7EADF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B124F4">
              <w:rPr>
                <w:sz w:val="16"/>
                <w:szCs w:val="16"/>
              </w:rPr>
              <w:t>38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A58153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947423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8734CD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47423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B484F4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B067E5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C5CBE60" w:rsidR="00BF6D6B" w:rsidRPr="00E931D7" w:rsidRDefault="00BF6D6B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067E5">
              <w:rPr>
                <w:sz w:val="20"/>
              </w:rPr>
              <w:t>12-13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4CBC1D6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067E5">
              <w:rPr>
                <w:sz w:val="20"/>
              </w:rPr>
              <w:t xml:space="preserve"> 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067E5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067E5" w:rsidRPr="00F24B88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3C1F65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AB6AEB8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10F48D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596DB84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314B7C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D59A2A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126B2D9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7704B18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CDA57E1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2C2E53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4C1A60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9FDA02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067E5" w:rsidRPr="00FE2AC1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1ECC2F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F6A3AB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9E17B46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40ADA52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41F6AAA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95C59F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A432106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F6640B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2EFC928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067E5" w:rsidRPr="000700C4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6F576D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C568892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0CDD73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A8DBC5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067E5" w:rsidRPr="000700C4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1DDACF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EC2150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3C73DC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A7F9FD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042424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6AD1B5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0306F4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D23B81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8F63606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9FE86C4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2A951C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4E5A6B6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B9F76A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484BC7B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4B4181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DD628F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4A9213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33FAC21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C0DE6E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BEED644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6D34F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CBB219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C60FC8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349EA148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67E5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067E5" w:rsidRPr="004B210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396DC9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20563A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FC36B4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449E11E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D98C73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3CC991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6F7662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F22E24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9209F8B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B19F3C6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C16941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850941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395614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DA9ECC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93C6A2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464D1FD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4C29D96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AECDC2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DC2648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7CABECA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067E5" w:rsidRPr="00E931D7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7E5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067E5" w:rsidRPr="008E2326" w:rsidRDefault="00B067E5" w:rsidP="00B067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92482CB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4BC7239B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4596F4E5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58061CC1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B067E5" w:rsidRPr="008E2326" w:rsidRDefault="00B067E5" w:rsidP="00B067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1537C98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8BA96F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31ADBDD0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4B3DBFF8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D89FBF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067E5" w:rsidRPr="008E2326" w:rsidRDefault="00B067E5" w:rsidP="00B067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067E5" w:rsidRPr="00B91BEE" w:rsidRDefault="00B067E5" w:rsidP="00B06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067E5" w:rsidRPr="008E2326" w:rsidRDefault="00B067E5" w:rsidP="00B067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1AFE9D4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157997E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AFA7193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31951DF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067E5" w:rsidRPr="008E2326" w:rsidRDefault="00B067E5" w:rsidP="00B067E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067E5" w:rsidRPr="008E2326" w:rsidRDefault="00B067E5" w:rsidP="00B067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7E5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067E5" w:rsidRPr="008E2326" w:rsidRDefault="00B067E5" w:rsidP="00B06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52F858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8A87B2C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72589D9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0AC16CD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067E5" w:rsidRPr="008E2326" w:rsidRDefault="00B067E5" w:rsidP="00B067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24F3908A" w:rsidR="00BD41E4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2EFCBE59" w:rsidR="00BD41E4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311F295C" w:rsidR="00BD41E4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13827DC6" w:rsidR="00BD41E4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64A2BABC" w:rsidR="00FE2AC1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57AB6085" w:rsidR="00FE2AC1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306617CA" w:rsidR="00FE2AC1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101FD61F" w:rsidR="00FE2AC1" w:rsidRPr="008E2326" w:rsidRDefault="00B067E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56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14D8D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41263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60479"/>
    <w:rsid w:val="00380B03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06403"/>
    <w:rsid w:val="00637041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F12B6"/>
    <w:rsid w:val="007F6B0D"/>
    <w:rsid w:val="00834B38"/>
    <w:rsid w:val="008557FA"/>
    <w:rsid w:val="008808A5"/>
    <w:rsid w:val="008F4D68"/>
    <w:rsid w:val="00906C2D"/>
    <w:rsid w:val="00937BF3"/>
    <w:rsid w:val="00946978"/>
    <w:rsid w:val="00947423"/>
    <w:rsid w:val="00953843"/>
    <w:rsid w:val="0096348C"/>
    <w:rsid w:val="00973D8B"/>
    <w:rsid w:val="009815DB"/>
    <w:rsid w:val="009838C7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289F"/>
    <w:rsid w:val="00A744C3"/>
    <w:rsid w:val="00A84DE6"/>
    <w:rsid w:val="00A8695B"/>
    <w:rsid w:val="00A9262A"/>
    <w:rsid w:val="00A9464E"/>
    <w:rsid w:val="00AA5BE7"/>
    <w:rsid w:val="00AC2BE8"/>
    <w:rsid w:val="00AF7C8D"/>
    <w:rsid w:val="00B067E5"/>
    <w:rsid w:val="00B124F4"/>
    <w:rsid w:val="00B15788"/>
    <w:rsid w:val="00B54D41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563CE"/>
    <w:rsid w:val="00D668B2"/>
    <w:rsid w:val="00D67826"/>
    <w:rsid w:val="00D93637"/>
    <w:rsid w:val="00D96F98"/>
    <w:rsid w:val="00DC58D9"/>
    <w:rsid w:val="00DD2E3A"/>
    <w:rsid w:val="00DD7DC3"/>
    <w:rsid w:val="00DE2A0A"/>
    <w:rsid w:val="00DF6B2F"/>
    <w:rsid w:val="00E33857"/>
    <w:rsid w:val="00E45D77"/>
    <w:rsid w:val="00E63EE4"/>
    <w:rsid w:val="00E66D19"/>
    <w:rsid w:val="00E67EBA"/>
    <w:rsid w:val="00E85690"/>
    <w:rsid w:val="00E916EA"/>
    <w:rsid w:val="00E92A77"/>
    <w:rsid w:val="00EA7435"/>
    <w:rsid w:val="00EA7B53"/>
    <w:rsid w:val="00EB426A"/>
    <w:rsid w:val="00EC735D"/>
    <w:rsid w:val="00EF387C"/>
    <w:rsid w:val="00F064EF"/>
    <w:rsid w:val="00F70370"/>
    <w:rsid w:val="00F7489A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www.w3.org/XML/1998/namespace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632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2019-04-23T14:14:00Z</cp:lastPrinted>
  <dcterms:created xsi:type="dcterms:W3CDTF">2019-05-02T14:27:00Z</dcterms:created>
  <dcterms:modified xsi:type="dcterms:W3CDTF">2019-05-02T14:28:00Z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