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8B7A24" w:rsidRPr="006F4B76" w:rsidTr="005803F6">
        <w:tc>
          <w:tcPr>
            <w:tcW w:w="2268" w:type="dxa"/>
          </w:tcPr>
          <w:p w:rsidR="008B7A24" w:rsidRPr="006F4B76" w:rsidRDefault="008B7A24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8B7A24" w:rsidRPr="00D917A4" w:rsidRDefault="008B7A24" w:rsidP="00D917A4">
            <w:pPr>
              <w:framePr w:w="5035" w:h="1644" w:wrap="notBeside" w:vAnchor="page" w:hAnchor="page" w:x="6573" w:y="721"/>
              <w:jc w:val="center"/>
              <w:rPr>
                <w:rFonts w:ascii="TradeGothic" w:hAnsi="TradeGothic"/>
                <w:sz w:val="18"/>
              </w:rPr>
            </w:pPr>
          </w:p>
        </w:tc>
      </w:tr>
      <w:tr w:rsidR="008B7A24" w:rsidRPr="006F4B76" w:rsidTr="005803F6">
        <w:tc>
          <w:tcPr>
            <w:tcW w:w="5267" w:type="dxa"/>
            <w:gridSpan w:val="3"/>
          </w:tcPr>
          <w:p w:rsidR="008B7A24" w:rsidRPr="006F4B76" w:rsidRDefault="008B7A2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F4B76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8B7A24" w:rsidRPr="006F4B76" w:rsidTr="005803F6">
        <w:tc>
          <w:tcPr>
            <w:tcW w:w="3402" w:type="dxa"/>
            <w:gridSpan w:val="2"/>
          </w:tcPr>
          <w:p w:rsidR="008B7A24" w:rsidRPr="006F4B76" w:rsidRDefault="008B7A24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8B7A24" w:rsidRPr="006F4B76" w:rsidRDefault="008B7A24" w:rsidP="007242A3">
            <w:pPr>
              <w:framePr w:w="5035" w:h="1644" w:wrap="notBeside" w:vAnchor="page" w:hAnchor="page" w:x="6573" w:y="721"/>
            </w:pPr>
          </w:p>
        </w:tc>
      </w:tr>
      <w:tr w:rsidR="008B7A24" w:rsidRPr="006F4B76" w:rsidTr="005803F6">
        <w:tc>
          <w:tcPr>
            <w:tcW w:w="2268" w:type="dxa"/>
          </w:tcPr>
          <w:p w:rsidR="008B7A24" w:rsidRPr="006F4B76" w:rsidRDefault="008B7A24" w:rsidP="007242A3">
            <w:pPr>
              <w:framePr w:w="5035" w:h="1644" w:wrap="notBeside" w:vAnchor="page" w:hAnchor="page" w:x="6573" w:y="721"/>
            </w:pPr>
            <w:r w:rsidRPr="006F4B76">
              <w:t>2013-10-03</w:t>
            </w:r>
          </w:p>
        </w:tc>
        <w:tc>
          <w:tcPr>
            <w:tcW w:w="2999" w:type="dxa"/>
            <w:gridSpan w:val="2"/>
          </w:tcPr>
          <w:p w:rsidR="008B7A24" w:rsidRPr="006F4B76" w:rsidRDefault="008B7A24" w:rsidP="007242A3">
            <w:pPr>
              <w:framePr w:w="5035" w:h="1644" w:wrap="notBeside" w:vAnchor="page" w:hAnchor="page" w:x="6573" w:y="721"/>
            </w:pPr>
          </w:p>
        </w:tc>
      </w:tr>
      <w:tr w:rsidR="008B7A24" w:rsidRPr="006F4B76" w:rsidTr="005803F6">
        <w:tc>
          <w:tcPr>
            <w:tcW w:w="2268" w:type="dxa"/>
          </w:tcPr>
          <w:p w:rsidR="008B7A24" w:rsidRPr="006F4B76" w:rsidRDefault="008B7A24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8B7A24" w:rsidRPr="006F4B76" w:rsidRDefault="008B7A24" w:rsidP="007242A3">
            <w:pPr>
              <w:framePr w:w="5035" w:h="1644" w:wrap="notBeside" w:vAnchor="page" w:hAnchor="page" w:x="6573" w:y="721"/>
            </w:pPr>
          </w:p>
        </w:tc>
      </w:tr>
    </w:tbl>
    <w:p w:rsidR="008B7A24" w:rsidRPr="006F4B76" w:rsidRDefault="008B7A24" w:rsidP="00FA0FF1">
      <w:pPr>
        <w:rPr>
          <w:vanish/>
        </w:rPr>
      </w:pPr>
    </w:p>
    <w:tbl>
      <w:tblPr>
        <w:tblW w:w="0" w:type="auto"/>
        <w:tblLayout w:type="fixed"/>
        <w:tblLook w:val="0000"/>
      </w:tblPr>
      <w:tblGrid>
        <w:gridCol w:w="4911"/>
      </w:tblGrid>
      <w:tr w:rsidR="008B7A24" w:rsidRPr="006F4B76">
        <w:trPr>
          <w:trHeight w:val="284"/>
        </w:trPr>
        <w:tc>
          <w:tcPr>
            <w:tcW w:w="4911" w:type="dxa"/>
          </w:tcPr>
          <w:p w:rsidR="008B7A24" w:rsidRPr="006F4B76" w:rsidRDefault="008B7A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F4B76">
              <w:rPr>
                <w:b/>
                <w:i w:val="0"/>
                <w:sz w:val="22"/>
              </w:rPr>
              <w:t>Miljödepartementet</w:t>
            </w:r>
          </w:p>
        </w:tc>
      </w:tr>
      <w:tr w:rsidR="008B7A24" w:rsidRPr="006F4B76">
        <w:trPr>
          <w:trHeight w:val="284"/>
        </w:trPr>
        <w:tc>
          <w:tcPr>
            <w:tcW w:w="4911" w:type="dxa"/>
          </w:tcPr>
          <w:p w:rsidR="008B7A24" w:rsidRPr="006F4B76" w:rsidRDefault="008B7A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B7A24" w:rsidRPr="006F4B76">
        <w:trPr>
          <w:trHeight w:val="284"/>
        </w:trPr>
        <w:tc>
          <w:tcPr>
            <w:tcW w:w="4911" w:type="dxa"/>
          </w:tcPr>
          <w:p w:rsidR="008B7A24" w:rsidRPr="006F4B76" w:rsidRDefault="008B7A24" w:rsidP="00A956E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F4B76">
              <w:rPr>
                <w:bCs/>
                <w:iCs/>
              </w:rPr>
              <w:t>Internationella enheten</w:t>
            </w:r>
          </w:p>
        </w:tc>
      </w:tr>
      <w:tr w:rsidR="008B7A24" w:rsidRPr="006F4B76">
        <w:trPr>
          <w:trHeight w:val="284"/>
        </w:trPr>
        <w:tc>
          <w:tcPr>
            <w:tcW w:w="4911" w:type="dxa"/>
          </w:tcPr>
          <w:p w:rsidR="008B7A24" w:rsidRPr="006F4B76" w:rsidRDefault="008B7A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B7A24" w:rsidRPr="006F4B76">
        <w:trPr>
          <w:trHeight w:val="284"/>
        </w:trPr>
        <w:tc>
          <w:tcPr>
            <w:tcW w:w="4911" w:type="dxa"/>
          </w:tcPr>
          <w:p w:rsidR="008B7A24" w:rsidRPr="006F4B76" w:rsidRDefault="008B7A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B7A24" w:rsidRPr="006F4B76">
        <w:trPr>
          <w:trHeight w:val="284"/>
        </w:trPr>
        <w:tc>
          <w:tcPr>
            <w:tcW w:w="4911" w:type="dxa"/>
          </w:tcPr>
          <w:p w:rsidR="008B7A24" w:rsidRPr="006F4B76" w:rsidRDefault="008B7A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B7A24" w:rsidRPr="006F4B76">
        <w:trPr>
          <w:trHeight w:val="284"/>
        </w:trPr>
        <w:tc>
          <w:tcPr>
            <w:tcW w:w="4911" w:type="dxa"/>
          </w:tcPr>
          <w:p w:rsidR="008B7A24" w:rsidRPr="006F4B76" w:rsidRDefault="008B7A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B7A24" w:rsidRPr="006F4B76">
        <w:trPr>
          <w:trHeight w:val="284"/>
        </w:trPr>
        <w:tc>
          <w:tcPr>
            <w:tcW w:w="4911" w:type="dxa"/>
          </w:tcPr>
          <w:p w:rsidR="008B7A24" w:rsidRPr="006F4B76" w:rsidRDefault="008B7A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B7A24" w:rsidRPr="006F4B76">
        <w:trPr>
          <w:trHeight w:val="284"/>
        </w:trPr>
        <w:tc>
          <w:tcPr>
            <w:tcW w:w="4911" w:type="dxa"/>
          </w:tcPr>
          <w:p w:rsidR="008B7A24" w:rsidRPr="006F4B76" w:rsidRDefault="008B7A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B7A24" w:rsidRPr="006F4B76" w:rsidRDefault="008B7A24">
      <w:pPr>
        <w:framePr w:w="4400" w:h="2523" w:wrap="notBeside" w:vAnchor="page" w:hAnchor="page" w:x="6453" w:y="2445"/>
        <w:ind w:left="142"/>
        <w:rPr>
          <w:b/>
        </w:rPr>
      </w:pPr>
    </w:p>
    <w:p w:rsidR="008B7A24" w:rsidRPr="006F4B76" w:rsidRDefault="008B7A24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F4B76">
        <w:t>Rådets möte (Miljö) den 14 oktober 2013</w:t>
      </w:r>
    </w:p>
    <w:p w:rsidR="008B7A24" w:rsidRPr="006F4B76" w:rsidRDefault="008B7A24">
      <w:pPr>
        <w:pStyle w:val="RKnormal"/>
      </w:pPr>
    </w:p>
    <w:p w:rsidR="008B7A24" w:rsidRPr="006F4B76" w:rsidRDefault="008B7A24" w:rsidP="00A03E85">
      <w:pPr>
        <w:pStyle w:val="RKnormal"/>
        <w:spacing w:line="240" w:lineRule="auto"/>
      </w:pPr>
      <w:r w:rsidRPr="006F4B76">
        <w:t>Dagordningspunkt 3</w:t>
      </w:r>
    </w:p>
    <w:p w:rsidR="008B7A24" w:rsidRPr="006F4B76" w:rsidRDefault="008B7A24" w:rsidP="00A03E85">
      <w:pPr>
        <w:pStyle w:val="RKnormal"/>
        <w:spacing w:line="240" w:lineRule="auto"/>
      </w:pPr>
    </w:p>
    <w:p w:rsidR="008B7A24" w:rsidRPr="006F4B76" w:rsidRDefault="008B7A24" w:rsidP="00A03E85">
      <w:pPr>
        <w:pStyle w:val="RKnormal"/>
        <w:spacing w:line="240" w:lineRule="auto"/>
      </w:pPr>
      <w:r w:rsidRPr="006F4B76">
        <w:t>Rubrik:Förslag till Europaparlamentets och Rådets förordning om ändring av förordningen (EU) No 1013/2006 om transport av avfall.</w:t>
      </w:r>
    </w:p>
    <w:p w:rsidR="008B7A24" w:rsidRDefault="008B7A24" w:rsidP="00C1782D">
      <w:pPr>
        <w:pStyle w:val="RKnormal"/>
        <w:numPr>
          <w:ilvl w:val="0"/>
          <w:numId w:val="6"/>
        </w:numPr>
        <w:spacing w:line="240" w:lineRule="auto"/>
      </w:pPr>
      <w:r>
        <w:t>Diskussion</w:t>
      </w:r>
    </w:p>
    <w:p w:rsidR="008B7A24" w:rsidRPr="006F4B76" w:rsidRDefault="008B7A24" w:rsidP="00C1782D">
      <w:pPr>
        <w:pStyle w:val="RKnormal"/>
        <w:spacing w:line="240" w:lineRule="auto"/>
        <w:ind w:left="1080"/>
      </w:pPr>
    </w:p>
    <w:p w:rsidR="008B7A24" w:rsidRPr="006F4B76" w:rsidRDefault="008B7A24" w:rsidP="00A03E85">
      <w:pPr>
        <w:pStyle w:val="RKnormal"/>
        <w:spacing w:line="240" w:lineRule="auto"/>
      </w:pPr>
      <w:r w:rsidRPr="006F4B76">
        <w:t>Dokument:KOM(2013) 516 final 2013/0239 (COD)</w:t>
      </w:r>
    </w:p>
    <w:p w:rsidR="008B7A24" w:rsidRPr="006F4B76" w:rsidRDefault="008B7A24" w:rsidP="00A03E85">
      <w:pPr>
        <w:pStyle w:val="RKnormal"/>
        <w:spacing w:line="240" w:lineRule="auto"/>
      </w:pPr>
    </w:p>
    <w:p w:rsidR="008B7A24" w:rsidRPr="006F4B76" w:rsidRDefault="008B7A24" w:rsidP="00A03E85">
      <w:pPr>
        <w:pStyle w:val="RKnormal"/>
        <w:spacing w:line="240" w:lineRule="auto"/>
      </w:pPr>
      <w:r w:rsidRPr="006F4B76">
        <w:t>Tidigare dokument: -</w:t>
      </w:r>
    </w:p>
    <w:p w:rsidR="008B7A24" w:rsidRPr="006F4B76" w:rsidRDefault="008B7A24" w:rsidP="00A03E85">
      <w:pPr>
        <w:pStyle w:val="RKnormal"/>
        <w:spacing w:line="240" w:lineRule="auto"/>
      </w:pPr>
      <w:r w:rsidRPr="006F4B76">
        <w:t>Fakta-PM Miljödepartementet 2012/13:FPM151</w:t>
      </w:r>
    </w:p>
    <w:p w:rsidR="008B7A24" w:rsidRPr="006F4B76" w:rsidRDefault="008B7A24" w:rsidP="00A03E85">
      <w:pPr>
        <w:pStyle w:val="RKnormal"/>
        <w:spacing w:line="240" w:lineRule="auto"/>
      </w:pPr>
    </w:p>
    <w:p w:rsidR="008B7A24" w:rsidRPr="006F4B76" w:rsidRDefault="008B7A24" w:rsidP="00A03E85">
      <w:pPr>
        <w:pStyle w:val="RKnormal"/>
        <w:spacing w:line="240" w:lineRule="auto"/>
      </w:pPr>
      <w:r w:rsidRPr="006F4B76">
        <w:t>Tidigare behandlad vid samråd med EU-nämnden: Nej</w:t>
      </w:r>
    </w:p>
    <w:p w:rsidR="008B7A24" w:rsidRPr="006F4B76" w:rsidRDefault="008B7A24" w:rsidP="00A03E85">
      <w:pPr>
        <w:pStyle w:val="RKnormal"/>
        <w:spacing w:line="240" w:lineRule="auto"/>
      </w:pPr>
    </w:p>
    <w:p w:rsidR="008B7A24" w:rsidRPr="00DA108D" w:rsidRDefault="008B7A24" w:rsidP="00DA108D">
      <w:pPr>
        <w:pStyle w:val="RKrubrik"/>
        <w:spacing w:before="0" w:after="0" w:line="240" w:lineRule="auto"/>
      </w:pPr>
      <w:r w:rsidRPr="006F4B76">
        <w:t>Bakgrund</w:t>
      </w:r>
    </w:p>
    <w:p w:rsidR="008B7A24" w:rsidRDefault="008B7A24" w:rsidP="00597867">
      <w:pPr>
        <w:pStyle w:val="RKnormal"/>
        <w:rPr>
          <w:noProof/>
        </w:rPr>
      </w:pPr>
      <w:r w:rsidRPr="006F4B76">
        <w:t xml:space="preserve">Kommissionen </w:t>
      </w:r>
      <w:r>
        <w:t>lade i juli 2013</w:t>
      </w:r>
      <w:r w:rsidRPr="006F4B76">
        <w:t xml:space="preserve">fram ett förslag till ändring av </w:t>
      </w:r>
      <w:r w:rsidRPr="006F4B76">
        <w:rPr>
          <w:noProof/>
        </w:rPr>
        <w:t xml:space="preserve">förordning </w:t>
      </w:r>
      <w:r w:rsidRPr="006F4B76">
        <w:t xml:space="preserve">(EU) No 1013/2006 </w:t>
      </w:r>
      <w:r w:rsidRPr="006F4B76">
        <w:rPr>
          <w:noProof/>
        </w:rPr>
        <w:t>om transport</w:t>
      </w:r>
      <w:r>
        <w:rPr>
          <w:noProof/>
        </w:rPr>
        <w:t>er</w:t>
      </w:r>
      <w:r w:rsidRPr="006F4B76">
        <w:rPr>
          <w:noProof/>
        </w:rPr>
        <w:t xml:space="preserve"> av avfall. </w:t>
      </w:r>
    </w:p>
    <w:p w:rsidR="008B7A24" w:rsidRDefault="008B7A24" w:rsidP="00597867">
      <w:pPr>
        <w:pStyle w:val="RKnormal"/>
        <w:rPr>
          <w:noProof/>
        </w:rPr>
      </w:pPr>
    </w:p>
    <w:p w:rsidR="008B7A24" w:rsidRPr="006F4B76" w:rsidRDefault="008B7A24" w:rsidP="00597867">
      <w:pPr>
        <w:pStyle w:val="RKnormal"/>
        <w:rPr>
          <w:noProof/>
        </w:rPr>
      </w:pPr>
      <w:r>
        <w:rPr>
          <w:noProof/>
        </w:rPr>
        <w:t xml:space="preserve">Avsikten med förslaget är att stärkatillsynsregleringen för att därmedförbättra efterlevnaden av förordningen. </w:t>
      </w:r>
      <w:r w:rsidRPr="006F4B76">
        <w:rPr>
          <w:noProof/>
        </w:rPr>
        <w:t>Kommissionen anser att tillsynen behöver stärkas och likriktas för att minska den illegala transporten av avfall inom EU,</w:t>
      </w:r>
      <w:r>
        <w:rPr>
          <w:noProof/>
        </w:rPr>
        <w:t xml:space="preserve"> i synnerhet </w:t>
      </w:r>
      <w:r w:rsidRPr="006F4B76">
        <w:rPr>
          <w:noProof/>
        </w:rPr>
        <w:t xml:space="preserve"> till länder utanför EU. </w:t>
      </w:r>
      <w:r>
        <w:rPr>
          <w:noProof/>
        </w:rPr>
        <w:t>Enligt förslaget ska</w:t>
      </w:r>
      <w:r w:rsidRPr="006F4B76">
        <w:rPr>
          <w:noProof/>
        </w:rPr>
        <w:t>medlemsländerna ta fram planer för hur tillsynen ska genomföras och</w:t>
      </w:r>
      <w:r>
        <w:rPr>
          <w:noProof/>
        </w:rPr>
        <w:t xml:space="preserve"> för</w:t>
      </w:r>
      <w:r w:rsidRPr="006F4B76">
        <w:rPr>
          <w:noProof/>
        </w:rPr>
        <w:t xml:space="preserve"> hur samarbetet mellan berörda myndigheter ska </w:t>
      </w:r>
      <w:r>
        <w:rPr>
          <w:noProof/>
        </w:rPr>
        <w:t>ske</w:t>
      </w:r>
      <w:r w:rsidRPr="006F4B76">
        <w:rPr>
          <w:noProof/>
        </w:rPr>
        <w:t>.</w:t>
      </w:r>
      <w:r>
        <w:rPr>
          <w:noProof/>
        </w:rPr>
        <w:t xml:space="preserve"> Förslaget har behandlats i rådsarbetsgruppen sedan början av september 2013.</w:t>
      </w:r>
    </w:p>
    <w:p w:rsidR="008B7A24" w:rsidRPr="006F4B76" w:rsidRDefault="008B7A24" w:rsidP="00A03E85">
      <w:pPr>
        <w:spacing w:line="240" w:lineRule="auto"/>
        <w:rPr>
          <w:noProof/>
        </w:rPr>
      </w:pPr>
    </w:p>
    <w:p w:rsidR="008B7A24" w:rsidRPr="006F4B76" w:rsidRDefault="008B7A24" w:rsidP="00FF6F80">
      <w:pPr>
        <w:pStyle w:val="RKnormal"/>
        <w:rPr>
          <w:noProof/>
        </w:rPr>
      </w:pPr>
      <w:r w:rsidRPr="006F4B76">
        <w:rPr>
          <w:noProof/>
        </w:rPr>
        <w:t>På rådsmötet avser ordförandeskapet att</w:t>
      </w:r>
      <w:r>
        <w:rPr>
          <w:noProof/>
        </w:rPr>
        <w:t xml:space="preserve"> miljörådet ska</w:t>
      </w:r>
      <w:r w:rsidRPr="006F4B76">
        <w:rPr>
          <w:noProof/>
        </w:rPr>
        <w:t xml:space="preserve"> föra</w:t>
      </w:r>
      <w:r>
        <w:rPr>
          <w:noProof/>
        </w:rPr>
        <w:t xml:space="preserve"> en diskussion</w:t>
      </w:r>
      <w:r w:rsidRPr="006F4B76">
        <w:rPr>
          <w:noProof/>
        </w:rPr>
        <w:t xml:space="preserve"> om försla</w:t>
      </w:r>
      <w:r>
        <w:rPr>
          <w:noProof/>
        </w:rPr>
        <w:t>get mot bakgrund av följande två</w:t>
      </w:r>
      <w:r w:rsidRPr="006F4B76">
        <w:rPr>
          <w:noProof/>
        </w:rPr>
        <w:t xml:space="preserve"> frågor:</w:t>
      </w:r>
    </w:p>
    <w:p w:rsidR="008B7A24" w:rsidRPr="006F4B76" w:rsidRDefault="008B7A24" w:rsidP="00A03E85">
      <w:pPr>
        <w:spacing w:line="240" w:lineRule="auto"/>
        <w:rPr>
          <w:noProof/>
        </w:rPr>
      </w:pPr>
    </w:p>
    <w:p w:rsidR="008B7A24" w:rsidRPr="006F4B76" w:rsidRDefault="008B7A24" w:rsidP="00233E71">
      <w:pPr>
        <w:pStyle w:val="ListParagraph"/>
        <w:numPr>
          <w:ilvl w:val="0"/>
          <w:numId w:val="3"/>
        </w:numPr>
        <w:spacing w:line="240" w:lineRule="auto"/>
        <w:ind w:left="284" w:hanging="284"/>
        <w:rPr>
          <w:i/>
          <w:noProof/>
        </w:rPr>
      </w:pPr>
      <w:r>
        <w:rPr>
          <w:i/>
          <w:noProof/>
        </w:rPr>
        <w:t>Anser medlemsstaterna</w:t>
      </w:r>
      <w:r w:rsidRPr="006F4B76">
        <w:rPr>
          <w:i/>
          <w:noProof/>
        </w:rPr>
        <w:t xml:space="preserve"> att förslaget</w:t>
      </w:r>
      <w:r>
        <w:rPr>
          <w:i/>
          <w:noProof/>
        </w:rPr>
        <w:t xml:space="preserve"> har rätt </w:t>
      </w:r>
      <w:r w:rsidRPr="006F4B76">
        <w:rPr>
          <w:i/>
          <w:noProof/>
        </w:rPr>
        <w:t xml:space="preserve"> omfattning?</w:t>
      </w:r>
    </w:p>
    <w:p w:rsidR="008B7A24" w:rsidRPr="006F4B76" w:rsidRDefault="008B7A24" w:rsidP="00233E71">
      <w:pPr>
        <w:pStyle w:val="ListParagraph"/>
        <w:numPr>
          <w:ilvl w:val="0"/>
          <w:numId w:val="3"/>
        </w:numPr>
        <w:ind w:left="284" w:hanging="284"/>
        <w:rPr>
          <w:i/>
          <w:noProof/>
        </w:rPr>
      </w:pPr>
      <w:r>
        <w:rPr>
          <w:i/>
          <w:noProof/>
        </w:rPr>
        <w:t>Anser medlemsstaterna</w:t>
      </w:r>
      <w:r w:rsidRPr="006F4B76">
        <w:rPr>
          <w:i/>
          <w:noProof/>
        </w:rPr>
        <w:t xml:space="preserve"> att förslaget</w:t>
      </w:r>
      <w:r>
        <w:rPr>
          <w:i/>
          <w:noProof/>
        </w:rPr>
        <w:t xml:space="preserve"> säkerställer</w:t>
      </w:r>
      <w:r w:rsidRPr="006F4B76">
        <w:rPr>
          <w:i/>
          <w:noProof/>
        </w:rPr>
        <w:t xml:space="preserve">rätt balans mellan </w:t>
      </w:r>
      <w:r>
        <w:rPr>
          <w:i/>
          <w:noProof/>
        </w:rPr>
        <w:t>rättvisa spelregler</w:t>
      </w:r>
      <w:r w:rsidRPr="006F4B76">
        <w:rPr>
          <w:i/>
          <w:noProof/>
        </w:rPr>
        <w:t>(inom EU) och nödvändig flexibilitet</w:t>
      </w:r>
      <w:r>
        <w:rPr>
          <w:i/>
          <w:noProof/>
        </w:rPr>
        <w:t>?</w:t>
      </w:r>
    </w:p>
    <w:p w:rsidR="008B7A24" w:rsidRPr="006F4B76" w:rsidRDefault="008B7A24" w:rsidP="00797F50">
      <w:pPr>
        <w:spacing w:line="240" w:lineRule="auto"/>
        <w:rPr>
          <w:highlight w:val="yellow"/>
        </w:rPr>
      </w:pPr>
    </w:p>
    <w:p w:rsidR="008B7A24" w:rsidRPr="006F4B76" w:rsidRDefault="008B7A24" w:rsidP="00A03E85">
      <w:pPr>
        <w:pStyle w:val="RKrubrik"/>
        <w:spacing w:before="0" w:after="0" w:line="240" w:lineRule="auto"/>
      </w:pPr>
      <w:r w:rsidRPr="006F4B76">
        <w:t>Rättslig grund och beslutsförfarande</w:t>
      </w:r>
    </w:p>
    <w:p w:rsidR="008B7A24" w:rsidRPr="006F4B76" w:rsidRDefault="008B7A24" w:rsidP="00FF6F80">
      <w:pPr>
        <w:pStyle w:val="RKnormal"/>
      </w:pPr>
      <w:r w:rsidRPr="006F4B76">
        <w:rPr>
          <w:rFonts w:cs="Helv"/>
          <w:color w:val="000000"/>
          <w:szCs w:val="24"/>
        </w:rPr>
        <w:t xml:space="preserve">Artikel 192.1 i </w:t>
      </w:r>
      <w:r w:rsidRPr="006F4B76">
        <w:rPr>
          <w:noProof/>
        </w:rPr>
        <w:t>fördraget om Europeiska unionens funktionssätt</w:t>
      </w:r>
      <w:r w:rsidRPr="006F4B76">
        <w:rPr>
          <w:rFonts w:cs="Helv"/>
          <w:color w:val="000000"/>
          <w:szCs w:val="24"/>
        </w:rPr>
        <w:t xml:space="preserve"> (EUF-fördraget)</w:t>
      </w:r>
      <w:r w:rsidRPr="006F4B76">
        <w:rPr>
          <w:szCs w:val="24"/>
        </w:rPr>
        <w:t>.</w:t>
      </w:r>
      <w:r w:rsidRPr="006F4B76">
        <w:t xml:space="preserve"> Beslut fattas av rådet med kvalificerad majoritet efter ordinarie lagstiftningsförfarande med Europaparlamentet enligt artikel 294 EUF-fördraget.</w:t>
      </w:r>
    </w:p>
    <w:p w:rsidR="008B7A24" w:rsidRPr="006F4B76" w:rsidRDefault="008B7A24" w:rsidP="00A03E85">
      <w:pPr>
        <w:pStyle w:val="RKrubrik"/>
        <w:spacing w:before="0" w:after="0" w:line="240" w:lineRule="auto"/>
        <w:rPr>
          <w:i/>
          <w:iCs/>
        </w:rPr>
      </w:pPr>
    </w:p>
    <w:p w:rsidR="008B7A24" w:rsidRPr="00F574A0" w:rsidRDefault="008B7A24" w:rsidP="00A03E85">
      <w:pPr>
        <w:pStyle w:val="RKrubrik"/>
        <w:spacing w:before="0" w:after="0" w:line="240" w:lineRule="auto"/>
        <w:rPr>
          <w:iCs/>
        </w:rPr>
      </w:pPr>
      <w:r w:rsidRPr="00F574A0">
        <w:rPr>
          <w:iCs/>
        </w:rPr>
        <w:t>Förslag till svensk ståndpunkt</w:t>
      </w:r>
    </w:p>
    <w:p w:rsidR="008B7A24" w:rsidRPr="006F4B76" w:rsidRDefault="008B7A24" w:rsidP="0059053A">
      <w:pPr>
        <w:pStyle w:val="RKnormal"/>
      </w:pPr>
      <w:r w:rsidRPr="006F4B76">
        <w:t>Regeringen välkomnar kommissionens förslag</w:t>
      </w:r>
      <w:r>
        <w:t xml:space="preserve"> som syftar till att förbättra tillsynen och därmed</w:t>
      </w:r>
      <w:r w:rsidRPr="006F4B76">
        <w:t xml:space="preserve"> förstärka efterlevnaden av avfallstransportförordningen. De i</w:t>
      </w:r>
      <w:r>
        <w:t>llegala transporterna av avfall, och i synnerhet</w:t>
      </w:r>
      <w:r w:rsidRPr="006F4B76">
        <w:t>farligt avfall</w:t>
      </w:r>
      <w:r>
        <w:t>,</w:t>
      </w:r>
      <w:r w:rsidRPr="006F4B76">
        <w:t xml:space="preserve"> är något som regeringen anser är mycket </w:t>
      </w:r>
      <w:r>
        <w:t>angeläget</w:t>
      </w:r>
      <w:r w:rsidRPr="006F4B76">
        <w:t xml:space="preserve"> att motverka och komma tillrätta</w:t>
      </w:r>
      <w:r>
        <w:t xml:space="preserve"> med</w:t>
      </w:r>
      <w:r w:rsidRPr="006F4B76">
        <w:t xml:space="preserve">. </w:t>
      </w:r>
    </w:p>
    <w:p w:rsidR="008B7A24" w:rsidRPr="006F4B76" w:rsidRDefault="008B7A24" w:rsidP="00A03E85">
      <w:pPr>
        <w:pStyle w:val="RKnormal"/>
        <w:spacing w:line="240" w:lineRule="auto"/>
      </w:pPr>
    </w:p>
    <w:p w:rsidR="008B7A24" w:rsidRPr="006F4B76" w:rsidRDefault="008B7A24" w:rsidP="00F7620F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i/>
          <w:noProof/>
        </w:rPr>
      </w:pPr>
      <w:r>
        <w:rPr>
          <w:i/>
          <w:noProof/>
        </w:rPr>
        <w:t>Anser medlemsstaterna</w:t>
      </w:r>
      <w:r w:rsidRPr="006F4B76">
        <w:rPr>
          <w:i/>
          <w:noProof/>
        </w:rPr>
        <w:t xml:space="preserve"> att förslaget</w:t>
      </w:r>
      <w:r>
        <w:rPr>
          <w:i/>
          <w:noProof/>
        </w:rPr>
        <w:t xml:space="preserve"> har rätt </w:t>
      </w:r>
      <w:r w:rsidRPr="006F4B76">
        <w:rPr>
          <w:i/>
          <w:noProof/>
        </w:rPr>
        <w:t>omfattning?</w:t>
      </w:r>
    </w:p>
    <w:p w:rsidR="008B7A24" w:rsidRPr="006F4B76" w:rsidRDefault="008B7A24" w:rsidP="006262DF">
      <w:pPr>
        <w:spacing w:line="240" w:lineRule="auto"/>
        <w:rPr>
          <w:noProof/>
        </w:rPr>
      </w:pPr>
    </w:p>
    <w:p w:rsidR="008B7A24" w:rsidRDefault="008B7A24" w:rsidP="00F7620F">
      <w:pPr>
        <w:spacing w:line="240" w:lineRule="auto"/>
      </w:pPr>
      <w:r>
        <w:t xml:space="preserve">Regeringen anser att </w:t>
      </w:r>
      <w:r w:rsidRPr="00F817A2">
        <w:t xml:space="preserve">kravet på obligatoriska tillsynsplaner i EU:s medlemsstater </w:t>
      </w:r>
      <w:r>
        <w:t>kan</w:t>
      </w:r>
      <w:r w:rsidRPr="00F817A2">
        <w:t xml:space="preserve"> bidra till förstärkt och likriktad tillsyn öve</w:t>
      </w:r>
      <w:r>
        <w:t>r transporter av farligt avfall och att förslaget därmedhar rätt omfattning.</w:t>
      </w:r>
    </w:p>
    <w:p w:rsidR="008B7A24" w:rsidRDefault="008B7A24" w:rsidP="00F7620F">
      <w:pPr>
        <w:spacing w:line="240" w:lineRule="auto"/>
        <w:rPr>
          <w:noProof/>
        </w:rPr>
      </w:pPr>
    </w:p>
    <w:p w:rsidR="008B7A24" w:rsidRPr="006F4B76" w:rsidRDefault="008B7A24" w:rsidP="003F1C82">
      <w:pPr>
        <w:pStyle w:val="RKnormal"/>
      </w:pPr>
      <w:r w:rsidRPr="006F4B76">
        <w:rPr>
          <w:noProof/>
        </w:rPr>
        <w:t xml:space="preserve">Regeringen anser att det är mycket </w:t>
      </w:r>
      <w:r>
        <w:rPr>
          <w:noProof/>
        </w:rPr>
        <w:t>angeläget</w:t>
      </w:r>
      <w:r w:rsidRPr="006F4B76">
        <w:rPr>
          <w:noProof/>
        </w:rPr>
        <w:t xml:space="preserve"> att motverka och komma tillrätta </w:t>
      </w:r>
      <w:r>
        <w:rPr>
          <w:noProof/>
        </w:rPr>
        <w:t xml:space="preserve">med </w:t>
      </w:r>
      <w:r w:rsidRPr="006F4B76">
        <w:rPr>
          <w:noProof/>
        </w:rPr>
        <w:t xml:space="preserve">de </w:t>
      </w:r>
      <w:r w:rsidRPr="006F4B76">
        <w:t>illegala transporterna av avfall</w:t>
      </w:r>
      <w:r>
        <w:t>, i synnerhet</w:t>
      </w:r>
      <w:r w:rsidRPr="006F4B76">
        <w:t xml:space="preserve">farligt avfall. Dessa transporter kan innebära en risk för både människors hälsa och miljön i de områden där avfallet hamnar. </w:t>
      </w:r>
      <w:r>
        <w:t>D</w:t>
      </w:r>
      <w:r w:rsidRPr="006F4B76">
        <w:t xml:space="preserve">en ökade illegala exporten av elektronikavfall och </w:t>
      </w:r>
      <w:r>
        <w:t>uttjänta fordon</w:t>
      </w:r>
      <w:r w:rsidRPr="006F4B76">
        <w:t xml:space="preserve"> till utvecklingslän</w:t>
      </w:r>
      <w:r>
        <w:t>der bidrar till att skapa stora</w:t>
      </w:r>
      <w:r w:rsidRPr="006F4B76">
        <w:t xml:space="preserve"> miljöproblem i de länder där avfallet hamnar</w:t>
      </w:r>
      <w:r>
        <w:t>, d</w:t>
      </w:r>
      <w:r w:rsidRPr="006F4B76">
        <w:t>är</w:t>
      </w:r>
      <w:r>
        <w:t xml:space="preserve"> det</w:t>
      </w:r>
      <w:r w:rsidRPr="006F4B76">
        <w:t>ofta saknas teknisk kapacitet att omhänderta avfallet på ett miljömässigt</w:t>
      </w:r>
      <w:r>
        <w:t xml:space="preserve"> säkert</w:t>
      </w:r>
      <w:r w:rsidRPr="006F4B76">
        <w:t xml:space="preserve"> sätt. Elektroniken innehåller exempelvis en rad farliga kemikalier, såsom kvicksilver, som på detta sätt sprids på ett okontrollerat sätt. </w:t>
      </w:r>
    </w:p>
    <w:p w:rsidR="008B7A24" w:rsidRPr="006F4B76" w:rsidRDefault="008B7A24" w:rsidP="006262DF">
      <w:pPr>
        <w:spacing w:line="240" w:lineRule="auto"/>
        <w:rPr>
          <w:i/>
          <w:noProof/>
        </w:rPr>
      </w:pPr>
    </w:p>
    <w:p w:rsidR="008B7A24" w:rsidRPr="006F4B76" w:rsidRDefault="008B7A24" w:rsidP="00995E32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noProof/>
        </w:rPr>
      </w:pPr>
      <w:r>
        <w:rPr>
          <w:i/>
          <w:noProof/>
        </w:rPr>
        <w:t>Anser medlemsstaterna</w:t>
      </w:r>
      <w:r w:rsidRPr="006F4B76">
        <w:rPr>
          <w:i/>
          <w:noProof/>
        </w:rPr>
        <w:t xml:space="preserve"> att förslaget säkerställ</w:t>
      </w:r>
      <w:r>
        <w:rPr>
          <w:i/>
          <w:noProof/>
        </w:rPr>
        <w:t>er</w:t>
      </w:r>
      <w:r w:rsidRPr="006F4B76">
        <w:rPr>
          <w:i/>
          <w:noProof/>
        </w:rPr>
        <w:t xml:space="preserve">rätt balans mellan </w:t>
      </w:r>
      <w:r>
        <w:rPr>
          <w:i/>
          <w:noProof/>
        </w:rPr>
        <w:t xml:space="preserve">rättvisa spelregler (inom EU) och </w:t>
      </w:r>
      <w:r w:rsidRPr="006F4B76">
        <w:rPr>
          <w:i/>
          <w:noProof/>
        </w:rPr>
        <w:t>nödvändig flexibilitet?</w:t>
      </w:r>
    </w:p>
    <w:p w:rsidR="008B7A24" w:rsidRPr="006F4B76" w:rsidRDefault="008B7A24" w:rsidP="00995E32">
      <w:pPr>
        <w:spacing w:line="240" w:lineRule="auto"/>
        <w:rPr>
          <w:noProof/>
        </w:rPr>
      </w:pPr>
    </w:p>
    <w:p w:rsidR="008B7A24" w:rsidRDefault="008B7A24" w:rsidP="00FF6F80">
      <w:pPr>
        <w:pStyle w:val="RKnormal"/>
      </w:pPr>
      <w:r w:rsidRPr="006F4B76">
        <w:rPr>
          <w:noProof/>
        </w:rPr>
        <w:t xml:space="preserve">Regeringen </w:t>
      </w:r>
      <w:r>
        <w:rPr>
          <w:noProof/>
        </w:rPr>
        <w:t>anser</w:t>
      </w:r>
      <w:r w:rsidRPr="006F4B76">
        <w:rPr>
          <w:noProof/>
        </w:rPr>
        <w:t xml:space="preserve">att </w:t>
      </w:r>
      <w:r>
        <w:rPr>
          <w:noProof/>
        </w:rPr>
        <w:t xml:space="preserve">införandet av krav på </w:t>
      </w:r>
      <w:r w:rsidRPr="006F4B76">
        <w:rPr>
          <w:noProof/>
        </w:rPr>
        <w:t xml:space="preserve">tillsynsplanerna </w:t>
      </w:r>
      <w:r>
        <w:rPr>
          <w:noProof/>
        </w:rPr>
        <w:t>kan bidra tillen eff</w:t>
      </w:r>
      <w:r w:rsidRPr="006F4B76">
        <w:rPr>
          <w:noProof/>
        </w:rPr>
        <w:t>ek</w:t>
      </w:r>
      <w:r>
        <w:rPr>
          <w:noProof/>
        </w:rPr>
        <w:t>t</w:t>
      </w:r>
      <w:r w:rsidRPr="006F4B76">
        <w:rPr>
          <w:noProof/>
        </w:rPr>
        <w:t xml:space="preserve">ivare tillsynöver transport av farligt avfall. </w:t>
      </w:r>
      <w:r>
        <w:t>Regeringen vill samtidigt framföra</w:t>
      </w:r>
      <w:r w:rsidRPr="006F4B76">
        <w:t xml:space="preserve"> att det är viktigt att bevaka att medlemsstaterna</w:t>
      </w:r>
      <w:r>
        <w:t xml:space="preserve">gestillräcklig flexibilitet att </w:t>
      </w:r>
      <w:r w:rsidRPr="006F4B76">
        <w:t>behovsanpassa tillsynen</w:t>
      </w:r>
      <w:r>
        <w:t xml:space="preserve">. </w:t>
      </w:r>
      <w:r w:rsidRPr="006F4B76">
        <w:t>För att säkerställa att tillsynen fungerar på ett effektivt sätt på nationell nivå bördetalj</w:t>
      </w:r>
      <w:r>
        <w:t>regleringen i förslaget</w:t>
      </w:r>
      <w:r w:rsidRPr="006F4B76">
        <w:t xml:space="preserve"> i vissa avseenden minskas</w:t>
      </w:r>
      <w:r>
        <w:t>, såsom  k</w:t>
      </w:r>
      <w:r w:rsidRPr="00932FF4">
        <w:rPr>
          <w:noProof/>
        </w:rPr>
        <w:t>rave</w:t>
      </w:r>
      <w:r w:rsidRPr="006A07D4">
        <w:rPr>
          <w:noProof/>
        </w:rPr>
        <w:t>t på information om antal</w:t>
      </w:r>
      <w:r>
        <w:rPr>
          <w:noProof/>
        </w:rPr>
        <w:t>et</w:t>
      </w:r>
      <w:r w:rsidRPr="006A07D4">
        <w:rPr>
          <w:noProof/>
        </w:rPr>
        <w:t xml:space="preserve"> och typ</w:t>
      </w:r>
      <w:r>
        <w:rPr>
          <w:noProof/>
        </w:rPr>
        <w:t>en</w:t>
      </w:r>
      <w:r w:rsidRPr="006A07D4">
        <w:rPr>
          <w:noProof/>
        </w:rPr>
        <w:t xml:space="preserve"> av tillsynsbesök</w:t>
      </w:r>
      <w:r>
        <w:rPr>
          <w:noProof/>
        </w:rPr>
        <w:t>.</w:t>
      </w:r>
    </w:p>
    <w:p w:rsidR="008B7A24" w:rsidRPr="006F4B76" w:rsidRDefault="008B7A24" w:rsidP="00995E32">
      <w:pPr>
        <w:spacing w:line="240" w:lineRule="auto"/>
        <w:rPr>
          <w:noProof/>
        </w:rPr>
      </w:pPr>
    </w:p>
    <w:p w:rsidR="008B7A24" w:rsidRPr="006F4B76" w:rsidRDefault="008B7A24" w:rsidP="00995E32">
      <w:pPr>
        <w:pStyle w:val="RKnormal"/>
      </w:pPr>
    </w:p>
    <w:p w:rsidR="008B7A24" w:rsidRPr="006F4B76" w:rsidRDefault="008B7A24" w:rsidP="00A03E85">
      <w:pPr>
        <w:pStyle w:val="RKrubrik"/>
        <w:spacing w:before="0" w:after="0" w:line="240" w:lineRule="auto"/>
      </w:pPr>
      <w:r w:rsidRPr="006F4B76">
        <w:t>Europaparlamentets inställning</w:t>
      </w:r>
    </w:p>
    <w:p w:rsidR="008B7A24" w:rsidRPr="006F4B76" w:rsidRDefault="008B7A24" w:rsidP="00FF6F80">
      <w:pPr>
        <w:pStyle w:val="RKnormal"/>
      </w:pPr>
      <w:r w:rsidRPr="006F4B76">
        <w:t>Institutionernas ståndpunkter är för närvarande inte kända. Europaparlamentets miljöutskott (ENVI) har utnämnt Bart Staes</w:t>
      </w:r>
      <w:r>
        <w:t>, D</w:t>
      </w:r>
      <w:r w:rsidRPr="006F4B76">
        <w:t>e Gröna (BE) till rapportör.</w:t>
      </w:r>
      <w:r>
        <w:t xml:space="preserve">Tidtabellen för hantering av ärendet </w:t>
      </w:r>
      <w:r w:rsidRPr="006F4B76">
        <w:t>är ännu inte fastställ</w:t>
      </w:r>
      <w:r>
        <w:t>d</w:t>
      </w:r>
      <w:r w:rsidRPr="006F4B76">
        <w:t>.</w:t>
      </w:r>
    </w:p>
    <w:p w:rsidR="008B7A24" w:rsidRPr="006F4B76" w:rsidRDefault="008B7A24" w:rsidP="00A03E85">
      <w:pPr>
        <w:pStyle w:val="RKrubrik"/>
        <w:spacing w:before="0" w:after="0" w:line="240" w:lineRule="auto"/>
        <w:rPr>
          <w:i/>
          <w:iCs/>
        </w:rPr>
      </w:pPr>
    </w:p>
    <w:p w:rsidR="008B7A24" w:rsidRPr="00F574A0" w:rsidRDefault="008B7A24" w:rsidP="006262DF">
      <w:pPr>
        <w:pStyle w:val="RKrubrik"/>
        <w:spacing w:before="0" w:after="0" w:line="240" w:lineRule="auto"/>
        <w:rPr>
          <w:iCs/>
        </w:rPr>
      </w:pPr>
      <w:r w:rsidRPr="00F574A0">
        <w:rPr>
          <w:iCs/>
        </w:rPr>
        <w:t>Förslaget</w:t>
      </w:r>
    </w:p>
    <w:p w:rsidR="008B7A24" w:rsidRDefault="008B7A24" w:rsidP="00A83526">
      <w:pPr>
        <w:pStyle w:val="RKnormal"/>
        <w:rPr>
          <w:noProof/>
        </w:rPr>
      </w:pPr>
      <w:r>
        <w:rPr>
          <w:noProof/>
        </w:rPr>
        <w:t>I</w:t>
      </w:r>
      <w:r w:rsidRPr="00832FE8">
        <w:rPr>
          <w:noProof/>
        </w:rPr>
        <w:t>nspektionskraven i</w:t>
      </w:r>
      <w:r>
        <w:rPr>
          <w:noProof/>
        </w:rPr>
        <w:t xml:space="preserve"> dennu gällande </w:t>
      </w:r>
      <w:r w:rsidRPr="00832FE8">
        <w:rPr>
          <w:noProof/>
        </w:rPr>
        <w:t>förordningen</w:t>
      </w:r>
      <w:r>
        <w:rPr>
          <w:noProof/>
        </w:rPr>
        <w:t xml:space="preserve"> om transport av avfall är ganska allmänt formulerad. På grund av det,</w:t>
      </w:r>
      <w:r w:rsidRPr="00832FE8">
        <w:rPr>
          <w:noProof/>
        </w:rPr>
        <w:t xml:space="preserve"> f</w:t>
      </w:r>
      <w:r>
        <w:rPr>
          <w:noProof/>
        </w:rPr>
        <w:t>öreligger</w:t>
      </w:r>
      <w:r w:rsidRPr="00832FE8">
        <w:rPr>
          <w:noProof/>
        </w:rPr>
        <w:t xml:space="preserve"> det </w:t>
      </w:r>
      <w:r>
        <w:rPr>
          <w:noProof/>
        </w:rPr>
        <w:t xml:space="preserve">i nuläget </w:t>
      </w:r>
      <w:r w:rsidRPr="00832FE8">
        <w:rPr>
          <w:noProof/>
        </w:rPr>
        <w:t>stora skillnader mellan medlemsstaterna</w:t>
      </w:r>
      <w:r>
        <w:rPr>
          <w:noProof/>
        </w:rPr>
        <w:t xml:space="preserve"> vad gäller genomförande av inspektioner</w:t>
      </w:r>
      <w:r w:rsidRPr="00832FE8">
        <w:rPr>
          <w:noProof/>
        </w:rPr>
        <w:t xml:space="preserve">. Vissa </w:t>
      </w:r>
      <w:r>
        <w:rPr>
          <w:noProof/>
        </w:rPr>
        <w:t xml:space="preserve">medlemstater </w:t>
      </w:r>
      <w:r w:rsidRPr="00832FE8">
        <w:rPr>
          <w:noProof/>
        </w:rPr>
        <w:t xml:space="preserve">har inrättat grundliga, välfungerande inspektionssystem, medan andra har stora problem med efterlevnaden </w:t>
      </w:r>
      <w:r>
        <w:rPr>
          <w:noProof/>
        </w:rPr>
        <w:t xml:space="preserve">och utförandet av </w:t>
      </w:r>
      <w:r w:rsidRPr="00832FE8">
        <w:rPr>
          <w:noProof/>
        </w:rPr>
        <w:t>inspektioner. De</w:t>
      </w:r>
      <w:r>
        <w:rPr>
          <w:noProof/>
        </w:rPr>
        <w:t xml:space="preserve">tta </w:t>
      </w:r>
      <w:r w:rsidRPr="00832FE8">
        <w:rPr>
          <w:noProof/>
        </w:rPr>
        <w:t>leder till så kallad ”port hopping”, dvs. att exportörer av olagligt avfall väljer att skicka sitt avfall genom de medlemsstater som har</w:t>
      </w:r>
      <w:r>
        <w:rPr>
          <w:noProof/>
        </w:rPr>
        <w:t xml:space="preserve"> svagast</w:t>
      </w:r>
      <w:r w:rsidRPr="00832FE8">
        <w:rPr>
          <w:noProof/>
        </w:rPr>
        <w:t xml:space="preserve"> kontroll</w:t>
      </w:r>
      <w:r>
        <w:rPr>
          <w:noProof/>
        </w:rPr>
        <w:t>system</w:t>
      </w:r>
      <w:r w:rsidRPr="00832FE8">
        <w:rPr>
          <w:noProof/>
        </w:rPr>
        <w:t xml:space="preserve">. </w:t>
      </w:r>
      <w:r>
        <w:rPr>
          <w:noProof/>
        </w:rPr>
        <w:t>”Port hopping” innebär således att när</w:t>
      </w:r>
      <w:r w:rsidRPr="00832FE8">
        <w:rPr>
          <w:noProof/>
        </w:rPr>
        <w:t xml:space="preserve"> kontrollen av efterlevnad i en medlemsstat intensifieras flyttar illegala exportörer sina expo</w:t>
      </w:r>
      <w:r>
        <w:rPr>
          <w:noProof/>
        </w:rPr>
        <w:t>rter till en annan medlemsstat.</w:t>
      </w:r>
    </w:p>
    <w:p w:rsidR="008B7A24" w:rsidRDefault="008B7A24" w:rsidP="006262DF">
      <w:pPr>
        <w:pStyle w:val="RKnormal"/>
        <w:rPr>
          <w:noProof/>
        </w:rPr>
      </w:pPr>
    </w:p>
    <w:p w:rsidR="008B7A24" w:rsidRDefault="008B7A24" w:rsidP="00C1782D">
      <w:pPr>
        <w:pStyle w:val="RKnormal"/>
        <w:rPr>
          <w:noProof/>
        </w:rPr>
      </w:pPr>
      <w:r>
        <w:rPr>
          <w:noProof/>
        </w:rPr>
        <w:t xml:space="preserve">Syftet med kommissionens förslag är att ge </w:t>
      </w:r>
      <w:r w:rsidRPr="00832FE8">
        <w:rPr>
          <w:noProof/>
        </w:rPr>
        <w:t>stöd</w:t>
      </w:r>
      <w:r>
        <w:rPr>
          <w:noProof/>
        </w:rPr>
        <w:t xml:space="preserve"> till </w:t>
      </w:r>
      <w:r w:rsidRPr="00832FE8">
        <w:rPr>
          <w:noProof/>
        </w:rPr>
        <w:t>och styra medlemsstaternas inspektione</w:t>
      </w:r>
      <w:r>
        <w:rPr>
          <w:noProof/>
        </w:rPr>
        <w:t xml:space="preserve">r så att dessa kan inriktas på </w:t>
      </w:r>
      <w:r w:rsidRPr="00832FE8">
        <w:rPr>
          <w:noProof/>
        </w:rPr>
        <w:t>problematiska och farliga avfallsflöden</w:t>
      </w:r>
      <w:r>
        <w:rPr>
          <w:noProof/>
        </w:rPr>
        <w:t xml:space="preserve">. Förslaget anses kunna </w:t>
      </w:r>
      <w:r w:rsidRPr="006F4B76">
        <w:rPr>
          <w:noProof/>
        </w:rPr>
        <w:t>stärka ock likrikta tillsynen över transporter av farligt avfall</w:t>
      </w:r>
      <w:r>
        <w:rPr>
          <w:noProof/>
        </w:rPr>
        <w:t xml:space="preserve"> i EU:s medlemsstater</w:t>
      </w:r>
      <w:r w:rsidRPr="006F4B76">
        <w:rPr>
          <w:noProof/>
        </w:rPr>
        <w:t xml:space="preserve"> för att minska illegala avfall</w:t>
      </w:r>
      <w:r>
        <w:rPr>
          <w:noProof/>
        </w:rPr>
        <w:t>s</w:t>
      </w:r>
      <w:r w:rsidRPr="006F4B76">
        <w:rPr>
          <w:noProof/>
        </w:rPr>
        <w:t xml:space="preserve">transporter dels inom EU, </w:t>
      </w:r>
      <w:r>
        <w:rPr>
          <w:noProof/>
        </w:rPr>
        <w:t>och i synnerhet</w:t>
      </w:r>
      <w:r w:rsidRPr="006F4B76">
        <w:rPr>
          <w:noProof/>
        </w:rPr>
        <w:t>till länder utanför EU.</w:t>
      </w:r>
    </w:p>
    <w:p w:rsidR="008B7A24" w:rsidRDefault="008B7A24" w:rsidP="00C1782D">
      <w:pPr>
        <w:pStyle w:val="RKnormal"/>
        <w:rPr>
          <w:noProof/>
        </w:rPr>
      </w:pPr>
    </w:p>
    <w:p w:rsidR="008B7A24" w:rsidRDefault="008B7A24" w:rsidP="00C1782D">
      <w:pPr>
        <w:pStyle w:val="RKnormal"/>
        <w:rPr>
          <w:noProof/>
        </w:rPr>
      </w:pPr>
      <w:r w:rsidRPr="006F4B76">
        <w:rPr>
          <w:noProof/>
        </w:rPr>
        <w:t>Förslaget inför krav på</w:t>
      </w:r>
      <w:r>
        <w:rPr>
          <w:noProof/>
        </w:rPr>
        <w:t xml:space="preserve"> medlemsstaterna att ta fram planer för </w:t>
      </w:r>
      <w:r w:rsidRPr="006F4B76">
        <w:rPr>
          <w:noProof/>
        </w:rPr>
        <w:t>inspektioner av avfallstransporter</w:t>
      </w:r>
      <w:r>
        <w:rPr>
          <w:noProof/>
        </w:rPr>
        <w:t xml:space="preserve"> och </w:t>
      </w:r>
      <w:r w:rsidRPr="00832FE8">
        <w:rPr>
          <w:noProof/>
        </w:rPr>
        <w:t xml:space="preserve">utföra riskbedömningar som ska omfatta särskilda avfallsflöden och källor till olagliga transporter. Varje år ska </w:t>
      </w:r>
      <w:r w:rsidRPr="001C3887">
        <w:rPr>
          <w:noProof/>
        </w:rPr>
        <w:t>prioriteringar för</w:t>
      </w:r>
      <w:r>
        <w:rPr>
          <w:noProof/>
        </w:rPr>
        <w:t xml:space="preserve"> utförande av</w:t>
      </w:r>
      <w:r w:rsidRPr="001C3887">
        <w:rPr>
          <w:noProof/>
        </w:rPr>
        <w:t xml:space="preserve"> inspektioner väljas ut på grundval</w:t>
      </w:r>
      <w:r w:rsidRPr="00832FE8">
        <w:rPr>
          <w:noProof/>
        </w:rPr>
        <w:t xml:space="preserve"> av dessa riskbedömningar och offentliggöras i de årliga inspektionsplanerna. Dessa planer ska göras tillgängliga för allmänheten.</w:t>
      </w:r>
    </w:p>
    <w:p w:rsidR="008B7A24" w:rsidRDefault="008B7A24" w:rsidP="00C1782D">
      <w:pPr>
        <w:pStyle w:val="RKnormal"/>
        <w:rPr>
          <w:noProof/>
        </w:rPr>
      </w:pPr>
    </w:p>
    <w:p w:rsidR="008B7A24" w:rsidRDefault="008B7A24" w:rsidP="000D0656">
      <w:pPr>
        <w:pStyle w:val="RKnormal"/>
        <w:rPr>
          <w:noProof/>
        </w:rPr>
      </w:pPr>
      <w:r>
        <w:rPr>
          <w:noProof/>
        </w:rPr>
        <w:t xml:space="preserve">Förslaget utgör en möjlighet </w:t>
      </w:r>
      <w:r w:rsidRPr="006F4B76" w:rsidDel="00E42D57">
        <w:rPr>
          <w:noProof/>
        </w:rPr>
        <w:t xml:space="preserve">förbehöriga myndigheter att kräva bevis från misstänkta exportörer av olagligt avfall </w:t>
      </w:r>
      <w:r>
        <w:rPr>
          <w:noProof/>
        </w:rPr>
        <w:t xml:space="preserve">för att </w:t>
      </w:r>
      <w:r w:rsidRPr="006F4B76" w:rsidDel="00E42D57">
        <w:rPr>
          <w:noProof/>
        </w:rPr>
        <w:t>kontrollera om transporterna är lagenliga. Sådan bevisning kan avse</w:t>
      </w:r>
      <w:r>
        <w:rPr>
          <w:noProof/>
        </w:rPr>
        <w:t xml:space="preserve"> om</w:t>
      </w:r>
      <w:r w:rsidRPr="006F4B76" w:rsidDel="00E42D57">
        <w:rPr>
          <w:noProof/>
        </w:rPr>
        <w:t xml:space="preserve"> ämnet eller föremålet är ”avfall”</w:t>
      </w:r>
      <w:r>
        <w:rPr>
          <w:noProof/>
        </w:rPr>
        <w:t>,om</w:t>
      </w:r>
      <w:r w:rsidRPr="006F4B76" w:rsidDel="00E42D57">
        <w:rPr>
          <w:noProof/>
        </w:rPr>
        <w:t xml:space="preserve"> transporten är avsedd för återvinning eller bortskaffande, eller vilk</w:t>
      </w:r>
      <w:r>
        <w:rPr>
          <w:noProof/>
        </w:rPr>
        <w:t>en</w:t>
      </w:r>
      <w:r w:rsidRPr="006F4B76" w:rsidDel="00E42D57">
        <w:rPr>
          <w:noProof/>
        </w:rPr>
        <w:t xml:space="preserve"> slags avfallsbehandling som tillämpas vid anläggningen i mottagarlandet.</w:t>
      </w:r>
    </w:p>
    <w:p w:rsidR="008B7A24" w:rsidRPr="00C1782D" w:rsidRDefault="008B7A24" w:rsidP="000D0656">
      <w:pPr>
        <w:pStyle w:val="RKnormal"/>
        <w:rPr>
          <w:lang w:eastAsia="sv-SE"/>
        </w:rPr>
      </w:pPr>
    </w:p>
    <w:p w:rsidR="008B7A24" w:rsidRDefault="008B7A24" w:rsidP="006262DF">
      <w:pPr>
        <w:pStyle w:val="RKnormal"/>
        <w:rPr>
          <w:noProof/>
        </w:rPr>
      </w:pPr>
      <w:r>
        <w:rPr>
          <w:noProof/>
        </w:rPr>
        <w:t>Det föreslås vidare att detaljreglering av informationutbyte på elektronisk väg ska ske inom ramen för delegerade akter enligt artikel</w:t>
      </w:r>
      <w:r w:rsidRPr="00832FE8">
        <w:rPr>
          <w:noProof/>
        </w:rPr>
        <w:t xml:space="preserve"> 290 i fördraget om Europeiska unionens funktionssätt</w:t>
      </w:r>
      <w:r>
        <w:rPr>
          <w:noProof/>
        </w:rPr>
        <w:t xml:space="preserve">. </w:t>
      </w:r>
      <w:bookmarkStart w:id="1" w:name="_GoBack"/>
      <w:bookmarkEnd w:id="1"/>
    </w:p>
    <w:p w:rsidR="008B7A24" w:rsidRPr="006F4B76" w:rsidDel="00E42D57" w:rsidRDefault="008B7A24" w:rsidP="006262DF">
      <w:pPr>
        <w:pStyle w:val="RKnormal"/>
        <w:rPr>
          <w:noProof/>
        </w:rPr>
      </w:pPr>
    </w:p>
    <w:p w:rsidR="008B7A24" w:rsidRPr="006F4B76" w:rsidRDefault="008B7A24" w:rsidP="00A03E85">
      <w:pPr>
        <w:pStyle w:val="RKrubrik"/>
        <w:spacing w:before="0" w:after="0" w:line="240" w:lineRule="auto"/>
        <w:rPr>
          <w:i/>
          <w:iCs/>
        </w:rPr>
      </w:pPr>
      <w:r w:rsidRPr="006F4B76">
        <w:rPr>
          <w:i/>
          <w:iCs/>
        </w:rPr>
        <w:t>Gällande svenska regler och förslagets effekter på dessa</w:t>
      </w:r>
    </w:p>
    <w:p w:rsidR="008B7A24" w:rsidRPr="006F4B76" w:rsidRDefault="008B7A24" w:rsidP="00A956E8">
      <w:pPr>
        <w:pStyle w:val="RKnormal"/>
      </w:pPr>
      <w:r w:rsidRPr="006F4B76">
        <w:t xml:space="preserve">EU:s avfallstransportförordning är direkt tillämplig i svensk lagstiftning. I miljöbalken finns straffbestämmelser och regler om tillsyn. Naturvårdsverket är behörig ansvarig myndighet för denna lagstiftning. Förslaget kan innebära att det behövs en komplettering av bestämmelserna i avfallsförordningen om hur planeringen av tillsynen ska </w:t>
      </w:r>
      <w:r>
        <w:t>ske</w:t>
      </w:r>
      <w:r w:rsidRPr="006F4B76">
        <w:t xml:space="preserve"> i enlighet med förordningen och hur inspektionerna ska utföras.</w:t>
      </w:r>
    </w:p>
    <w:p w:rsidR="008B7A24" w:rsidRPr="006F4B76" w:rsidRDefault="008B7A24" w:rsidP="00A956E8">
      <w:pPr>
        <w:pStyle w:val="RKnormal"/>
      </w:pPr>
    </w:p>
    <w:p w:rsidR="008B7A24" w:rsidRPr="006F4B76" w:rsidRDefault="008B7A24" w:rsidP="00A956E8">
      <w:pPr>
        <w:pStyle w:val="RKnormal"/>
      </w:pPr>
      <w:r w:rsidRPr="006F4B76">
        <w:t>Enligt miljötillsynsförordningen (2011:13) har Länsstyrelsen ansvar för tillsynen av sådana transporter av avfall som regleras i förordning (EG) nr 1013/2006. Länsstyrelsen ska i tillsynen samverka med Polisen, Tullverket och Kustbevakningen.</w:t>
      </w:r>
    </w:p>
    <w:p w:rsidR="008B7A24" w:rsidRPr="006F4B76" w:rsidRDefault="008B7A24" w:rsidP="00A956E8">
      <w:pPr>
        <w:pStyle w:val="RKnormal"/>
      </w:pPr>
    </w:p>
    <w:p w:rsidR="008B7A24" w:rsidRPr="006F4B76" w:rsidRDefault="008B7A24" w:rsidP="00A03E85">
      <w:pPr>
        <w:pStyle w:val="RKrubrik"/>
        <w:spacing w:before="0" w:after="0" w:line="240" w:lineRule="auto"/>
      </w:pPr>
      <w:r w:rsidRPr="006F4B76">
        <w:t>Ekonomiska konsekvenser</w:t>
      </w:r>
    </w:p>
    <w:p w:rsidR="008B7A24" w:rsidRPr="006F4B76" w:rsidRDefault="008B7A24" w:rsidP="006262DF">
      <w:pPr>
        <w:pStyle w:val="RKnormal"/>
        <w:rPr>
          <w:noProof/>
        </w:rPr>
      </w:pPr>
      <w:r w:rsidRPr="006F4B76">
        <w:rPr>
          <w:noProof/>
        </w:rPr>
        <w:t>Förslaget ger inte vid handen hur omfattande kraven kan komma att bli. Enligt förslaget ska en plan för tillsyn tas fram. För svensk del har Naturvårdsverket</w:t>
      </w:r>
      <w:r>
        <w:rPr>
          <w:noProof/>
        </w:rPr>
        <w:t>på uppdrag av regeringen ,</w:t>
      </w:r>
      <w:r w:rsidRPr="006F4B76">
        <w:rPr>
          <w:noProof/>
        </w:rPr>
        <w:t xml:space="preserve">redan tagit fram en handlingsplan för tillsyn </w:t>
      </w:r>
      <w:r>
        <w:rPr>
          <w:noProof/>
        </w:rPr>
        <w:t xml:space="preserve">över </w:t>
      </w:r>
      <w:r w:rsidRPr="006F4B76">
        <w:rPr>
          <w:noProof/>
        </w:rPr>
        <w:t>avfallstransporter</w:t>
      </w:r>
      <w:r>
        <w:rPr>
          <w:noProof/>
        </w:rPr>
        <w:t>, därmed har man</w:t>
      </w:r>
      <w:r w:rsidRPr="006F4B76">
        <w:rPr>
          <w:noProof/>
        </w:rPr>
        <w:t xml:space="preserve"> redan tillsammans med andra berörda myndigheter påbörjat det arbete som kommissionen efterfrågar i förslaget. Eventuella ökande kostnader av förslaget bedöms kunna tas inom befintlig ram. </w:t>
      </w:r>
    </w:p>
    <w:sectPr w:rsidR="008B7A24" w:rsidRPr="006F4B76" w:rsidSect="004104E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A24" w:rsidRDefault="008B7A24">
      <w:r>
        <w:separator/>
      </w:r>
    </w:p>
  </w:endnote>
  <w:endnote w:type="continuationSeparator" w:id="1">
    <w:p w:rsidR="008B7A24" w:rsidRDefault="008B7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A24" w:rsidRDefault="008B7A24">
      <w:r>
        <w:separator/>
      </w:r>
    </w:p>
  </w:footnote>
  <w:footnote w:type="continuationSeparator" w:id="1">
    <w:p w:rsidR="008B7A24" w:rsidRDefault="008B7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24" w:rsidRDefault="008B7A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8B7A24">
      <w:trPr>
        <w:cantSplit/>
      </w:trPr>
      <w:tc>
        <w:tcPr>
          <w:tcW w:w="3119" w:type="dxa"/>
        </w:tcPr>
        <w:p w:rsidR="008B7A24" w:rsidRDefault="008B7A24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B7A24" w:rsidRDefault="008B7A24">
          <w:pPr>
            <w:pStyle w:val="Header"/>
            <w:ind w:right="360"/>
          </w:pPr>
        </w:p>
      </w:tc>
      <w:tc>
        <w:tcPr>
          <w:tcW w:w="1525" w:type="dxa"/>
        </w:tcPr>
        <w:p w:rsidR="008B7A24" w:rsidRDefault="008B7A24">
          <w:pPr>
            <w:pStyle w:val="Header"/>
            <w:ind w:right="360"/>
          </w:pPr>
        </w:p>
      </w:tc>
    </w:tr>
  </w:tbl>
  <w:p w:rsidR="008B7A24" w:rsidRDefault="008B7A24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24" w:rsidRDefault="008B7A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8B7A24">
      <w:trPr>
        <w:cantSplit/>
      </w:trPr>
      <w:tc>
        <w:tcPr>
          <w:tcW w:w="3119" w:type="dxa"/>
        </w:tcPr>
        <w:p w:rsidR="008B7A24" w:rsidRDefault="008B7A24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B7A24" w:rsidRDefault="008B7A24">
          <w:pPr>
            <w:pStyle w:val="Header"/>
            <w:ind w:right="360"/>
          </w:pPr>
        </w:p>
      </w:tc>
      <w:tc>
        <w:tcPr>
          <w:tcW w:w="1525" w:type="dxa"/>
        </w:tcPr>
        <w:p w:rsidR="008B7A24" w:rsidRDefault="008B7A24">
          <w:pPr>
            <w:pStyle w:val="Header"/>
            <w:ind w:right="360"/>
          </w:pPr>
        </w:p>
      </w:tc>
    </w:tr>
  </w:tbl>
  <w:p w:rsidR="008B7A24" w:rsidRDefault="008B7A24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24" w:rsidRDefault="008B7A24">
    <w:pPr>
      <w:framePr w:w="2948" w:h="1321" w:hRule="exact" w:wrap="notBeside" w:vAnchor="page" w:hAnchor="page" w:x="1362" w:y="653"/>
    </w:pPr>
    <w:r w:rsidRPr="00814CAA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8B7A24" w:rsidRDefault="008B7A2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B7A24" w:rsidRDefault="008B7A24">
    <w:pPr>
      <w:rPr>
        <w:rFonts w:ascii="TradeGothic" w:hAnsi="TradeGothic"/>
        <w:b/>
        <w:bCs/>
        <w:spacing w:val="12"/>
        <w:sz w:val="22"/>
      </w:rPr>
    </w:pPr>
  </w:p>
  <w:p w:rsidR="008B7A24" w:rsidRDefault="008B7A2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B7A24" w:rsidRDefault="008B7A2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DE7"/>
    <w:multiLevelType w:val="hybridMultilevel"/>
    <w:tmpl w:val="FA4CBE84"/>
    <w:lvl w:ilvl="0" w:tplc="E1DE9566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10476"/>
    <w:multiLevelType w:val="hybridMultilevel"/>
    <w:tmpl w:val="6AEAF85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5E2893"/>
    <w:multiLevelType w:val="hybridMultilevel"/>
    <w:tmpl w:val="7684464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042801"/>
    <w:multiLevelType w:val="hybridMultilevel"/>
    <w:tmpl w:val="14542F7C"/>
    <w:lvl w:ilvl="0" w:tplc="EFC60090">
      <w:start w:val="4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E2FCF"/>
    <w:multiLevelType w:val="hybridMultilevel"/>
    <w:tmpl w:val="D5C6A046"/>
    <w:lvl w:ilvl="0" w:tplc="7A8E37C4">
      <w:numFmt w:val="bullet"/>
      <w:lvlText w:val="-"/>
      <w:lvlJc w:val="left"/>
      <w:pPr>
        <w:ind w:left="1080" w:hanging="360"/>
      </w:pPr>
      <w:rPr>
        <w:rFonts w:ascii="OrigGarmnd BT" w:eastAsia="Times New Roman" w:hAnsi="OrigGarmnd BT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030251"/>
    <w:multiLevelType w:val="hybridMultilevel"/>
    <w:tmpl w:val="14D21CEC"/>
    <w:lvl w:ilvl="0" w:tplc="F2A8B80C">
      <w:numFmt w:val="bullet"/>
      <w:lvlText w:val="-"/>
      <w:lvlJc w:val="left"/>
      <w:pPr>
        <w:ind w:left="1080" w:hanging="360"/>
      </w:pPr>
      <w:rPr>
        <w:rFonts w:ascii="OrigGarmnd BT" w:eastAsia="Times New Roman" w:hAnsi="OrigGarmnd BT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001"/>
  <w:defaultTabStop w:val="567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Miljödepartementet"/>
    <w:docVar w:name="Regering" w:val="N"/>
  </w:docVars>
  <w:rsids>
    <w:rsidRoot w:val="005803F6"/>
    <w:rsid w:val="00034089"/>
    <w:rsid w:val="000443BD"/>
    <w:rsid w:val="000824D2"/>
    <w:rsid w:val="000D0656"/>
    <w:rsid w:val="000D6717"/>
    <w:rsid w:val="0011160A"/>
    <w:rsid w:val="00150384"/>
    <w:rsid w:val="0015075A"/>
    <w:rsid w:val="00153556"/>
    <w:rsid w:val="00175FCC"/>
    <w:rsid w:val="001805B7"/>
    <w:rsid w:val="00195C22"/>
    <w:rsid w:val="001B1F1D"/>
    <w:rsid w:val="001C3887"/>
    <w:rsid w:val="00215BEA"/>
    <w:rsid w:val="00231713"/>
    <w:rsid w:val="00233E71"/>
    <w:rsid w:val="00236D54"/>
    <w:rsid w:val="00253DBD"/>
    <w:rsid w:val="00275774"/>
    <w:rsid w:val="00291802"/>
    <w:rsid w:val="002A5C90"/>
    <w:rsid w:val="003419C4"/>
    <w:rsid w:val="00366B09"/>
    <w:rsid w:val="003968DA"/>
    <w:rsid w:val="003D7B5B"/>
    <w:rsid w:val="003F1C82"/>
    <w:rsid w:val="00402CE9"/>
    <w:rsid w:val="004104EB"/>
    <w:rsid w:val="00417F34"/>
    <w:rsid w:val="00430467"/>
    <w:rsid w:val="00445FD0"/>
    <w:rsid w:val="0045004A"/>
    <w:rsid w:val="00471205"/>
    <w:rsid w:val="004A328D"/>
    <w:rsid w:val="004B53E6"/>
    <w:rsid w:val="004B668F"/>
    <w:rsid w:val="004C2AF2"/>
    <w:rsid w:val="004C54CF"/>
    <w:rsid w:val="004D676C"/>
    <w:rsid w:val="004E425D"/>
    <w:rsid w:val="004F5C1C"/>
    <w:rsid w:val="00520A2C"/>
    <w:rsid w:val="00537936"/>
    <w:rsid w:val="005803F6"/>
    <w:rsid w:val="0059053A"/>
    <w:rsid w:val="00597867"/>
    <w:rsid w:val="005A14A4"/>
    <w:rsid w:val="005B04F6"/>
    <w:rsid w:val="005C1760"/>
    <w:rsid w:val="005C36C2"/>
    <w:rsid w:val="006262DF"/>
    <w:rsid w:val="00633AC8"/>
    <w:rsid w:val="0067018D"/>
    <w:rsid w:val="00671161"/>
    <w:rsid w:val="006727FB"/>
    <w:rsid w:val="006773A7"/>
    <w:rsid w:val="006856DB"/>
    <w:rsid w:val="006A07D4"/>
    <w:rsid w:val="006A6EB2"/>
    <w:rsid w:val="006C7472"/>
    <w:rsid w:val="006E4E11"/>
    <w:rsid w:val="006F3144"/>
    <w:rsid w:val="006F4B76"/>
    <w:rsid w:val="007242A3"/>
    <w:rsid w:val="00726E64"/>
    <w:rsid w:val="00732B9A"/>
    <w:rsid w:val="007525ED"/>
    <w:rsid w:val="00797F50"/>
    <w:rsid w:val="00813013"/>
    <w:rsid w:val="00814CAA"/>
    <w:rsid w:val="00817B8D"/>
    <w:rsid w:val="00822163"/>
    <w:rsid w:val="00832FE8"/>
    <w:rsid w:val="00867DE4"/>
    <w:rsid w:val="00890CD0"/>
    <w:rsid w:val="008B2990"/>
    <w:rsid w:val="008B7A24"/>
    <w:rsid w:val="008D21B4"/>
    <w:rsid w:val="008F05FD"/>
    <w:rsid w:val="009061F4"/>
    <w:rsid w:val="00910364"/>
    <w:rsid w:val="0091494A"/>
    <w:rsid w:val="0092090F"/>
    <w:rsid w:val="00932FF4"/>
    <w:rsid w:val="00960BF7"/>
    <w:rsid w:val="009818DD"/>
    <w:rsid w:val="00995E32"/>
    <w:rsid w:val="00996D54"/>
    <w:rsid w:val="00A03E85"/>
    <w:rsid w:val="00A140D2"/>
    <w:rsid w:val="00A54226"/>
    <w:rsid w:val="00A703CE"/>
    <w:rsid w:val="00A83526"/>
    <w:rsid w:val="00A94120"/>
    <w:rsid w:val="00A956E8"/>
    <w:rsid w:val="00AF6B01"/>
    <w:rsid w:val="00B16577"/>
    <w:rsid w:val="00B17B8E"/>
    <w:rsid w:val="00B30A3D"/>
    <w:rsid w:val="00B748D2"/>
    <w:rsid w:val="00B76C1B"/>
    <w:rsid w:val="00B90C57"/>
    <w:rsid w:val="00B96024"/>
    <w:rsid w:val="00BA67BB"/>
    <w:rsid w:val="00C1782D"/>
    <w:rsid w:val="00C35EC7"/>
    <w:rsid w:val="00C41E2C"/>
    <w:rsid w:val="00C73EE9"/>
    <w:rsid w:val="00C9170F"/>
    <w:rsid w:val="00CB777E"/>
    <w:rsid w:val="00CF1615"/>
    <w:rsid w:val="00D161DF"/>
    <w:rsid w:val="00D90005"/>
    <w:rsid w:val="00D917A4"/>
    <w:rsid w:val="00D9230A"/>
    <w:rsid w:val="00DA013C"/>
    <w:rsid w:val="00DA108D"/>
    <w:rsid w:val="00DC63B8"/>
    <w:rsid w:val="00DF0B9A"/>
    <w:rsid w:val="00E02A31"/>
    <w:rsid w:val="00E07678"/>
    <w:rsid w:val="00E2325A"/>
    <w:rsid w:val="00E42D57"/>
    <w:rsid w:val="00E44FF9"/>
    <w:rsid w:val="00E6593E"/>
    <w:rsid w:val="00E91730"/>
    <w:rsid w:val="00E91AE7"/>
    <w:rsid w:val="00EB45D6"/>
    <w:rsid w:val="00EC25F9"/>
    <w:rsid w:val="00EC2CAF"/>
    <w:rsid w:val="00EF4C20"/>
    <w:rsid w:val="00F33EFD"/>
    <w:rsid w:val="00F35F37"/>
    <w:rsid w:val="00F54C23"/>
    <w:rsid w:val="00F574A0"/>
    <w:rsid w:val="00F74058"/>
    <w:rsid w:val="00F7620F"/>
    <w:rsid w:val="00F817A2"/>
    <w:rsid w:val="00FA0FF1"/>
    <w:rsid w:val="00FF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EB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4104EB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4104EB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4104EB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4104EB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72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72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72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72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4104EB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4104EB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1724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104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724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link w:val="RKnormalChar"/>
    <w:uiPriority w:val="99"/>
    <w:rsid w:val="004104EB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4104EB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4104EB"/>
    <w:rPr>
      <w:rFonts w:cs="Times New Roman"/>
    </w:rPr>
  </w:style>
  <w:style w:type="paragraph" w:styleId="NormalIndent">
    <w:name w:val="Normal Indent"/>
    <w:basedOn w:val="Normal"/>
    <w:uiPriority w:val="99"/>
    <w:rsid w:val="00E44FF9"/>
    <w:pPr>
      <w:overflowPunct/>
      <w:autoSpaceDE/>
      <w:autoSpaceDN/>
      <w:adjustRightInd/>
      <w:spacing w:before="122" w:line="245" w:lineRule="exact"/>
      <w:ind w:left="1304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styleId="BalloonText">
    <w:name w:val="Balloon Text"/>
    <w:basedOn w:val="Normal"/>
    <w:link w:val="BalloonTextChar"/>
    <w:uiPriority w:val="99"/>
    <w:rsid w:val="000D6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D671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0D67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D671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D6717"/>
    <w:rPr>
      <w:rFonts w:ascii="OrigGarmnd BT" w:hAnsi="OrigGarmnd BT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D6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D6717"/>
    <w:rPr>
      <w:b/>
      <w:bCs/>
    </w:rPr>
  </w:style>
  <w:style w:type="character" w:customStyle="1" w:styleId="RKnormalChar">
    <w:name w:val="RKnormal Char"/>
    <w:link w:val="RKnormal"/>
    <w:uiPriority w:val="99"/>
    <w:locked/>
    <w:rsid w:val="00153556"/>
    <w:rPr>
      <w:rFonts w:ascii="OrigGarmnd BT" w:hAnsi="OrigGarmnd BT"/>
      <w:sz w:val="24"/>
      <w:lang w:eastAsia="en-US"/>
    </w:rPr>
  </w:style>
  <w:style w:type="paragraph" w:customStyle="1" w:styleId="CharCharZnak">
    <w:name w:val="Char Char Znak"/>
    <w:basedOn w:val="Normal"/>
    <w:uiPriority w:val="99"/>
    <w:rsid w:val="00B76C1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ListParagraph">
    <w:name w:val="List Paragraph"/>
    <w:basedOn w:val="Normal"/>
    <w:uiPriority w:val="99"/>
    <w:qFormat/>
    <w:rsid w:val="00822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925</Words>
  <Characters>6107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/>
  <dc:creator>Josefine Holmquist</dc:creator>
  <cp:keywords/>
  <dc:description/>
  <cp:lastModifiedBy>jb0525aa</cp:lastModifiedBy>
  <cp:revision>2</cp:revision>
  <cp:lastPrinted>2013-10-07T11:43:00Z</cp:lastPrinted>
  <dcterms:created xsi:type="dcterms:W3CDTF">2013-10-07T11:44:00Z</dcterms:created>
  <dcterms:modified xsi:type="dcterms:W3CDTF">2013-10-07T11:44:00Z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0x01010053E1D612BA3F4E21AA250ECD751942B300DF292ACF992E344C9E6B0DE92437A031</vt:lpwstr>
  </property>
  <property fmtid="{D5CDD505-2E9C-101B-9397-08002B2CF9AE}" pid="6" name="_dlc_DocId">
    <vt:lpwstr>CQDMZ4KVUQXP-7-8171</vt:lpwstr>
  </property>
  <property fmtid="{D5CDD505-2E9C-101B-9397-08002B2CF9AE}" pid="7" name="_dlc_DocIdItemGuid">
    <vt:lpwstr>c3fc63d5-4cf7-433f-a466-32386d6be213</vt:lpwstr>
  </property>
  <property fmtid="{D5CDD505-2E9C-101B-9397-08002B2CF9AE}" pid="8" name="_dlc_DocIdUrl">
    <vt:lpwstr>http://rkdhs-m/enhet/Is/_layouts/DocIdRedir.aspx?ID=CQDMZ4KVUQXP-7-8171, CQDMZ4KVUQXP-7-8171</vt:lpwstr>
  </property>
  <property fmtid="{D5CDD505-2E9C-101B-9397-08002B2CF9AE}" pid="9" name="RKDepartementsenhet">
    <vt:lpwstr>1;#Miljödepartementet|3e2328b8-9b3d-4f60-a95a-cee61eb848d9</vt:lpwstr>
  </property>
  <property fmtid="{D5CDD505-2E9C-101B-9397-08002B2CF9AE}" pid="10" name="RKAktivitetskategori">
    <vt:lpwstr>4;#4.1. Europeiska unionen|3702a388-75a8-47ca-a3cb-a45aec6679e6</vt:lpwstr>
  </property>
  <property fmtid="{D5CDD505-2E9C-101B-9397-08002B2CF9AE}" pid="11" name="Nyckelord">
    <vt:lpwstr/>
  </property>
  <property fmtid="{D5CDD505-2E9C-101B-9397-08002B2CF9AE}" pid="12" name="k46d94c0acf84ab9a79866a9d8b1905f">
    <vt:lpwstr>Miljödepartementet3e2328b8-9b3d-4f60-a95a-cee61eb848d9</vt:lpwstr>
  </property>
  <property fmtid="{D5CDD505-2E9C-101B-9397-08002B2CF9AE}" pid="13" name="Diarienummer">
    <vt:lpwstr/>
  </property>
  <property fmtid="{D5CDD505-2E9C-101B-9397-08002B2CF9AE}" pid="14" name="RKOrdnaCheckInComment">
    <vt:lpwstr/>
  </property>
  <property fmtid="{D5CDD505-2E9C-101B-9397-08002B2CF9AE}" pid="15" name="RKOrdnaClass">
    <vt:lpwstr/>
  </property>
  <property fmtid="{D5CDD505-2E9C-101B-9397-08002B2CF9AE}" pid="16" name="TaxCatchAll">
    <vt:lpwstr>4;#;#1;#</vt:lpwstr>
  </property>
  <property fmtid="{D5CDD505-2E9C-101B-9397-08002B2CF9AE}" pid="17" name="c9cd366cc722410295b9eacffbd73909">
    <vt:lpwstr>4.1. Europeiska unionen3702a388-75a8-47ca-a3cb-a45aec6679e6</vt:lpwstr>
  </property>
  <property fmtid="{D5CDD505-2E9C-101B-9397-08002B2CF9AE}" pid="18" name="Sekretess m.m.">
    <vt:lpwstr>0</vt:lpwstr>
  </property>
</Properties>
</file>