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D87869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10</w:t>
            </w:r>
            <w:r w:rsidR="00745634">
              <w:t>-</w:t>
            </w:r>
            <w:r w:rsidR="00D87869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9F5744">
              <w:t>0</w:t>
            </w:r>
            <w:r w:rsidR="003D5DFC">
              <w:t>.</w:t>
            </w:r>
            <w:r w:rsidR="009F5744">
              <w:t>3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BF6D78" w:rsidRPr="00A76F4E" w:rsidRDefault="00BF6D78" w:rsidP="00BF6D78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>
              <w:t xml:space="preserve">Petter Löberg (S), </w:t>
            </w:r>
            <w:r w:rsidR="00FC3E47">
              <w:t xml:space="preserve">Louise Meijer (M), </w:t>
            </w:r>
            <w:r w:rsidR="000733B5">
              <w:t xml:space="preserve">Adam Marttinen (SD), </w:t>
            </w:r>
            <w:r>
              <w:t>Maria Strömkvist (S), Johan Hedin (C), Linda Westerlund Snecker (V), Ellen Juntti (M), Joakim Sandell (S), Carina Ödebrink (S), Johan Pehrson (L), Mikael Damsgaard (M), Johanna Öfverbeck (MP) och Inga-Lill Sjöblom (S).</w:t>
            </w:r>
          </w:p>
          <w:p w:rsidR="00D014BB" w:rsidRDefault="00D014BB" w:rsidP="000518A3">
            <w:pPr>
              <w:autoSpaceDE w:val="0"/>
              <w:autoSpaceDN w:val="0"/>
              <w:textAlignment w:val="center"/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</w:p>
          <w:p w:rsidR="00D87869" w:rsidRDefault="00D87869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D760B4">
              <w:rPr>
                <w:bCs/>
                <w:snapToGrid w:val="0"/>
              </w:rPr>
              <w:t>6</w:t>
            </w:r>
            <w:r>
              <w:rPr>
                <w:bCs/>
                <w:snapToGrid w:val="0"/>
              </w:rPr>
              <w:t>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87869" w:rsidRDefault="00D87869" w:rsidP="00D878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(JuU31)</w:t>
            </w:r>
          </w:p>
          <w:p w:rsidR="00D87869" w:rsidRDefault="00D87869" w:rsidP="00D87869">
            <w:pPr>
              <w:rPr>
                <w:b/>
                <w:bCs/>
                <w:snapToGrid w:val="0"/>
              </w:rPr>
            </w:pPr>
          </w:p>
          <w:p w:rsidR="00D87869" w:rsidRPr="008A28C8" w:rsidRDefault="00D87869" w:rsidP="00D87869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D87869" w:rsidRPr="008A28C8" w:rsidRDefault="00D87869" w:rsidP="00D87869">
            <w:pPr>
              <w:rPr>
                <w:bCs/>
                <w:snapToGrid w:val="0"/>
              </w:rPr>
            </w:pPr>
          </w:p>
          <w:p w:rsidR="00D87869" w:rsidRDefault="005F604F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</w:t>
            </w:r>
            <w:r w:rsidR="00E840DA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>/2</w:t>
            </w:r>
            <w:r w:rsidR="00E840DA"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>:JuU31</w:t>
            </w:r>
            <w:r w:rsidR="00D87869" w:rsidRPr="008A28C8">
              <w:rPr>
                <w:bCs/>
                <w:snapToGrid w:val="0"/>
              </w:rPr>
              <w:t>.</w:t>
            </w:r>
          </w:p>
          <w:p w:rsidR="00FB125F" w:rsidRDefault="00FB125F" w:rsidP="00D87869">
            <w:pPr>
              <w:rPr>
                <w:bCs/>
                <w:snapToGrid w:val="0"/>
              </w:rPr>
            </w:pPr>
          </w:p>
          <w:p w:rsidR="00940216" w:rsidRDefault="00940216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MP-ledamöterna anmälde en reservation.</w:t>
            </w:r>
          </w:p>
          <w:p w:rsidR="00940216" w:rsidRDefault="00940216" w:rsidP="00D87869">
            <w:pPr>
              <w:rPr>
                <w:bCs/>
                <w:snapToGrid w:val="0"/>
              </w:rPr>
            </w:pPr>
          </w:p>
          <w:p w:rsidR="00FB125F" w:rsidRPr="008A28C8" w:rsidRDefault="003E3171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C-, V- och MP</w:t>
            </w:r>
            <w:r w:rsidR="00FB125F">
              <w:rPr>
                <w:bCs/>
                <w:snapToGrid w:val="0"/>
              </w:rPr>
              <w:t>-ledamöter</w:t>
            </w:r>
            <w:r>
              <w:rPr>
                <w:bCs/>
                <w:snapToGrid w:val="0"/>
              </w:rPr>
              <w:t>na</w:t>
            </w:r>
            <w:r w:rsidR="00FB125F">
              <w:rPr>
                <w:bCs/>
                <w:snapToGrid w:val="0"/>
              </w:rPr>
              <w:t xml:space="preserve"> anmälde särskilda yttranden.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32DE6" w:rsidTr="005F3412">
        <w:tc>
          <w:tcPr>
            <w:tcW w:w="567" w:type="dxa"/>
          </w:tcPr>
          <w:p w:rsidR="00232DE6" w:rsidRDefault="00232DE6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B125F" w:rsidRDefault="00FB125F" w:rsidP="00FB12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Digital kommunikation i domstolsprocesser (JuU4)</w:t>
            </w:r>
          </w:p>
          <w:p w:rsidR="00FB125F" w:rsidRDefault="00FB125F" w:rsidP="00FB125F">
            <w:pPr>
              <w:rPr>
                <w:b/>
                <w:bCs/>
                <w:snapToGrid w:val="0"/>
              </w:rPr>
            </w:pPr>
          </w:p>
          <w:p w:rsidR="00FB125F" w:rsidRDefault="00FB125F" w:rsidP="00FB12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B60E4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B60E4F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2019/20:189.</w:t>
            </w:r>
          </w:p>
          <w:p w:rsidR="00FB125F" w:rsidRDefault="00FB125F" w:rsidP="00FB125F">
            <w:pPr>
              <w:rPr>
                <w:bCs/>
                <w:snapToGrid w:val="0"/>
              </w:rPr>
            </w:pPr>
          </w:p>
          <w:p w:rsidR="007C4B79" w:rsidRPr="008A28C8" w:rsidRDefault="007C4B79" w:rsidP="007C4B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2020/</w:t>
            </w:r>
            <w:proofErr w:type="gramStart"/>
            <w:r>
              <w:rPr>
                <w:bCs/>
                <w:snapToGrid w:val="0"/>
              </w:rPr>
              <w:t>21:JuU</w:t>
            </w:r>
            <w:proofErr w:type="gramEnd"/>
            <w:r>
              <w:rPr>
                <w:bCs/>
                <w:snapToGrid w:val="0"/>
              </w:rPr>
              <w:t>4</w:t>
            </w:r>
            <w:r w:rsidRPr="008A28C8">
              <w:rPr>
                <w:bCs/>
                <w:snapToGrid w:val="0"/>
              </w:rPr>
              <w:t>.</w:t>
            </w:r>
          </w:p>
          <w:p w:rsidR="00232DE6" w:rsidRDefault="00232DE6" w:rsidP="0019639C">
            <w:pPr>
              <w:rPr>
                <w:b/>
                <w:bCs/>
                <w:snapToGrid w:val="0"/>
              </w:rPr>
            </w:pPr>
          </w:p>
        </w:tc>
      </w:tr>
      <w:tr w:rsidR="00164850" w:rsidTr="005F3412">
        <w:tc>
          <w:tcPr>
            <w:tcW w:w="567" w:type="dxa"/>
          </w:tcPr>
          <w:p w:rsidR="00164850" w:rsidRDefault="00164850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44D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64850" w:rsidRDefault="00164850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En strängare syn på </w:t>
            </w:r>
            <w:r w:rsidR="007D2EB6">
              <w:rPr>
                <w:b/>
                <w:bCs/>
                <w:snapToGrid w:val="0"/>
              </w:rPr>
              <w:t>hantering</w:t>
            </w:r>
            <w:r>
              <w:rPr>
                <w:b/>
                <w:bCs/>
                <w:snapToGrid w:val="0"/>
              </w:rPr>
              <w:t xml:space="preserve"> av vapen och explosiva varor (JuU5)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  <w:p w:rsidR="00164850" w:rsidRDefault="00164850" w:rsidP="001648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E6F8A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6E6F8A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</w:t>
            </w:r>
            <w:r w:rsidR="006E6F8A">
              <w:rPr>
                <w:bCs/>
                <w:snapToGrid w:val="0"/>
              </w:rPr>
              <w:t>20</w:t>
            </w:r>
            <w:r w:rsidR="007D2EB6">
              <w:rPr>
                <w:bCs/>
                <w:snapToGrid w:val="0"/>
              </w:rPr>
              <w:t>19</w:t>
            </w:r>
            <w:r w:rsidR="006E6F8A">
              <w:rPr>
                <w:bCs/>
                <w:snapToGrid w:val="0"/>
              </w:rPr>
              <w:t>/2</w:t>
            </w:r>
            <w:r w:rsidR="007D2EB6">
              <w:rPr>
                <w:bCs/>
                <w:snapToGrid w:val="0"/>
              </w:rPr>
              <w:t>0</w:t>
            </w:r>
            <w:r w:rsidR="006E6F8A">
              <w:rPr>
                <w:bCs/>
                <w:snapToGrid w:val="0"/>
              </w:rPr>
              <w:t>:200 och motioner.</w:t>
            </w:r>
          </w:p>
          <w:p w:rsidR="00164850" w:rsidRDefault="00164850" w:rsidP="00164850">
            <w:pPr>
              <w:rPr>
                <w:bCs/>
                <w:snapToGrid w:val="0"/>
              </w:rPr>
            </w:pPr>
          </w:p>
          <w:p w:rsidR="00164850" w:rsidRDefault="00164850" w:rsidP="001648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</w:tc>
      </w:tr>
      <w:tr w:rsidR="005159E4" w:rsidTr="005F3412">
        <w:tc>
          <w:tcPr>
            <w:tcW w:w="567" w:type="dxa"/>
          </w:tcPr>
          <w:p w:rsidR="005159E4" w:rsidRDefault="005159E4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744D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744D6" w:rsidRDefault="001744D6" w:rsidP="001744D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Effektivare hantering av häktningar och minskad isolering </w:t>
            </w:r>
            <w:r w:rsidR="006E1BCC">
              <w:rPr>
                <w:b/>
                <w:bCs/>
                <w:snapToGrid w:val="0"/>
              </w:rPr>
              <w:t>(</w:t>
            </w:r>
            <w:r>
              <w:rPr>
                <w:b/>
                <w:bCs/>
                <w:snapToGrid w:val="0"/>
              </w:rPr>
              <w:t>JuU43)</w:t>
            </w:r>
            <w:r>
              <w:rPr>
                <w:b/>
                <w:bCs/>
                <w:snapToGrid w:val="0"/>
              </w:rPr>
              <w:br/>
            </w:r>
          </w:p>
          <w:p w:rsidR="001744D6" w:rsidRDefault="001744D6" w:rsidP="001744D6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1744D6" w:rsidRDefault="001744D6" w:rsidP="001744D6">
            <w:pPr>
              <w:rPr>
                <w:bCs/>
                <w:snapToGrid w:val="0"/>
              </w:rPr>
            </w:pPr>
          </w:p>
          <w:p w:rsidR="00A632E0" w:rsidRPr="001744D6" w:rsidRDefault="001744D6" w:rsidP="00A632E0">
            <w:pPr>
              <w:rPr>
                <w:bCs/>
                <w:snapToGrid w:val="0"/>
              </w:rPr>
            </w:pPr>
            <w:r w:rsidRPr="001744D6">
              <w:rPr>
                <w:bCs/>
                <w:snapToGrid w:val="0"/>
              </w:rPr>
              <w:t>Ärendet bordlades.</w:t>
            </w:r>
          </w:p>
          <w:p w:rsidR="001744D6" w:rsidRDefault="001744D6" w:rsidP="00A632E0">
            <w:pPr>
              <w:rPr>
                <w:b/>
                <w:bCs/>
                <w:snapToGrid w:val="0"/>
              </w:rPr>
            </w:pPr>
          </w:p>
        </w:tc>
      </w:tr>
      <w:tr w:rsidR="00B732CE" w:rsidTr="005F3412">
        <w:tc>
          <w:tcPr>
            <w:tcW w:w="567" w:type="dxa"/>
          </w:tcPr>
          <w:p w:rsidR="00B732CE" w:rsidRDefault="00B732C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5FA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B732CE" w:rsidRDefault="00435FAE" w:rsidP="00A632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förstärkt medarbetarskydd för polisanställda (JuU3)</w:t>
            </w:r>
          </w:p>
          <w:p w:rsidR="00435FAE" w:rsidRDefault="00435FAE" w:rsidP="00A632E0">
            <w:pPr>
              <w:rPr>
                <w:b/>
                <w:bCs/>
                <w:snapToGrid w:val="0"/>
              </w:rPr>
            </w:pPr>
          </w:p>
          <w:p w:rsidR="00435FAE" w:rsidRDefault="00435FAE" w:rsidP="00A632E0">
            <w:pPr>
              <w:rPr>
                <w:bCs/>
                <w:snapToGrid w:val="0"/>
              </w:rPr>
            </w:pPr>
            <w:r w:rsidRPr="00435FAE">
              <w:rPr>
                <w:bCs/>
                <w:snapToGrid w:val="0"/>
              </w:rPr>
              <w:t>Utskottet behandlade proposition 20</w:t>
            </w:r>
            <w:r w:rsidR="00E87EAA">
              <w:rPr>
                <w:bCs/>
                <w:snapToGrid w:val="0"/>
              </w:rPr>
              <w:t>19</w:t>
            </w:r>
            <w:r w:rsidRPr="00435FAE">
              <w:rPr>
                <w:bCs/>
                <w:snapToGrid w:val="0"/>
              </w:rPr>
              <w:t>/2</w:t>
            </w:r>
            <w:r w:rsidR="00E87EAA">
              <w:rPr>
                <w:bCs/>
                <w:snapToGrid w:val="0"/>
              </w:rPr>
              <w:t>0</w:t>
            </w:r>
            <w:r w:rsidRPr="00435FAE">
              <w:rPr>
                <w:bCs/>
                <w:snapToGrid w:val="0"/>
              </w:rPr>
              <w:t>:186 och motioner.</w:t>
            </w:r>
          </w:p>
          <w:p w:rsidR="00435FAE" w:rsidRDefault="00435FAE" w:rsidP="00A632E0">
            <w:pPr>
              <w:rPr>
                <w:bCs/>
                <w:snapToGrid w:val="0"/>
              </w:rPr>
            </w:pPr>
          </w:p>
          <w:p w:rsidR="00435FAE" w:rsidRPr="00435FAE" w:rsidRDefault="00435FAE" w:rsidP="00A632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B732CE" w:rsidRDefault="00B732CE" w:rsidP="00A632E0">
            <w:pPr>
              <w:rPr>
                <w:b/>
                <w:bCs/>
                <w:snapToGrid w:val="0"/>
              </w:rPr>
            </w:pPr>
          </w:p>
        </w:tc>
      </w:tr>
      <w:tr w:rsidR="000C49CD" w:rsidTr="005F3412">
        <w:tc>
          <w:tcPr>
            <w:tcW w:w="567" w:type="dxa"/>
          </w:tcPr>
          <w:p w:rsidR="000C49CD" w:rsidRDefault="000C49CD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0C49CD" w:rsidRDefault="000C49CD" w:rsidP="000C49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bestämmelser om fotografier och fingeravtryck i SIS II-regelverket (JuU7)</w:t>
            </w:r>
          </w:p>
          <w:p w:rsidR="000C49CD" w:rsidRDefault="000C49CD" w:rsidP="000C49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C49CD" w:rsidRDefault="000C49CD" w:rsidP="000C49CD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proposition 2020/21:6 och motioner.</w:t>
            </w:r>
          </w:p>
          <w:p w:rsidR="00F63C76" w:rsidRDefault="00F63C76" w:rsidP="000C49CD">
            <w:pPr>
              <w:tabs>
                <w:tab w:val="left" w:pos="1701"/>
              </w:tabs>
              <w:rPr>
                <w:snapToGrid w:val="0"/>
              </w:rPr>
            </w:pPr>
          </w:p>
          <w:p w:rsidR="00F63C76" w:rsidRPr="00E5656F" w:rsidRDefault="00F63C76" w:rsidP="000C49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socialförsäkringsutskottet tillfälle att yttra sig över </w:t>
            </w:r>
            <w:r w:rsidR="00385532">
              <w:rPr>
                <w:snapToGrid w:val="0"/>
              </w:rPr>
              <w:t xml:space="preserve">proposition </w:t>
            </w:r>
            <w:r>
              <w:rPr>
                <w:snapToGrid w:val="0"/>
              </w:rPr>
              <w:t>2020/21:6 och motioner i de delar som berör socialförsäkringsutskottets beredningsområde.</w:t>
            </w:r>
          </w:p>
          <w:p w:rsidR="000C49CD" w:rsidRPr="00E5656F" w:rsidRDefault="000C49CD" w:rsidP="000C49CD">
            <w:pPr>
              <w:tabs>
                <w:tab w:val="left" w:pos="1701"/>
              </w:tabs>
              <w:rPr>
                <w:snapToGrid w:val="0"/>
              </w:rPr>
            </w:pPr>
          </w:p>
          <w:p w:rsidR="000C49CD" w:rsidRDefault="000C49CD" w:rsidP="000C49CD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F63C76" w:rsidRDefault="00F63C76" w:rsidP="000C49CD">
            <w:pPr>
              <w:tabs>
                <w:tab w:val="left" w:pos="1701"/>
              </w:tabs>
              <w:rPr>
                <w:snapToGrid w:val="0"/>
              </w:rPr>
            </w:pPr>
          </w:p>
          <w:p w:rsidR="00F63C76" w:rsidRPr="00E5656F" w:rsidRDefault="00F63C76" w:rsidP="000C49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C49CD" w:rsidRDefault="000C49CD" w:rsidP="00A632E0">
            <w:pPr>
              <w:rPr>
                <w:b/>
                <w:bCs/>
                <w:snapToGrid w:val="0"/>
              </w:rPr>
            </w:pPr>
          </w:p>
        </w:tc>
      </w:tr>
      <w:tr w:rsidR="00435FAE" w:rsidTr="005F3412">
        <w:tc>
          <w:tcPr>
            <w:tcW w:w="567" w:type="dxa"/>
          </w:tcPr>
          <w:p w:rsidR="00435FAE" w:rsidRDefault="00435FA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49C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35FAE" w:rsidRDefault="00435FAE" w:rsidP="00A632E0">
            <w:pPr>
              <w:rPr>
                <w:b/>
                <w:bCs/>
                <w:snapToGrid w:val="0"/>
              </w:rPr>
            </w:pPr>
            <w:r w:rsidRPr="00435FAE">
              <w:rPr>
                <w:b/>
                <w:bCs/>
                <w:snapToGrid w:val="0"/>
              </w:rPr>
              <w:t>Kompletterande bestämmelser till EU:s förordning om ömsesidigt erkännande av beslut om frysning och beslut om förverkande (JuU9)</w:t>
            </w:r>
          </w:p>
          <w:p w:rsidR="00435FAE" w:rsidRDefault="00435FAE" w:rsidP="00A632E0">
            <w:pPr>
              <w:rPr>
                <w:b/>
                <w:bCs/>
                <w:snapToGrid w:val="0"/>
              </w:rPr>
            </w:pPr>
          </w:p>
          <w:p w:rsidR="00435FAE" w:rsidRDefault="00435FAE" w:rsidP="00A632E0">
            <w:pPr>
              <w:rPr>
                <w:bCs/>
                <w:snapToGrid w:val="0"/>
              </w:rPr>
            </w:pPr>
            <w:r w:rsidRPr="00435FAE">
              <w:rPr>
                <w:bCs/>
                <w:snapToGrid w:val="0"/>
              </w:rPr>
              <w:t>Utskottet behandlade proposition 20</w:t>
            </w:r>
            <w:r w:rsidR="00AA550A">
              <w:rPr>
                <w:bCs/>
                <w:snapToGrid w:val="0"/>
              </w:rPr>
              <w:t>19</w:t>
            </w:r>
            <w:r w:rsidRPr="00435FAE">
              <w:rPr>
                <w:bCs/>
                <w:snapToGrid w:val="0"/>
              </w:rPr>
              <w:t>/2</w:t>
            </w:r>
            <w:r w:rsidR="00AA550A">
              <w:rPr>
                <w:bCs/>
                <w:snapToGrid w:val="0"/>
              </w:rPr>
              <w:t>0</w:t>
            </w:r>
            <w:r w:rsidRPr="00435FAE">
              <w:rPr>
                <w:bCs/>
                <w:snapToGrid w:val="0"/>
              </w:rPr>
              <w:t>:198.</w:t>
            </w:r>
          </w:p>
          <w:p w:rsidR="00435FAE" w:rsidRDefault="00435FAE" w:rsidP="00A632E0">
            <w:pPr>
              <w:rPr>
                <w:bCs/>
                <w:snapToGrid w:val="0"/>
              </w:rPr>
            </w:pPr>
          </w:p>
          <w:p w:rsidR="00435FAE" w:rsidRDefault="00435FAE" w:rsidP="00A632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435FAE" w:rsidRPr="00435FAE" w:rsidRDefault="00435FAE" w:rsidP="00A632E0">
            <w:pPr>
              <w:rPr>
                <w:bCs/>
                <w:snapToGrid w:val="0"/>
              </w:rPr>
            </w:pPr>
          </w:p>
        </w:tc>
      </w:tr>
      <w:tr w:rsidR="00D10DFA" w:rsidTr="005F3412">
        <w:tc>
          <w:tcPr>
            <w:tcW w:w="567" w:type="dxa"/>
          </w:tcPr>
          <w:p w:rsidR="00D10DFA" w:rsidRDefault="00D10DFA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4778C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D10DFA" w:rsidRDefault="00D10DFA" w:rsidP="00D10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Åtgärder till skydd för Sveriges säkerhet vid överlåtelser av säkerhetskänslig verksamhet (JuU10)</w:t>
            </w:r>
          </w:p>
          <w:p w:rsidR="00D10DFA" w:rsidRDefault="00D10DFA" w:rsidP="00D10DF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0DFA" w:rsidRDefault="00D10DFA" w:rsidP="00D10DF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proposition 2020/21:13</w:t>
            </w:r>
            <w:r w:rsidR="00F63C76">
              <w:rPr>
                <w:snapToGrid w:val="0"/>
              </w:rPr>
              <w:t xml:space="preserve"> och motioner.</w:t>
            </w:r>
          </w:p>
          <w:p w:rsidR="009F5744" w:rsidRDefault="009F5744" w:rsidP="00D10DFA">
            <w:pPr>
              <w:tabs>
                <w:tab w:val="left" w:pos="1701"/>
              </w:tabs>
              <w:rPr>
                <w:snapToGrid w:val="0"/>
              </w:rPr>
            </w:pPr>
          </w:p>
          <w:p w:rsidR="009F5744" w:rsidRPr="00E5656F" w:rsidRDefault="009F5744" w:rsidP="00D10D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 utrikesutskottet och försvarsutskottet tillfälle att yttra sig över proposition 2020/21:13 och motioner i de delar som berör respektive utskotts beredningsområden.</w:t>
            </w:r>
          </w:p>
          <w:p w:rsidR="00D10DFA" w:rsidRPr="00E5656F" w:rsidRDefault="00D10DFA" w:rsidP="00D10DFA">
            <w:pPr>
              <w:tabs>
                <w:tab w:val="left" w:pos="1701"/>
              </w:tabs>
              <w:rPr>
                <w:snapToGrid w:val="0"/>
              </w:rPr>
            </w:pPr>
          </w:p>
          <w:p w:rsidR="00D10DFA" w:rsidRDefault="00D10DFA" w:rsidP="00D10DFA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F63C76" w:rsidRDefault="00F63C76" w:rsidP="00D10DFA">
            <w:pPr>
              <w:tabs>
                <w:tab w:val="left" w:pos="1701"/>
              </w:tabs>
              <w:rPr>
                <w:snapToGrid w:val="0"/>
              </w:rPr>
            </w:pPr>
          </w:p>
          <w:p w:rsidR="00F63C76" w:rsidRPr="00971FEB" w:rsidRDefault="00F63C76" w:rsidP="00D10D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D10DFA" w:rsidRDefault="00D10DFA" w:rsidP="00F06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778C" w:rsidTr="005F3412">
        <w:tc>
          <w:tcPr>
            <w:tcW w:w="567" w:type="dxa"/>
          </w:tcPr>
          <w:p w:rsidR="00B4778C" w:rsidRDefault="00B4778C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B4778C" w:rsidRDefault="00B4778C" w:rsidP="00B477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B4778C" w:rsidRDefault="00B4778C" w:rsidP="00B477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3592" w:rsidRDefault="00B4778C" w:rsidP="00B4778C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2020/21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703592" w:rsidRPr="00E5656F" w:rsidRDefault="00703592" w:rsidP="00B477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Utskottet beslutade att </w:t>
            </w:r>
            <w:r w:rsidR="00E45EDA">
              <w:rPr>
                <w:snapToGrid w:val="0"/>
              </w:rPr>
              <w:t>avge yttrande</w:t>
            </w:r>
            <w:r>
              <w:rPr>
                <w:snapToGrid w:val="0"/>
              </w:rPr>
              <w:t>.</w:t>
            </w:r>
          </w:p>
          <w:p w:rsidR="00B4778C" w:rsidRPr="00E5656F" w:rsidRDefault="00B4778C" w:rsidP="00B4778C">
            <w:pPr>
              <w:tabs>
                <w:tab w:val="left" w:pos="1701"/>
              </w:tabs>
              <w:rPr>
                <w:snapToGrid w:val="0"/>
              </w:rPr>
            </w:pPr>
          </w:p>
          <w:p w:rsidR="00B4778C" w:rsidRPr="00E5656F" w:rsidRDefault="00B4778C" w:rsidP="00B4778C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B4778C" w:rsidRDefault="00B4778C" w:rsidP="00D10D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A34C0" w:rsidTr="005F3412">
        <w:tc>
          <w:tcPr>
            <w:tcW w:w="567" w:type="dxa"/>
          </w:tcPr>
          <w:p w:rsidR="000A34C0" w:rsidRDefault="000A34C0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0C49C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A34C0" w:rsidRDefault="000A34C0" w:rsidP="000A34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Höständringsbudgeten för 2020</w:t>
            </w:r>
          </w:p>
          <w:p w:rsidR="000A34C0" w:rsidRDefault="000A34C0" w:rsidP="000A34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34C0" w:rsidRDefault="000A34C0" w:rsidP="000A34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2020/21:2.</w:t>
            </w:r>
          </w:p>
          <w:p w:rsidR="000A34C0" w:rsidRDefault="000A34C0" w:rsidP="000A34C0">
            <w:pPr>
              <w:tabs>
                <w:tab w:val="left" w:pos="1701"/>
              </w:tabs>
              <w:rPr>
                <w:snapToGrid w:val="0"/>
              </w:rPr>
            </w:pPr>
          </w:p>
          <w:p w:rsidR="000A34C0" w:rsidRDefault="000A34C0" w:rsidP="000A34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avge yttrande.</w:t>
            </w:r>
          </w:p>
          <w:p w:rsidR="000A34C0" w:rsidRDefault="000A34C0" w:rsidP="00F06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353A">
              <w:rPr>
                <w:b/>
                <w:snapToGrid w:val="0"/>
              </w:rPr>
              <w:t>1</w:t>
            </w:r>
            <w:r w:rsidR="000C49C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82979" w:rsidRPr="00C24BD9" w:rsidRDefault="00282979" w:rsidP="00282979">
            <w:pPr>
              <w:tabs>
                <w:tab w:val="left" w:pos="1701"/>
              </w:tabs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32CE">
              <w:rPr>
                <w:b/>
                <w:snapToGrid w:val="0"/>
              </w:rPr>
              <w:t>1</w:t>
            </w:r>
            <w:r w:rsidR="000C49C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Pr="00480055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32E0">
              <w:rPr>
                <w:b/>
                <w:snapToGrid w:val="0"/>
              </w:rPr>
              <w:t>1</w:t>
            </w:r>
            <w:r w:rsidR="000C49C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D4044F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D5353A">
              <w:rPr>
                <w:snapToGrid w:val="0"/>
              </w:rPr>
              <w:t>2</w:t>
            </w:r>
            <w:r w:rsidR="00D4044F">
              <w:rPr>
                <w:snapToGrid w:val="0"/>
              </w:rPr>
              <w:t>0</w:t>
            </w:r>
            <w:r w:rsidR="00FC4C62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D5353A">
              <w:t>2</w:t>
            </w:r>
            <w:r w:rsidR="00F27C52">
              <w:t>0</w:t>
            </w:r>
            <w:r w:rsidR="00FC4C62">
              <w:t xml:space="preserve"> oktober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D5353A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D5FB0">
              <w:rPr>
                <w:sz w:val="22"/>
              </w:rPr>
              <w:t>2-</w:t>
            </w:r>
            <w:r w:rsidR="007C4EED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C4EE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C4E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C4E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C4E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379A1" w:rsidRDefault="007C4EED" w:rsidP="007C4EED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B20174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4EED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C04C3F" w:rsidRDefault="007C4EED" w:rsidP="007C4E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B654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364572" w:rsidRDefault="007C4EED" w:rsidP="007C4EE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74BA5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23450" w:rsidRDefault="007C4EED" w:rsidP="007C4EED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23450" w:rsidRDefault="007C4EED" w:rsidP="007C4EED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23450" w:rsidRDefault="007C4EED" w:rsidP="007C4EED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EE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A23450" w:rsidRDefault="007C4EED" w:rsidP="007C4EED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ED" w:rsidRPr="0078232D" w:rsidRDefault="007C4EED" w:rsidP="007C4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4044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8E382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65CC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</w:t>
            </w:r>
            <w:r w:rsidR="002A4465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2A4465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8A3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405"/>
    <w:rsid w:val="000726BD"/>
    <w:rsid w:val="00072A60"/>
    <w:rsid w:val="0007332A"/>
    <w:rsid w:val="000733B5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4C0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49CD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187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465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5FB0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1F25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55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3171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55CC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6D4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BCC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608"/>
    <w:rsid w:val="00702941"/>
    <w:rsid w:val="00702C7E"/>
    <w:rsid w:val="00702FE3"/>
    <w:rsid w:val="00703592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4AB"/>
    <w:rsid w:val="00707560"/>
    <w:rsid w:val="007078C2"/>
    <w:rsid w:val="00710251"/>
    <w:rsid w:val="007105BA"/>
    <w:rsid w:val="00710987"/>
    <w:rsid w:val="00710C11"/>
    <w:rsid w:val="00711055"/>
    <w:rsid w:val="007110A7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5CC2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51B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B79"/>
    <w:rsid w:val="007C4D30"/>
    <w:rsid w:val="007C4EED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2EB6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22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21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BFA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744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0EF9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50A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78C"/>
    <w:rsid w:val="00B47E5D"/>
    <w:rsid w:val="00B47EDA"/>
    <w:rsid w:val="00B47F9F"/>
    <w:rsid w:val="00B51468"/>
    <w:rsid w:val="00B52356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4CA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DFA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44F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0B4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6297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5ED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40DA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87EAA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C52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C76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6E2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E47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4A9A-3E68-42D4-8FCF-CC25E061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731</Words>
  <Characters>4703</Characters>
  <Application>Microsoft Office Word</Application>
  <DocSecurity>4</DocSecurity>
  <Lines>1175</Lines>
  <Paragraphs>362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2020-10-20T09:37:00Z</dcterms:created>
  <dcterms:modified xsi:type="dcterms:W3CDTF">2020-10-20T09:37:00Z</dcterms:modified>
</cp:coreProperties>
</file>