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90648">
        <w:tblPrEx>
          <w:tblCellMar>
            <w:top w:w="0" w:type="dxa"/>
            <w:bottom w:w="0" w:type="dxa"/>
          </w:tblCellMar>
        </w:tblPrEx>
        <w:trPr>
          <w:cantSplit/>
          <w:trHeight w:val="1720"/>
        </w:trPr>
        <w:tc>
          <w:tcPr>
            <w:tcW w:w="6024" w:type="dxa"/>
            <w:gridSpan w:val="2"/>
          </w:tcPr>
          <w:p w:rsidR="00DD69FA" w:rsidRPr="00590648" w:rsidRDefault="00DD69FA">
            <w:pPr>
              <w:pStyle w:val="HuvudRubrik"/>
            </w:pPr>
            <w:r w:rsidRPr="00590648">
              <w:t>Finansutskottets betänkande</w:t>
            </w:r>
          </w:p>
          <w:p w:rsidR="00DD69FA" w:rsidRPr="00590648" w:rsidRDefault="00DD69FA">
            <w:pPr>
              <w:pStyle w:val="HuvudRubrikRad2"/>
            </w:pPr>
            <w:bookmarkStart w:id="0" w:name="BetänkandeNr"/>
            <w:bookmarkEnd w:id="0"/>
            <w:r w:rsidRPr="00590648">
              <w:t>2001/02:FiU19</w:t>
            </w:r>
          </w:p>
        </w:tc>
        <w:tc>
          <w:tcPr>
            <w:tcW w:w="1418" w:type="dxa"/>
            <w:tcBorders>
              <w:bottom w:val="nil"/>
            </w:tcBorders>
          </w:tcPr>
          <w:p w:rsidR="00DD69FA" w:rsidRPr="00590648" w:rsidRDefault="00590648">
            <w:pPr>
              <w:spacing w:line="230" w:lineRule="auto"/>
              <w:jc w:val="center"/>
            </w:pPr>
            <w:r w:rsidRPr="005906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D69FA" w:rsidRPr="00590648" w:rsidRDefault="00DD69FA">
            <w:pPr>
              <w:pStyle w:val="Normaltindrag"/>
              <w:jc w:val="center"/>
            </w:pPr>
          </w:p>
          <w:p w:rsidR="00DD69FA" w:rsidRPr="00590648" w:rsidRDefault="00DD69FA">
            <w:pPr>
              <w:pStyle w:val="StatusSida1"/>
            </w:pPr>
          </w:p>
          <w:p w:rsidR="00DD69FA" w:rsidRPr="00590648" w:rsidRDefault="00DD69FA">
            <w:pPr>
              <w:pStyle w:val="UtskriftsdatumSida1"/>
              <w:framePr w:wrap="around"/>
            </w:pPr>
          </w:p>
        </w:tc>
      </w:tr>
      <w:tr w:rsidR="00000000" w:rsidRPr="00590648">
        <w:tblPrEx>
          <w:tblCellMar>
            <w:top w:w="0" w:type="dxa"/>
            <w:bottom w:w="0" w:type="dxa"/>
          </w:tblCellMar>
        </w:tblPrEx>
        <w:trPr>
          <w:cantSplit/>
        </w:trPr>
        <w:tc>
          <w:tcPr>
            <w:tcW w:w="6024" w:type="dxa"/>
            <w:gridSpan w:val="2"/>
            <w:tcBorders>
              <w:bottom w:val="single" w:sz="4" w:space="0" w:color="auto"/>
            </w:tcBorders>
          </w:tcPr>
          <w:p w:rsidR="00DD69FA" w:rsidRPr="00590648" w:rsidRDefault="00DD69FA">
            <w:pPr>
              <w:pStyle w:val="DokumentRubrik"/>
              <w:rPr>
                <w:noProof w:val="0"/>
              </w:rPr>
            </w:pPr>
            <w:bookmarkStart w:id="1" w:name="Huvudrubrik"/>
            <w:bookmarkEnd w:id="1"/>
            <w:r w:rsidRPr="00590648">
              <w:rPr>
                <w:noProof w:val="0"/>
              </w:rPr>
              <w:t xml:space="preserve">Utvecklingen inom den kommunala sektorn </w:t>
            </w:r>
            <w:r w:rsidRPr="00590648">
              <w:rPr>
                <w:noProof w:val="0"/>
                <w:sz w:val="28"/>
              </w:rPr>
              <w:t>(skr. 2001/02:102)</w:t>
            </w:r>
          </w:p>
        </w:tc>
        <w:tc>
          <w:tcPr>
            <w:tcW w:w="1418" w:type="dxa"/>
            <w:tcBorders>
              <w:bottom w:val="nil"/>
            </w:tcBorders>
          </w:tcPr>
          <w:p w:rsidR="00DD69FA" w:rsidRPr="00590648" w:rsidRDefault="00DD69FA"/>
        </w:tc>
      </w:tr>
      <w:tr w:rsidR="00000000" w:rsidRPr="00590648">
        <w:tblPrEx>
          <w:tblCellMar>
            <w:top w:w="0" w:type="dxa"/>
            <w:bottom w:w="0" w:type="dxa"/>
          </w:tblCellMar>
        </w:tblPrEx>
        <w:trPr>
          <w:cantSplit/>
          <w:trHeight w:hRule="exact" w:val="360"/>
        </w:trPr>
        <w:tc>
          <w:tcPr>
            <w:tcW w:w="3012" w:type="dxa"/>
          </w:tcPr>
          <w:p w:rsidR="00DD69FA" w:rsidRPr="00590648" w:rsidRDefault="00DD69FA"/>
        </w:tc>
        <w:tc>
          <w:tcPr>
            <w:tcW w:w="3012" w:type="dxa"/>
          </w:tcPr>
          <w:p w:rsidR="00DD69FA" w:rsidRPr="00590648" w:rsidRDefault="00DD69FA"/>
        </w:tc>
        <w:tc>
          <w:tcPr>
            <w:tcW w:w="1418" w:type="dxa"/>
          </w:tcPr>
          <w:p w:rsidR="00DD69FA" w:rsidRPr="00590648" w:rsidRDefault="00DD69FA"/>
        </w:tc>
      </w:tr>
    </w:tbl>
    <w:p w:rsidR="00DD69FA" w:rsidRPr="00590648" w:rsidRDefault="00DD69FA"/>
    <w:p w:rsidR="00DD69FA" w:rsidRPr="00590648" w:rsidRDefault="00DD69FA">
      <w:pPr>
        <w:pStyle w:val="Rubrik1"/>
        <w:spacing w:after="180"/>
        <w:rPr>
          <w:noProof w:val="0"/>
        </w:rPr>
      </w:pPr>
      <w:bookmarkStart w:id="2" w:name="_Toc10795482"/>
      <w:r w:rsidRPr="00590648">
        <w:rPr>
          <w:noProof w:val="0"/>
        </w:rPr>
        <w:t>Sammanfattning</w:t>
      </w:r>
      <w:bookmarkEnd w:id="2"/>
    </w:p>
    <w:p w:rsidR="00DD69FA" w:rsidRPr="00590648" w:rsidRDefault="00DD69FA">
      <w:bookmarkStart w:id="3" w:name="TextStart"/>
      <w:bookmarkEnd w:id="3"/>
      <w:r w:rsidRPr="00590648">
        <w:t>I betänkandet behandlar finansutskottet regeringens skrivelse 2001/02:102 Utvecklingen inom den kommunala sektorn. I skrivelsen lämnar regeringen en översiktlig redovisning av verksamheterna och ekonomin i kommuner och land</w:t>
      </w:r>
      <w:r w:rsidRPr="00590648">
        <w:t>s</w:t>
      </w:r>
      <w:r w:rsidRPr="00590648">
        <w:t>ting.</w:t>
      </w:r>
    </w:p>
    <w:p w:rsidR="00DD69FA" w:rsidRPr="00590648" w:rsidRDefault="00DD69FA">
      <w:pPr>
        <w:pStyle w:val="Normaltindrag"/>
      </w:pPr>
      <w:r w:rsidRPr="00590648">
        <w:t>Utskottet vill nu liksom tidigare framhålla att den årliga skrivelsen om u</w:t>
      </w:r>
      <w:r w:rsidRPr="00590648">
        <w:t>t</w:t>
      </w:r>
      <w:r w:rsidRPr="00590648">
        <w:t>vecklingen inom den kommunala sektorn är ett viktigt inslag i återrapport</w:t>
      </w:r>
      <w:r w:rsidRPr="00590648">
        <w:t>e</w:t>
      </w:r>
      <w:r w:rsidRPr="00590648">
        <w:t xml:space="preserve">ringen av resultatinformation till riksdagen. </w:t>
      </w:r>
    </w:p>
    <w:p w:rsidR="00DD69FA" w:rsidRPr="00590648" w:rsidRDefault="00DD69FA">
      <w:pPr>
        <w:pStyle w:val="Normaltindrag"/>
      </w:pPr>
      <w:r w:rsidRPr="00590648">
        <w:t>I betänkandet behandlar utskottet 4 kommittémotioner med 33 yrkanden som väckts med anledning av skrivelsen samt 1 yrkande som väckts med anledning av 2002 års ekonomiska vårproposition. Utskottet avstyrker samtl</w:t>
      </w:r>
      <w:r w:rsidRPr="00590648">
        <w:t>i</w:t>
      </w:r>
      <w:r w:rsidRPr="00590648">
        <w:t>ga motionsyrka</w:t>
      </w:r>
      <w:r w:rsidRPr="00590648">
        <w:t>n</w:t>
      </w:r>
      <w:r w:rsidRPr="00590648">
        <w:t>den.</w:t>
      </w:r>
    </w:p>
    <w:p w:rsidR="00DD69FA" w:rsidRPr="00590648" w:rsidRDefault="00DD69FA">
      <w:pPr>
        <w:pStyle w:val="Normaltindrag"/>
      </w:pPr>
      <w:r w:rsidRPr="00590648">
        <w:t>Utskottet föreslår att riksdagen lägger skrivelsen till handlingarna.</w:t>
      </w:r>
    </w:p>
    <w:p w:rsidR="00DD69FA" w:rsidRPr="00590648" w:rsidRDefault="00DD69FA">
      <w:pPr>
        <w:pStyle w:val="Normaltindrag"/>
      </w:pPr>
      <w:r w:rsidRPr="00590648">
        <w:t>I betänkandet finns 9 reservationer och 2 sä</w:t>
      </w:r>
      <w:r w:rsidRPr="00590648">
        <w:t>r</w:t>
      </w:r>
      <w:r w:rsidRPr="00590648">
        <w:t>skilda yttranden.</w:t>
      </w:r>
    </w:p>
    <w:p w:rsidR="00DD69FA" w:rsidRPr="00590648" w:rsidRDefault="00DD69FA">
      <w:pPr>
        <w:pStyle w:val="Normaltindrag"/>
      </w:pPr>
    </w:p>
    <w:p w:rsidR="00DD69FA" w:rsidRPr="00590648" w:rsidRDefault="00DD69FA">
      <w:pPr>
        <w:pStyle w:val="Normaltindrag"/>
        <w:sectPr w:rsidR="00000000" w:rsidRPr="005906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D69FA" w:rsidRPr="00590648" w:rsidRDefault="00DD69FA">
      <w:pPr>
        <w:pStyle w:val="Rubrik1"/>
        <w:rPr>
          <w:noProof w:val="0"/>
        </w:rPr>
      </w:pPr>
      <w:bookmarkStart w:id="4" w:name="_Toc10795483"/>
      <w:r w:rsidRPr="00590648">
        <w:rPr>
          <w:noProof w:val="0"/>
        </w:rPr>
        <w:lastRenderedPageBreak/>
        <w:t>Innehållsförteckning</w:t>
      </w:r>
      <w:bookmarkEnd w:id="4"/>
    </w:p>
    <w:p w:rsidR="00DD69FA" w:rsidRPr="00590648" w:rsidRDefault="00DD69FA">
      <w:pPr>
        <w:pStyle w:val="Innehll1"/>
      </w:pPr>
      <w:r w:rsidRPr="00590648">
        <w:t>Sammanfattning</w:t>
      </w:r>
      <w:r w:rsidRPr="00590648">
        <w:tab/>
        <w:t>1</w:t>
      </w:r>
    </w:p>
    <w:p w:rsidR="00DD69FA" w:rsidRPr="00590648" w:rsidRDefault="00DD69FA">
      <w:pPr>
        <w:pStyle w:val="Innehll1"/>
      </w:pPr>
      <w:r w:rsidRPr="00590648">
        <w:t>Innehållsförteckning</w:t>
      </w:r>
      <w:r w:rsidRPr="00590648">
        <w:tab/>
        <w:t>2</w:t>
      </w:r>
    </w:p>
    <w:p w:rsidR="00DD69FA" w:rsidRPr="00590648" w:rsidRDefault="00DD69FA">
      <w:pPr>
        <w:pStyle w:val="Innehll1"/>
      </w:pPr>
      <w:r w:rsidRPr="00590648">
        <w:t>Utskottets förslag till riksdagsbeslut</w:t>
      </w:r>
      <w:r w:rsidRPr="00590648">
        <w:tab/>
        <w:t>3</w:t>
      </w:r>
    </w:p>
    <w:p w:rsidR="00DD69FA" w:rsidRPr="00590648" w:rsidRDefault="00DD69FA">
      <w:pPr>
        <w:pStyle w:val="Innehll1"/>
      </w:pPr>
      <w:r w:rsidRPr="00590648">
        <w:t>Redogörelse för ärendet</w:t>
      </w:r>
      <w:r w:rsidRPr="00590648">
        <w:tab/>
        <w:t>5</w:t>
      </w:r>
    </w:p>
    <w:p w:rsidR="00DD69FA" w:rsidRPr="00590648" w:rsidRDefault="00DD69FA">
      <w:pPr>
        <w:pStyle w:val="Innehll2"/>
      </w:pPr>
      <w:r w:rsidRPr="00590648">
        <w:t>Ärendet och dess beredning</w:t>
      </w:r>
      <w:r w:rsidRPr="00590648">
        <w:tab/>
        <w:t>5</w:t>
      </w:r>
    </w:p>
    <w:p w:rsidR="00DD69FA" w:rsidRPr="00590648" w:rsidRDefault="00DD69FA">
      <w:pPr>
        <w:pStyle w:val="Innehll1"/>
      </w:pPr>
      <w:r w:rsidRPr="00590648">
        <w:t>Utskottets överväganden</w:t>
      </w:r>
      <w:r w:rsidRPr="00590648">
        <w:tab/>
        <w:t>6</w:t>
      </w:r>
    </w:p>
    <w:p w:rsidR="00DD69FA" w:rsidRPr="00590648" w:rsidRDefault="00DD69FA">
      <w:pPr>
        <w:pStyle w:val="Innehll2"/>
      </w:pPr>
      <w:r w:rsidRPr="00590648">
        <w:t>1 Yrkanden som behandlas i anslutning till skrivelsen</w:t>
      </w:r>
      <w:r w:rsidRPr="00590648">
        <w:tab/>
        <w:t>6</w:t>
      </w:r>
    </w:p>
    <w:p w:rsidR="00DD69FA" w:rsidRPr="00590648" w:rsidRDefault="00DD69FA">
      <w:pPr>
        <w:pStyle w:val="Innehll2"/>
      </w:pPr>
      <w:r w:rsidRPr="00590648">
        <w:t xml:space="preserve">     1.1 Skrivelsen om utvecklingen inom den kommunala sektorn</w:t>
      </w:r>
      <w:r w:rsidRPr="00590648">
        <w:tab/>
        <w:t>6</w:t>
      </w:r>
    </w:p>
    <w:p w:rsidR="00DD69FA" w:rsidRPr="00590648" w:rsidRDefault="00DD69FA">
      <w:pPr>
        <w:pStyle w:val="Innehll2"/>
      </w:pPr>
      <w:r w:rsidRPr="00590648">
        <w:t xml:space="preserve">     1.2 Förändringar av utjämningssystemet 2002</w:t>
      </w:r>
      <w:r w:rsidRPr="00590648">
        <w:tab/>
        <w:t>9</w:t>
      </w:r>
    </w:p>
    <w:p w:rsidR="00DD69FA" w:rsidRPr="00590648" w:rsidRDefault="00DD69FA">
      <w:pPr>
        <w:pStyle w:val="Innehll2"/>
      </w:pPr>
      <w:r w:rsidRPr="00590648">
        <w:t xml:space="preserve">     1.3 Kommunala bolag</w:t>
      </w:r>
      <w:r w:rsidRPr="00590648">
        <w:tab/>
        <w:t>9</w:t>
      </w:r>
    </w:p>
    <w:p w:rsidR="00DD69FA" w:rsidRPr="00590648" w:rsidRDefault="00DD69FA">
      <w:pPr>
        <w:pStyle w:val="Innehll2"/>
      </w:pPr>
      <w:r w:rsidRPr="00590648">
        <w:t xml:space="preserve">     1.4 Statistik om sjukvårdens produktivitet</w:t>
      </w:r>
      <w:r w:rsidRPr="00590648">
        <w:tab/>
        <w:t>10</w:t>
      </w:r>
    </w:p>
    <w:p w:rsidR="00DD69FA" w:rsidRPr="00590648" w:rsidRDefault="00DD69FA">
      <w:pPr>
        <w:pStyle w:val="Innehll2"/>
      </w:pPr>
      <w:r w:rsidRPr="00590648">
        <w:t xml:space="preserve">     1.5 Kommunernas miljöarbete</w:t>
      </w:r>
      <w:r w:rsidRPr="00590648">
        <w:tab/>
        <w:t>11</w:t>
      </w:r>
    </w:p>
    <w:p w:rsidR="00DD69FA" w:rsidRPr="00590648" w:rsidRDefault="00DD69FA">
      <w:pPr>
        <w:pStyle w:val="Innehll2"/>
      </w:pPr>
      <w:r w:rsidRPr="00590648">
        <w:t>2 Tidigare behandlade motionsyrkanden</w:t>
      </w:r>
      <w:r w:rsidRPr="00590648">
        <w:tab/>
        <w:t>11</w:t>
      </w:r>
    </w:p>
    <w:p w:rsidR="00DD69FA" w:rsidRPr="00590648" w:rsidRDefault="00DD69FA">
      <w:pPr>
        <w:pStyle w:val="Innehll1"/>
      </w:pPr>
      <w:r w:rsidRPr="00590648">
        <w:t>Reservationer</w:t>
      </w:r>
      <w:r w:rsidRPr="00590648">
        <w:tab/>
        <w:t>17</w:t>
      </w:r>
    </w:p>
    <w:p w:rsidR="00DD69FA" w:rsidRPr="00590648" w:rsidRDefault="00DD69FA">
      <w:pPr>
        <w:pStyle w:val="Innehll2"/>
        <w:tabs>
          <w:tab w:val="left" w:pos="568"/>
        </w:tabs>
      </w:pPr>
      <w:r w:rsidRPr="00590648">
        <w:t>1.</w:t>
      </w:r>
      <w:r w:rsidRPr="00590648">
        <w:tab/>
        <w:t>Förändringar av utjämningssystemet 2002 – punkt 2 (m)</w:t>
      </w:r>
      <w:r w:rsidRPr="00590648">
        <w:tab/>
        <w:t>17</w:t>
      </w:r>
    </w:p>
    <w:p w:rsidR="00DD69FA" w:rsidRPr="00590648" w:rsidRDefault="00DD69FA">
      <w:pPr>
        <w:pStyle w:val="Innehll2"/>
        <w:tabs>
          <w:tab w:val="left" w:pos="568"/>
        </w:tabs>
      </w:pPr>
      <w:r w:rsidRPr="00590648">
        <w:t>2.</w:t>
      </w:r>
      <w:r w:rsidRPr="00590648">
        <w:tab/>
        <w:t>Kommunala bolag – punkt 3 (m, fp)</w:t>
      </w:r>
      <w:r w:rsidRPr="00590648">
        <w:tab/>
        <w:t>18</w:t>
      </w:r>
    </w:p>
    <w:p w:rsidR="00DD69FA" w:rsidRPr="00590648" w:rsidRDefault="00DD69FA">
      <w:pPr>
        <w:pStyle w:val="Innehll2"/>
        <w:tabs>
          <w:tab w:val="left" w:pos="568"/>
        </w:tabs>
      </w:pPr>
      <w:r w:rsidRPr="00590648">
        <w:t>3.</w:t>
      </w:r>
      <w:r w:rsidRPr="00590648">
        <w:tab/>
        <w:t>Statistik om sjukvårdens produktivitet – punkt 4 (m, kd, fp)</w:t>
      </w:r>
      <w:r w:rsidRPr="00590648">
        <w:tab/>
        <w:t>18</w:t>
      </w:r>
    </w:p>
    <w:p w:rsidR="00DD69FA" w:rsidRPr="00590648" w:rsidRDefault="00DD69FA">
      <w:pPr>
        <w:pStyle w:val="Innehll2"/>
        <w:tabs>
          <w:tab w:val="left" w:pos="568"/>
        </w:tabs>
      </w:pPr>
      <w:r w:rsidRPr="00590648">
        <w:t>4.</w:t>
      </w:r>
      <w:r w:rsidRPr="00590648">
        <w:tab/>
        <w:t>Kommunernas miljöarbete – punkt 5 (fp)</w:t>
      </w:r>
      <w:r w:rsidRPr="00590648">
        <w:tab/>
        <w:t>19</w:t>
      </w:r>
    </w:p>
    <w:p w:rsidR="00DD69FA" w:rsidRPr="00590648" w:rsidRDefault="00DD69FA">
      <w:pPr>
        <w:pStyle w:val="Innehll2"/>
        <w:tabs>
          <w:tab w:val="left" w:pos="568"/>
        </w:tabs>
      </w:pPr>
      <w:r w:rsidRPr="00590648">
        <w:t>5.</w:t>
      </w:r>
      <w:r w:rsidRPr="00590648">
        <w:tab/>
        <w:t xml:space="preserve">Tidigare behandlade motionsyrkanden vad avser skolan – </w:t>
      </w:r>
      <w:r w:rsidRPr="00590648">
        <w:br/>
        <w:t>punkt 6 (fp)</w:t>
      </w:r>
      <w:r w:rsidRPr="00590648">
        <w:tab/>
        <w:t>19</w:t>
      </w:r>
    </w:p>
    <w:p w:rsidR="00DD69FA" w:rsidRPr="00590648" w:rsidRDefault="00DD69FA">
      <w:pPr>
        <w:pStyle w:val="Innehll2"/>
        <w:tabs>
          <w:tab w:val="left" w:pos="568"/>
        </w:tabs>
      </w:pPr>
      <w:r w:rsidRPr="00590648">
        <w:t>6.</w:t>
      </w:r>
      <w:r w:rsidRPr="00590648">
        <w:tab/>
        <w:t>Tidigare behandlade motionsyrkanden i övrigt – punkt 7 (m)</w:t>
      </w:r>
      <w:r w:rsidRPr="00590648">
        <w:tab/>
        <w:t>20</w:t>
      </w:r>
    </w:p>
    <w:p w:rsidR="00DD69FA" w:rsidRPr="00590648" w:rsidRDefault="00DD69FA">
      <w:pPr>
        <w:pStyle w:val="Innehll2"/>
        <w:tabs>
          <w:tab w:val="left" w:pos="568"/>
        </w:tabs>
      </w:pPr>
      <w:r w:rsidRPr="00590648">
        <w:t>7.</w:t>
      </w:r>
      <w:r w:rsidRPr="00590648">
        <w:tab/>
        <w:t>Tidigare behandlade motionsyrkanden i övrigt – punkt 7 (kd)</w:t>
      </w:r>
      <w:r w:rsidRPr="00590648">
        <w:tab/>
        <w:t>21</w:t>
      </w:r>
    </w:p>
    <w:p w:rsidR="00DD69FA" w:rsidRPr="00590648" w:rsidRDefault="00DD69FA">
      <w:pPr>
        <w:pStyle w:val="Innehll2"/>
        <w:tabs>
          <w:tab w:val="left" w:pos="568"/>
        </w:tabs>
      </w:pPr>
      <w:r w:rsidRPr="00590648">
        <w:t>8.</w:t>
      </w:r>
      <w:r w:rsidRPr="00590648">
        <w:tab/>
        <w:t>Tidigare behandlade motionsyrkanden i övrigt – punkt 7 (c)</w:t>
      </w:r>
      <w:r w:rsidRPr="00590648">
        <w:tab/>
        <w:t>21</w:t>
      </w:r>
    </w:p>
    <w:p w:rsidR="00DD69FA" w:rsidRPr="00590648" w:rsidRDefault="00DD69FA">
      <w:pPr>
        <w:pStyle w:val="Innehll2"/>
        <w:tabs>
          <w:tab w:val="left" w:pos="568"/>
        </w:tabs>
      </w:pPr>
      <w:r w:rsidRPr="00590648">
        <w:t>9.</w:t>
      </w:r>
      <w:r w:rsidRPr="00590648">
        <w:tab/>
        <w:t>Tidigare behandlade motionsyrkanden i övrigt – punkt 7 (fp)</w:t>
      </w:r>
      <w:r w:rsidRPr="00590648">
        <w:tab/>
        <w:t>22</w:t>
      </w:r>
    </w:p>
    <w:p w:rsidR="00DD69FA" w:rsidRPr="00590648" w:rsidRDefault="00DD69FA">
      <w:pPr>
        <w:pStyle w:val="Innehll1"/>
      </w:pPr>
      <w:r w:rsidRPr="00590648">
        <w:t>Särskilda yttranden</w:t>
      </w:r>
      <w:r w:rsidRPr="00590648">
        <w:tab/>
        <w:t>23</w:t>
      </w:r>
    </w:p>
    <w:p w:rsidR="00DD69FA" w:rsidRPr="00590648" w:rsidRDefault="00DD69FA">
      <w:pPr>
        <w:pStyle w:val="Innehll2"/>
      </w:pPr>
      <w:r w:rsidRPr="00590648">
        <w:t>1.   Förändringar av utjämningssystemet 2002 – punkt 2 (kd)</w:t>
      </w:r>
      <w:r w:rsidRPr="00590648">
        <w:tab/>
        <w:t>23</w:t>
      </w:r>
    </w:p>
    <w:p w:rsidR="00DD69FA" w:rsidRPr="00590648" w:rsidRDefault="00DD69FA">
      <w:pPr>
        <w:pStyle w:val="Innehll2"/>
      </w:pPr>
      <w:r w:rsidRPr="00590648">
        <w:t xml:space="preserve">2.   Tidigare behandlade motionsyrkanden vad avser skolan – </w:t>
      </w:r>
      <w:r w:rsidRPr="00590648">
        <w:br/>
        <w:t>punkt 6 (m)</w:t>
      </w:r>
      <w:r w:rsidRPr="00590648">
        <w:tab/>
        <w:t>23</w:t>
      </w:r>
    </w:p>
    <w:p w:rsidR="00DD69FA" w:rsidRPr="00590648" w:rsidRDefault="00DD69FA">
      <w:pPr>
        <w:pStyle w:val="Innehll1"/>
        <w:rPr>
          <w:i/>
        </w:rPr>
      </w:pPr>
      <w:r w:rsidRPr="00590648">
        <w:rPr>
          <w:i/>
        </w:rPr>
        <w:t>Bilagor</w:t>
      </w:r>
    </w:p>
    <w:p w:rsidR="00DD69FA" w:rsidRPr="00590648" w:rsidRDefault="00DD69FA">
      <w:pPr>
        <w:pStyle w:val="Innehll1"/>
      </w:pPr>
      <w:r w:rsidRPr="00590648">
        <w:t>1. Förteckning över behandlade förslag</w:t>
      </w:r>
      <w:r w:rsidRPr="00590648">
        <w:tab/>
        <w:t>24</w:t>
      </w:r>
    </w:p>
    <w:p w:rsidR="00DD69FA" w:rsidRPr="00590648" w:rsidRDefault="00DD69FA">
      <w:pPr>
        <w:pStyle w:val="Innehll2"/>
      </w:pPr>
      <w:r w:rsidRPr="00590648">
        <w:t>Skrivelsen</w:t>
      </w:r>
      <w:r w:rsidRPr="00590648">
        <w:tab/>
        <w:t>24</w:t>
      </w:r>
    </w:p>
    <w:p w:rsidR="00DD69FA" w:rsidRPr="00590648" w:rsidRDefault="00DD69FA">
      <w:pPr>
        <w:pStyle w:val="Innehll2"/>
      </w:pPr>
      <w:r w:rsidRPr="00590648">
        <w:t>Följdmotioner</w:t>
      </w:r>
      <w:r w:rsidRPr="00590648">
        <w:tab/>
        <w:t>24</w:t>
      </w:r>
    </w:p>
    <w:p w:rsidR="00DD69FA" w:rsidRPr="00590648" w:rsidRDefault="00DD69FA">
      <w:pPr>
        <w:pStyle w:val="Innehll2"/>
        <w:rPr>
          <w:i/>
        </w:rPr>
      </w:pPr>
      <w:r w:rsidRPr="00590648">
        <w:t>Motionsyrkande väckt med anledning av proposition 2001/02:100 2002 års ekonomiska vårproposition</w:t>
      </w:r>
      <w:r w:rsidRPr="00590648">
        <w:tab/>
        <w:t>26</w:t>
      </w:r>
    </w:p>
    <w:p w:rsidR="00DD69FA" w:rsidRPr="00590648" w:rsidRDefault="00DD69FA">
      <w:pPr>
        <w:pStyle w:val="Innehll1"/>
        <w:rPr>
          <w:i/>
        </w:rPr>
      </w:pPr>
      <w:r w:rsidRPr="00590648">
        <w:t>2. Konstitutionsutskottets protokollsutdrag 2001/02:42</w:t>
      </w:r>
      <w:r w:rsidRPr="00590648">
        <w:tab/>
        <w:t>27</w:t>
      </w:r>
    </w:p>
    <w:p w:rsidR="00DD69FA" w:rsidRPr="00590648" w:rsidRDefault="00DD69FA">
      <w:pPr>
        <w:pStyle w:val="Innehll1"/>
        <w:rPr>
          <w:i/>
        </w:rPr>
      </w:pPr>
      <w:r w:rsidRPr="00590648">
        <w:t>3. Socialförsäkringsutskottets protokollsutdrag 2001/02:38</w:t>
      </w:r>
      <w:r w:rsidRPr="00590648">
        <w:tab/>
        <w:t>30</w:t>
      </w:r>
    </w:p>
    <w:p w:rsidR="00DD69FA" w:rsidRPr="00590648" w:rsidRDefault="00DD69FA">
      <w:pPr>
        <w:pStyle w:val="Innehll1"/>
        <w:rPr>
          <w:i/>
        </w:rPr>
      </w:pPr>
      <w:r w:rsidRPr="00590648">
        <w:t>4. Socialutskottets yttrande 2001/02:SoU6y</w:t>
      </w:r>
      <w:r w:rsidRPr="00590648">
        <w:tab/>
      </w:r>
      <w:bookmarkStart w:id="5" w:name="_Hlt10795766"/>
      <w:r w:rsidRPr="00590648">
        <w:t>31</w:t>
      </w:r>
      <w:bookmarkEnd w:id="5"/>
    </w:p>
    <w:p w:rsidR="00DD69FA" w:rsidRPr="00590648" w:rsidRDefault="00DD69FA">
      <w:pPr>
        <w:pStyle w:val="Innehll1"/>
      </w:pPr>
      <w:r w:rsidRPr="00590648">
        <w:t>5. Utbildningsutskottets yttrande 2001/02:UbU3y</w:t>
      </w:r>
      <w:r w:rsidRPr="00590648">
        <w:tab/>
        <w:t>42</w:t>
      </w:r>
    </w:p>
    <w:p w:rsidR="00DD69FA" w:rsidRPr="00590648" w:rsidRDefault="00DD69FA">
      <w:pPr>
        <w:pStyle w:val="Innehll3"/>
        <w:ind w:left="0" w:firstLine="0"/>
      </w:pPr>
    </w:p>
    <w:p w:rsidR="00DD69FA" w:rsidRPr="00590648" w:rsidRDefault="00DD69FA">
      <w:pPr>
        <w:sectPr w:rsidR="00000000" w:rsidRPr="005906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D69FA" w:rsidRPr="00590648" w:rsidRDefault="00DD69FA">
      <w:pPr>
        <w:pStyle w:val="Rubrik1"/>
        <w:rPr>
          <w:noProof w:val="0"/>
        </w:rPr>
      </w:pPr>
      <w:bookmarkStart w:id="6" w:name="_Toc10795484"/>
      <w:r w:rsidRPr="00590648">
        <w:rPr>
          <w:noProof w:val="0"/>
        </w:rPr>
        <w:t>Utskottets förslag till riksdagsbeslut</w:t>
      </w:r>
      <w:bookmarkEnd w:id="6"/>
    </w:p>
    <w:p w:rsidR="00DD69FA" w:rsidRPr="00590648" w:rsidRDefault="00DD69FA">
      <w:pPr>
        <w:spacing w:before="0"/>
      </w:pPr>
      <w:r w:rsidRPr="00590648">
        <w:t>Med hänvisning till de motiveringar som framförs under rubriken Utskottets överväganden föreslår utskottet att riksdagen fattar följande beslut:</w:t>
      </w:r>
    </w:p>
    <w:p w:rsidR="00DD69FA" w:rsidRPr="00590648" w:rsidRDefault="00DD69FA">
      <w:pPr>
        <w:pStyle w:val="Frslagspunkt"/>
        <w:rPr>
          <w:noProof w:val="0"/>
        </w:rPr>
      </w:pPr>
      <w:r w:rsidRPr="00590648">
        <w:rPr>
          <w:noProof w:val="0"/>
        </w:rPr>
        <w:t>1.</w:t>
      </w:r>
      <w:r w:rsidRPr="00590648">
        <w:rPr>
          <w:noProof w:val="0"/>
        </w:rPr>
        <w:tab/>
        <w:t>Skrivelsen om utvecklingen inom den kommunala sektorn</w:t>
      </w:r>
    </w:p>
    <w:p w:rsidR="00DD69FA" w:rsidRPr="00590648" w:rsidRDefault="00DD69FA">
      <w:pPr>
        <w:pStyle w:val="Frslagstext"/>
      </w:pPr>
      <w:r w:rsidRPr="00590648">
        <w:t>Riksdagen lägger regeringens skrivelse 2001/02:102 till handlingarna.</w:t>
      </w:r>
      <w:bookmarkStart w:id="7" w:name="RESPARTI001"/>
      <w:bookmarkEnd w:id="7"/>
    </w:p>
    <w:p w:rsidR="00DD69FA" w:rsidRPr="00590648" w:rsidRDefault="00DD69FA">
      <w:pPr>
        <w:pStyle w:val="Frslagspunkt"/>
        <w:rPr>
          <w:noProof w:val="0"/>
        </w:rPr>
      </w:pPr>
      <w:r w:rsidRPr="00590648">
        <w:rPr>
          <w:noProof w:val="0"/>
        </w:rPr>
        <w:t>2.</w:t>
      </w:r>
      <w:r w:rsidRPr="00590648">
        <w:rPr>
          <w:noProof w:val="0"/>
        </w:rPr>
        <w:tab/>
        <w:t>Förändringar av utjämningssystemet 2002</w:t>
      </w:r>
    </w:p>
    <w:p w:rsidR="00DD69FA" w:rsidRPr="00590648" w:rsidRDefault="00DD69FA">
      <w:pPr>
        <w:pStyle w:val="Frslagstext"/>
      </w:pPr>
      <w:r w:rsidRPr="00590648">
        <w:t>Riksdagen avslår motionerna</w:t>
      </w:r>
    </w:p>
    <w:p w:rsidR="00DD69FA" w:rsidRPr="00590648" w:rsidRDefault="00DD69FA">
      <w:pPr>
        <w:pStyle w:val="Frslagstext"/>
      </w:pPr>
      <w:r w:rsidRPr="00590648">
        <w:t>2001/02:Fi42 av Bo Lundgren m.fl. (m) yrkande 16 samt</w:t>
      </w:r>
    </w:p>
    <w:p w:rsidR="00DD69FA" w:rsidRPr="00590648" w:rsidRDefault="00DD69FA">
      <w:pPr>
        <w:pStyle w:val="Frslagstext"/>
      </w:pPr>
      <w:r w:rsidRPr="00590648">
        <w:t>2001/02:Fi45 av Gunnar Hökmark m.fl. (m) yrkande 4.</w:t>
      </w:r>
    </w:p>
    <w:p w:rsidR="00DD69FA" w:rsidRPr="00590648" w:rsidRDefault="00DD69FA">
      <w:pPr>
        <w:pStyle w:val="Reservationshnvisning"/>
      </w:pPr>
      <w:r w:rsidRPr="00590648">
        <w:t>Reservation 1 (m)</w:t>
      </w:r>
    </w:p>
    <w:p w:rsidR="00DD69FA" w:rsidRPr="00590648" w:rsidRDefault="00DD69FA">
      <w:pPr>
        <w:pStyle w:val="Frslagspunkt"/>
        <w:rPr>
          <w:noProof w:val="0"/>
        </w:rPr>
      </w:pPr>
      <w:r w:rsidRPr="00590648">
        <w:rPr>
          <w:noProof w:val="0"/>
        </w:rPr>
        <w:t>3.</w:t>
      </w:r>
      <w:r w:rsidRPr="00590648">
        <w:rPr>
          <w:noProof w:val="0"/>
        </w:rPr>
        <w:tab/>
        <w:t>Kommunala bolag</w:t>
      </w:r>
    </w:p>
    <w:p w:rsidR="00DD69FA" w:rsidRPr="00590648" w:rsidRDefault="00DD69FA">
      <w:pPr>
        <w:pStyle w:val="Frslagstext"/>
      </w:pPr>
      <w:r w:rsidRPr="00590648">
        <w:t>Riksdagen avslår motion</w:t>
      </w:r>
    </w:p>
    <w:p w:rsidR="00DD69FA" w:rsidRPr="00590648" w:rsidRDefault="00DD69FA">
      <w:pPr>
        <w:pStyle w:val="Frslagstext"/>
      </w:pPr>
      <w:r w:rsidRPr="00590648">
        <w:t>2001/02:Fi48 av Karin Pilsäter m.fl. (fp) yrkande 6.</w:t>
      </w:r>
    </w:p>
    <w:p w:rsidR="00DD69FA" w:rsidRPr="00590648" w:rsidRDefault="00DD69FA">
      <w:pPr>
        <w:pStyle w:val="Reservationshnvisning"/>
      </w:pPr>
      <w:r w:rsidRPr="00590648">
        <w:t>Reservation 2 (m, fp)</w:t>
      </w:r>
      <w:bookmarkStart w:id="8" w:name="RESPARTI003"/>
      <w:bookmarkEnd w:id="8"/>
    </w:p>
    <w:p w:rsidR="00DD69FA" w:rsidRPr="00590648" w:rsidRDefault="00DD69FA">
      <w:pPr>
        <w:pStyle w:val="Frslagspunkt"/>
        <w:rPr>
          <w:noProof w:val="0"/>
        </w:rPr>
      </w:pPr>
      <w:r w:rsidRPr="00590648">
        <w:rPr>
          <w:noProof w:val="0"/>
        </w:rPr>
        <w:t>4.</w:t>
      </w:r>
      <w:r w:rsidRPr="00590648">
        <w:rPr>
          <w:noProof w:val="0"/>
        </w:rPr>
        <w:tab/>
        <w:t>Statistik om sjukvårdens produktivitet</w:t>
      </w:r>
    </w:p>
    <w:p w:rsidR="00DD69FA" w:rsidRPr="00590648" w:rsidRDefault="00DD69FA">
      <w:pPr>
        <w:pStyle w:val="Frslagstext"/>
      </w:pPr>
      <w:r w:rsidRPr="00590648">
        <w:t>Riksdagen avslår motion</w:t>
      </w:r>
    </w:p>
    <w:p w:rsidR="00DD69FA" w:rsidRPr="00590648" w:rsidRDefault="00DD69FA">
      <w:pPr>
        <w:pStyle w:val="Frslagstext"/>
      </w:pPr>
      <w:r w:rsidRPr="00590648">
        <w:t>2001/02:Fi48 av Karin Pilsäter m.fl. (fp) yrkande 7.</w:t>
      </w:r>
    </w:p>
    <w:p w:rsidR="00DD69FA" w:rsidRPr="00590648" w:rsidRDefault="00DD69FA">
      <w:pPr>
        <w:pStyle w:val="Reservationshnvisning"/>
      </w:pPr>
      <w:r w:rsidRPr="00590648">
        <w:t>Reservation 3 (m, kd, fp)</w:t>
      </w:r>
      <w:bookmarkStart w:id="9" w:name="RESPARTI004"/>
      <w:bookmarkEnd w:id="9"/>
    </w:p>
    <w:p w:rsidR="00DD69FA" w:rsidRPr="00590648" w:rsidRDefault="00DD69FA">
      <w:pPr>
        <w:pStyle w:val="Frslagspunkt"/>
        <w:rPr>
          <w:noProof w:val="0"/>
        </w:rPr>
      </w:pPr>
      <w:r w:rsidRPr="00590648">
        <w:rPr>
          <w:noProof w:val="0"/>
        </w:rPr>
        <w:t>5.</w:t>
      </w:r>
      <w:r w:rsidRPr="00590648">
        <w:rPr>
          <w:noProof w:val="0"/>
        </w:rPr>
        <w:tab/>
        <w:t>Kommunernas miljöarbete</w:t>
      </w:r>
    </w:p>
    <w:p w:rsidR="00DD69FA" w:rsidRPr="00590648" w:rsidRDefault="00DD69FA">
      <w:pPr>
        <w:pStyle w:val="Frslagstext"/>
      </w:pPr>
      <w:r w:rsidRPr="00590648">
        <w:t>Riksdagen avslår motion</w:t>
      </w:r>
    </w:p>
    <w:p w:rsidR="00DD69FA" w:rsidRPr="00590648" w:rsidRDefault="00DD69FA">
      <w:pPr>
        <w:pStyle w:val="Frslagstext"/>
      </w:pPr>
      <w:r w:rsidRPr="00590648">
        <w:t>2001/02:Fi48 av Karin Pilsäter m.fl. (fp) yrkande 11.</w:t>
      </w:r>
    </w:p>
    <w:p w:rsidR="00DD69FA" w:rsidRPr="00590648" w:rsidRDefault="00DD69FA">
      <w:pPr>
        <w:pStyle w:val="Reservationshnvisning"/>
      </w:pPr>
      <w:r w:rsidRPr="00590648">
        <w:t>Reservation 4 (fp)</w:t>
      </w:r>
      <w:bookmarkStart w:id="10" w:name="RESPARTI005"/>
      <w:bookmarkEnd w:id="10"/>
    </w:p>
    <w:p w:rsidR="00DD69FA" w:rsidRPr="00590648" w:rsidRDefault="00DD69FA">
      <w:pPr>
        <w:pStyle w:val="Frslagspunkt"/>
        <w:rPr>
          <w:noProof w:val="0"/>
        </w:rPr>
      </w:pPr>
      <w:r w:rsidRPr="00590648">
        <w:rPr>
          <w:noProof w:val="0"/>
        </w:rPr>
        <w:t>6.</w:t>
      </w:r>
      <w:r w:rsidRPr="00590648">
        <w:rPr>
          <w:noProof w:val="0"/>
        </w:rPr>
        <w:tab/>
        <w:t>Tidigare behandlade motionsyrkanden vad avser skolan</w:t>
      </w:r>
    </w:p>
    <w:p w:rsidR="00DD69FA" w:rsidRPr="00590648" w:rsidRDefault="00DD69FA">
      <w:pPr>
        <w:pStyle w:val="Frslagstext"/>
      </w:pPr>
      <w:r w:rsidRPr="00590648">
        <w:t>Riksdagen avslår motion</w:t>
      </w:r>
    </w:p>
    <w:p w:rsidR="00DD69FA" w:rsidRPr="00590648" w:rsidRDefault="00DD69FA">
      <w:pPr>
        <w:pStyle w:val="Frslagstext"/>
      </w:pPr>
      <w:r w:rsidRPr="00590648">
        <w:t xml:space="preserve">2001/02:Fi48 av Karin Pilsäter m.fl. (fp) yrkande 3. </w:t>
      </w:r>
    </w:p>
    <w:p w:rsidR="00DD69FA" w:rsidRPr="00590648" w:rsidRDefault="00DD69FA">
      <w:pPr>
        <w:pStyle w:val="Reservationshnvisning"/>
      </w:pPr>
      <w:r w:rsidRPr="00590648">
        <w:t>Reservation 5 (fp)</w:t>
      </w:r>
      <w:bookmarkStart w:id="11" w:name="RESPARTI006"/>
      <w:bookmarkEnd w:id="11"/>
    </w:p>
    <w:p w:rsidR="00DD69FA" w:rsidRPr="00590648" w:rsidRDefault="00DD69FA">
      <w:pPr>
        <w:pStyle w:val="Frslagspunkt"/>
        <w:rPr>
          <w:noProof w:val="0"/>
        </w:rPr>
      </w:pPr>
      <w:r w:rsidRPr="00590648">
        <w:rPr>
          <w:noProof w:val="0"/>
        </w:rPr>
        <w:t>7.</w:t>
      </w:r>
      <w:r w:rsidRPr="00590648">
        <w:rPr>
          <w:noProof w:val="0"/>
        </w:rPr>
        <w:tab/>
        <w:t>Tidigare behandlade motionsyrkanden i övrigt</w:t>
      </w:r>
    </w:p>
    <w:p w:rsidR="00DD69FA" w:rsidRPr="00590648" w:rsidRDefault="00DD69FA">
      <w:pPr>
        <w:pStyle w:val="Frslagstext"/>
      </w:pPr>
      <w:r w:rsidRPr="00590648">
        <w:t>Riksdagen avslår motionerna</w:t>
      </w:r>
    </w:p>
    <w:p w:rsidR="00DD69FA" w:rsidRPr="00590648" w:rsidRDefault="00DD69FA">
      <w:pPr>
        <w:pStyle w:val="Frslagstext"/>
      </w:pPr>
      <w:r w:rsidRPr="00590648">
        <w:t>2001/02:Fi45 av Gunnar Hökmark m.fl. (m) yrkandena 1–3 och 5–12,</w:t>
      </w:r>
    </w:p>
    <w:p w:rsidR="00DD69FA" w:rsidRPr="00590648" w:rsidRDefault="00DD69FA">
      <w:pPr>
        <w:pStyle w:val="Frslagstext"/>
      </w:pPr>
      <w:r w:rsidRPr="00590648">
        <w:t>2001/02:Fi46 av Per Landgren m.fl. (kd),</w:t>
      </w:r>
    </w:p>
    <w:p w:rsidR="00DD69FA" w:rsidRPr="00590648" w:rsidRDefault="00DD69FA">
      <w:pPr>
        <w:pStyle w:val="Frslagstext"/>
      </w:pPr>
      <w:r w:rsidRPr="00590648">
        <w:t>2001/02:Fi47 av Rolf Kenneryd m.fl. (c) samt</w:t>
      </w:r>
    </w:p>
    <w:p w:rsidR="00DD69FA" w:rsidRPr="00590648" w:rsidRDefault="00DD69FA">
      <w:pPr>
        <w:pStyle w:val="Frslagstext"/>
      </w:pPr>
      <w:r w:rsidRPr="00590648">
        <w:t xml:space="preserve">2001/02:Fi48 av Karin Pilsäter m.fl. (fp) yrkandena 1, 2, 4, 5 samt 8–10.       </w:t>
      </w:r>
    </w:p>
    <w:p w:rsidR="00DD69FA" w:rsidRPr="00590648" w:rsidRDefault="00DD69FA">
      <w:pPr>
        <w:pStyle w:val="Reservationshnvisning"/>
      </w:pPr>
      <w:r w:rsidRPr="00590648">
        <w:t>Reservation 6 (m)</w:t>
      </w:r>
    </w:p>
    <w:p w:rsidR="00DD69FA" w:rsidRPr="00590648" w:rsidRDefault="00DD69FA">
      <w:pPr>
        <w:pStyle w:val="Reservationshnvisning"/>
      </w:pPr>
      <w:r w:rsidRPr="00590648">
        <w:t>Reservation 7 (kd)</w:t>
      </w:r>
    </w:p>
    <w:p w:rsidR="00DD69FA" w:rsidRPr="00590648" w:rsidRDefault="00DD69FA">
      <w:pPr>
        <w:pStyle w:val="Reservationshnvisning"/>
      </w:pPr>
      <w:r w:rsidRPr="00590648">
        <w:t>Reservation 8 (c)</w:t>
      </w:r>
    </w:p>
    <w:p w:rsidR="00DD69FA" w:rsidRPr="00590648" w:rsidRDefault="00DD69FA">
      <w:pPr>
        <w:pStyle w:val="Reservationshnvisning"/>
      </w:pPr>
      <w:r w:rsidRPr="00590648">
        <w:t>Reservation 9 (fp)</w:t>
      </w:r>
      <w:bookmarkStart w:id="12" w:name="RESPARTI007"/>
      <w:bookmarkEnd w:id="12"/>
    </w:p>
    <w:p w:rsidR="00DD69FA" w:rsidRPr="00590648" w:rsidRDefault="00DD69FA">
      <w:pPr>
        <w:pStyle w:val="Normaltindrag"/>
        <w:ind w:firstLine="0"/>
      </w:pPr>
      <w:bookmarkStart w:id="13" w:name="RESPARTI018"/>
      <w:bookmarkStart w:id="14" w:name="Nästa_Hpunkt"/>
      <w:bookmarkEnd w:id="13"/>
      <w:bookmarkEnd w:id="14"/>
    </w:p>
    <w:p w:rsidR="00DD69FA" w:rsidRPr="00590648" w:rsidRDefault="00DD69FA">
      <w:pPr>
        <w:pStyle w:val="Utskriftsdatum"/>
      </w:pPr>
      <w:r w:rsidRPr="00590648">
        <w:t>Stockholm den 30 maj 2002</w:t>
      </w:r>
    </w:p>
    <w:p w:rsidR="00DD69FA" w:rsidRPr="00590648" w:rsidRDefault="00DD69FA">
      <w:r w:rsidRPr="00590648">
        <w:t>På finansutskottets vägnar</w:t>
      </w:r>
    </w:p>
    <w:p w:rsidR="00DD69FA" w:rsidRPr="00590648" w:rsidRDefault="00DD69FA">
      <w:pPr>
        <w:pStyle w:val="Ordfranden"/>
        <w:rPr>
          <w:noProof w:val="0"/>
        </w:rPr>
      </w:pPr>
      <w:bookmarkStart w:id="15" w:name="Ordförande"/>
      <w:bookmarkEnd w:id="15"/>
      <w:r w:rsidRPr="00590648">
        <w:rPr>
          <w:noProof w:val="0"/>
        </w:rPr>
        <w:t xml:space="preserve">Jan Bergqvist </w:t>
      </w:r>
    </w:p>
    <w:p w:rsidR="00DD69FA" w:rsidRPr="00590648" w:rsidRDefault="00DD69FA">
      <w:pPr>
        <w:pStyle w:val="Deltagare"/>
        <w:rPr>
          <w:noProof w:val="0"/>
        </w:rPr>
      </w:pPr>
      <w:bookmarkStart w:id="16" w:name="Deltagare"/>
      <w:bookmarkEnd w:id="16"/>
      <w:r w:rsidRPr="00590648">
        <w:rPr>
          <w:noProof w:val="0"/>
        </w:rPr>
        <w:t>Följande ledamöter har deltagit i beslutet: Jan Bergqvist (s), Mats Odell (kd), Gunnar Hökmark (m), Bengt Silfverstrand (s), Johan Lönnroth (v), Lennart Hedquist (m), Sonia Karlsson (s), Anna Åkerhielm (m), Carin Lundberg (s), Siv Holma (v), Per Landgren (kd), Gunnar Axén (m), Yvonne Ruwaida (mp), Lena Ek (c), Karin Pilsäter (fp), Tommy Waidelich (s) och Hans Hoff (s).</w:t>
      </w:r>
    </w:p>
    <w:p w:rsidR="00DD69FA" w:rsidRPr="00590648" w:rsidRDefault="00DD69FA">
      <w:pPr>
        <w:pStyle w:val="Normaltindrag"/>
      </w:pPr>
    </w:p>
    <w:p w:rsidR="00DD69FA" w:rsidRPr="00590648" w:rsidRDefault="00DD69FA">
      <w:pPr>
        <w:pStyle w:val="Normaltindrag"/>
        <w:sectPr w:rsidR="00000000" w:rsidRPr="005906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D69FA" w:rsidRPr="00590648" w:rsidRDefault="00DD69FA">
      <w:pPr>
        <w:pStyle w:val="Rubrik1"/>
        <w:rPr>
          <w:noProof w:val="0"/>
        </w:rPr>
      </w:pPr>
      <w:bookmarkStart w:id="17" w:name="_Toc10795485"/>
      <w:r w:rsidRPr="00590648">
        <w:rPr>
          <w:noProof w:val="0"/>
        </w:rPr>
        <w:t>Redogörelse för ärendet</w:t>
      </w:r>
      <w:bookmarkEnd w:id="17"/>
    </w:p>
    <w:p w:rsidR="00DD69FA" w:rsidRPr="00590648" w:rsidRDefault="00DD69FA">
      <w:pPr>
        <w:pStyle w:val="Rubrik2"/>
        <w:spacing w:before="0"/>
      </w:pPr>
      <w:bookmarkStart w:id="18" w:name="_Toc10795486"/>
      <w:r w:rsidRPr="00590648">
        <w:t>Ärendet och dess beredning</w:t>
      </w:r>
      <w:bookmarkEnd w:id="18"/>
    </w:p>
    <w:p w:rsidR="00DD69FA" w:rsidRPr="00590648" w:rsidRDefault="00DD69FA">
      <w:r w:rsidRPr="00590648">
        <w:t>I detta betänkande behandlar utskottet</w:t>
      </w:r>
    </w:p>
    <w:p w:rsidR="00DD69FA" w:rsidRPr="00590648" w:rsidRDefault="00DD69FA">
      <w:r w:rsidRPr="00590648">
        <w:rPr>
          <w:i/>
        </w:rPr>
        <w:t>dels</w:t>
      </w:r>
      <w:r w:rsidRPr="00590648">
        <w:t xml:space="preserve"> skrivelse 2001/02:102 Utvecklingen inom den kommunala sektorn,</w:t>
      </w:r>
    </w:p>
    <w:p w:rsidR="00DD69FA" w:rsidRPr="00590648" w:rsidRDefault="00DD69FA">
      <w:pPr>
        <w:rPr>
          <w:i/>
        </w:rPr>
      </w:pPr>
      <w:r w:rsidRPr="00590648">
        <w:rPr>
          <w:i/>
        </w:rPr>
        <w:t>dels</w:t>
      </w:r>
      <w:r w:rsidRPr="00590648">
        <w:t xml:space="preserve"> de motioner som väckts med anledning av ärendet enligt förteckningen i </w:t>
      </w:r>
      <w:r w:rsidRPr="00590648">
        <w:rPr>
          <w:i/>
        </w:rPr>
        <w:t>bilaga 1 och</w:t>
      </w:r>
    </w:p>
    <w:p w:rsidR="00DD69FA" w:rsidRPr="00590648" w:rsidRDefault="00DD69FA">
      <w:r w:rsidRPr="00590648">
        <w:rPr>
          <w:i/>
        </w:rPr>
        <w:t>dels ett</w:t>
      </w:r>
      <w:r w:rsidRPr="00590648">
        <w:t xml:space="preserve"> motionsyrkande om utjämningssystemet som väckts med anledning av proposition 2001/02:100 2002 års ekonomiska vårproposition enligt </w:t>
      </w:r>
      <w:r w:rsidRPr="00590648">
        <w:rPr>
          <w:i/>
        </w:rPr>
        <w:t>bila-ga 1</w:t>
      </w:r>
      <w:r w:rsidRPr="00590648">
        <w:t>.</w:t>
      </w:r>
    </w:p>
    <w:p w:rsidR="00DD69FA" w:rsidRPr="00590648" w:rsidRDefault="00DD69FA">
      <w:pPr>
        <w:pStyle w:val="R3"/>
      </w:pPr>
      <w:r w:rsidRPr="00590648">
        <w:t>Yttranden från andra utskott</w:t>
      </w:r>
    </w:p>
    <w:p w:rsidR="00DD69FA" w:rsidRPr="00590648" w:rsidRDefault="00DD69FA">
      <w:r w:rsidRPr="00590648">
        <w:t xml:space="preserve">Yttranden över skrivelsen samt motioner i de delar som berör respektive utskotts beredningsområde har inkommit från </w:t>
      </w:r>
    </w:p>
    <w:p w:rsidR="00DD69FA" w:rsidRPr="00590648" w:rsidRDefault="00DD69FA">
      <w:pPr>
        <w:pStyle w:val="Normaltindrag"/>
        <w:ind w:firstLine="0"/>
      </w:pPr>
      <w:r w:rsidRPr="00590648">
        <w:t>– konstitutionsutskottet (protokoll 2001/02:42, 14 §)</w:t>
      </w:r>
    </w:p>
    <w:p w:rsidR="00DD69FA" w:rsidRPr="00590648" w:rsidRDefault="00DD69FA">
      <w:pPr>
        <w:pStyle w:val="Reservantfrslag"/>
      </w:pPr>
      <w:r w:rsidRPr="00590648">
        <w:t>– socialförsäkringsutskottet (protokoll 2001/02:38, 4 §)</w:t>
      </w:r>
    </w:p>
    <w:p w:rsidR="00DD69FA" w:rsidRPr="00590648" w:rsidRDefault="00DD69FA">
      <w:pPr>
        <w:pStyle w:val="Reservantfrslag"/>
      </w:pPr>
      <w:r w:rsidRPr="00590648">
        <w:t>– socialutskottet (2001/02:SoU6y),</w:t>
      </w:r>
    </w:p>
    <w:p w:rsidR="00DD69FA" w:rsidRPr="00590648" w:rsidRDefault="00DD69FA">
      <w:pPr>
        <w:spacing w:before="0"/>
      </w:pPr>
      <w:r w:rsidRPr="00590648">
        <w:t>– utbildningsutskottet (2001/02:UbU3y).</w:t>
      </w:r>
    </w:p>
    <w:p w:rsidR="00DD69FA" w:rsidRPr="00590648" w:rsidRDefault="00DD69FA">
      <w:r w:rsidRPr="00590648">
        <w:t xml:space="preserve">Yttrandena återfinns i </w:t>
      </w:r>
      <w:r w:rsidRPr="00590648">
        <w:rPr>
          <w:i/>
        </w:rPr>
        <w:t>bilagorna 2–5</w:t>
      </w:r>
      <w:r w:rsidRPr="00590648">
        <w:t>.</w:t>
      </w:r>
    </w:p>
    <w:p w:rsidR="00DD69FA" w:rsidRPr="00590648" w:rsidRDefault="00DD69FA">
      <w:r w:rsidRPr="00590648">
        <w:t>Bostadsutskottet har avstått från att yttra sig.</w:t>
      </w:r>
    </w:p>
    <w:p w:rsidR="00DD69FA" w:rsidRPr="00590648" w:rsidRDefault="00DD69FA"/>
    <w:p w:rsidR="00DD69FA" w:rsidRPr="00590648" w:rsidRDefault="00DD69FA">
      <w:pPr>
        <w:pStyle w:val="Normaltindrag"/>
        <w:sectPr w:rsidR="00000000" w:rsidRPr="005906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D69FA" w:rsidRPr="00590648" w:rsidRDefault="00DD69FA">
      <w:pPr>
        <w:pStyle w:val="Rubrik1"/>
        <w:rPr>
          <w:noProof w:val="0"/>
        </w:rPr>
      </w:pPr>
      <w:bookmarkStart w:id="19" w:name="_Toc10795487"/>
      <w:r w:rsidRPr="00590648">
        <w:rPr>
          <w:noProof w:val="0"/>
        </w:rPr>
        <w:t>Utskottets överväganden</w:t>
      </w:r>
      <w:bookmarkEnd w:id="19"/>
    </w:p>
    <w:p w:rsidR="00DD69FA" w:rsidRPr="00590648" w:rsidRDefault="00DD69FA">
      <w:r w:rsidRPr="00590648">
        <w:t>I betänkandet behandlas 4 motioner som väckts med anledning av skrivelsen. I avsnitt 1 behandlas i huvudsak sådana yrkanden som tar upp frågor som diskuteras i skrivelsen eller inte har behandlats av riksdagen under innevara</w:t>
      </w:r>
      <w:r w:rsidRPr="00590648">
        <w:t>n</w:t>
      </w:r>
      <w:r w:rsidRPr="00590648">
        <w:t>de riksdagsår. Andra motionsyrkanden är identiska eller överensstämmer till stor del med yrkanden som behandlats under detta riksdagsår. Dessa yrkanden behandlas gemensamt under en och samma beslutspunkt i avsnitt 2.</w:t>
      </w:r>
    </w:p>
    <w:p w:rsidR="00DD69FA" w:rsidRPr="00590648" w:rsidRDefault="00DD69FA">
      <w:pPr>
        <w:pStyle w:val="Rubrik1b"/>
      </w:pPr>
      <w:bookmarkStart w:id="20" w:name="_Toc516455883"/>
      <w:bookmarkStart w:id="21" w:name="_Toc10795488"/>
      <w:r w:rsidRPr="00590648">
        <w:t>1 Yrkanden som behandlas i anslutning till skrivelsen</w:t>
      </w:r>
      <w:bookmarkEnd w:id="20"/>
      <w:bookmarkEnd w:id="21"/>
    </w:p>
    <w:p w:rsidR="00DD69FA" w:rsidRPr="00590648" w:rsidRDefault="00DD69FA">
      <w:pPr>
        <w:pStyle w:val="Rubrik2"/>
        <w:spacing w:before="375"/>
      </w:pPr>
      <w:bookmarkStart w:id="22" w:name="_Toc10795489"/>
      <w:r w:rsidRPr="00590648">
        <w:t>1.1 Skrivelsen om utvecklingen inom den kommunala sektorn</w:t>
      </w:r>
      <w:bookmarkEnd w:id="22"/>
    </w:p>
    <w:p w:rsidR="00DD69FA" w:rsidRPr="00590648" w:rsidRDefault="00DD69FA">
      <w:pPr>
        <w:pStyle w:val="R4"/>
      </w:pPr>
      <w:r w:rsidRPr="00590648">
        <w:t>Skrivelsen</w:t>
      </w:r>
    </w:p>
    <w:p w:rsidR="00DD69FA" w:rsidRPr="00590648" w:rsidRDefault="00DD69FA">
      <w:r w:rsidRPr="00590648">
        <w:t>Riksdagen har vid flera tillfällen uttalat sig om betydelsen av en väl fung</w:t>
      </w:r>
      <w:r w:rsidRPr="00590648">
        <w:t>e</w:t>
      </w:r>
      <w:r w:rsidRPr="00590648">
        <w:t xml:space="preserve">rande uppföljning av den kommunala sektorn. Regeringens årliga skrivelse, Utvecklingen inom den kommunala sektorn, utgör med sin övergripande redovisning av läget i kommunsektorn ett viktigt inslag i återrapporteringen av resultatinformation till riksdagen. </w:t>
      </w:r>
    </w:p>
    <w:p w:rsidR="00DD69FA" w:rsidRPr="00590648" w:rsidRDefault="00DD69FA">
      <w:pPr>
        <w:pStyle w:val="Normaltindrag"/>
      </w:pPr>
      <w:r w:rsidRPr="00590648">
        <w:t>Kommunernas ekonomiska resultat för 2001 uppgår enligt preliminära uppgifter till 11,5 miljarder kronor, vilket är en förbättring med 2,8 miljarder kronor sedan år 2000. Räknas de extraordinära posterna bort uppgår resultatet till 3,8 miljarder kronor.</w:t>
      </w:r>
      <w:r w:rsidRPr="00590648">
        <w:t xml:space="preserve"> Detta är mindre än året innan och innebär att den positiva resultatutvecklingen som pågått sedan 1996 bröts år 2001. De kraft</w:t>
      </w:r>
      <w:r w:rsidRPr="00590648">
        <w:t>i</w:t>
      </w:r>
      <w:r w:rsidRPr="00590648">
        <w:t>ga kostnadsökningarna 2001 medförde att resultatet för kommunerna försä</w:t>
      </w:r>
      <w:r w:rsidRPr="00590648">
        <w:t>m</w:t>
      </w:r>
      <w:r w:rsidRPr="00590648">
        <w:t xml:space="preserve">rades trots en gynnsam intäktsutveckling. Nettokostnaderna ökade med ca 15 miljarder kronor per år under perioden 1998–2000 men med hela 26 miljarder kronor 2001. Det är framför allt inom utbildningsområdet och inom äldre- och handikappomsorgen som kostnaderna ökat. </w:t>
      </w:r>
    </w:p>
    <w:p w:rsidR="00DD69FA" w:rsidRPr="00590648" w:rsidRDefault="00DD69FA">
      <w:pPr>
        <w:pStyle w:val="Normaltindrag"/>
      </w:pPr>
      <w:r w:rsidRPr="00590648">
        <w:t>En analys av skillnaderna mellan olika kommun</w:t>
      </w:r>
      <w:r w:rsidRPr="00590648">
        <w:t>grupper visar att de större kommunerna sammantaget har bättre resultat och att de mindre kommunerna, framför allt i glesbygden, har sämre resultat. Det tycks inte finnas något ty</w:t>
      </w:r>
      <w:r w:rsidRPr="00590648">
        <w:t>d</w:t>
      </w:r>
      <w:r w:rsidRPr="00590648">
        <w:t>ligt samband mellan befolkningsförändring och resultat, även om kommuner med befolkningsökning visar ett något bättre resultat än de med minskande befolkning. Enligt Svenska Kommunförbundets rapport från 2001, Växa och krympa, är sambandet svagt mellan befolkningsförändring och ekonomiskt resultat trots att både minskande och ökand</w:t>
      </w:r>
      <w:r w:rsidRPr="00590648">
        <w:t>e befolkning leder till högre kos</w:t>
      </w:r>
      <w:r w:rsidRPr="00590648">
        <w:t>t</w:t>
      </w:r>
      <w:r w:rsidRPr="00590648">
        <w:t>nader.</w:t>
      </w:r>
    </w:p>
    <w:p w:rsidR="00DD69FA" w:rsidRPr="00590648" w:rsidRDefault="00DD69FA">
      <w:pPr>
        <w:pStyle w:val="Normaltindrag"/>
      </w:pPr>
      <w:r w:rsidRPr="00590648">
        <w:t>Landstingen uppvisade ett underskott efter extraordinära poster på 3,4 miljarder kronor 2001, vilket är ett något mindre underskott än året innan. Antalet landsting med underskott har minskat, men i de landsting som uppv</w:t>
      </w:r>
      <w:r w:rsidRPr="00590648">
        <w:t>i</w:t>
      </w:r>
      <w:r w:rsidRPr="00590648">
        <w:t xml:space="preserve">sar underskott har dessa ökat mätt i kronor per invånare. Underskotten i Stockholm och Skåne motsvarar tillsammans nästan hela landstingssektorns underskott 2001. Kostnaderna har ökat kraftigast inom primärvården, men även kostnaderna för läkemedel har ökat betydligt. Nettokostnaderna för tandvård har dock legat i det närmaste stilla sedan 1995. </w:t>
      </w:r>
    </w:p>
    <w:p w:rsidR="00DD69FA" w:rsidRPr="00590648" w:rsidRDefault="00DD69FA">
      <w:pPr>
        <w:pStyle w:val="Normaltindrag"/>
      </w:pPr>
      <w:r w:rsidRPr="00590648">
        <w:t>Antalet anställda i kommuner och landsting inklusive timavlönade var år 2000 drygt 1 miljon personer, varav tre fjärdedelar i kommunerna. Omräknat till årsa</w:t>
      </w:r>
      <w:r w:rsidRPr="00590648">
        <w:t>r</w:t>
      </w:r>
      <w:r w:rsidRPr="00590648">
        <w:t xml:space="preserve">betare är antalet anställda 822 000. </w:t>
      </w:r>
    </w:p>
    <w:p w:rsidR="00DD69FA" w:rsidRPr="00590648" w:rsidRDefault="00DD69FA">
      <w:pPr>
        <w:pStyle w:val="Normaltindrag"/>
      </w:pPr>
      <w:r w:rsidRPr="00590648">
        <w:t>Sedan 2001 redovisar SCB statistik om sjukfrånvaro inom den offentliga sektorn. Av statistiken framgår att kommunerna har den högsta sjukfrånvaron, följda av landstingen. Staten har den lägsta sjukfrånvaron, också lägre än den privata sektorn. En del av den högre sjukfrånvaron i kommuner och landsting kan sannolikt förklaras av att köns- och åldersstrukturen skiljer sig från övriga sektorer.</w:t>
      </w:r>
    </w:p>
    <w:p w:rsidR="00DD69FA" w:rsidRPr="00590648" w:rsidRDefault="00DD69FA">
      <w:pPr>
        <w:pStyle w:val="Normaltindrag"/>
      </w:pPr>
      <w:r w:rsidRPr="00590648">
        <w:t>I skrivelsen görs en analys av utjämningssystemets effekter fördelade på län. Regeringen konstaterar att om man ser till summan av generella statsb</w:t>
      </w:r>
      <w:r w:rsidRPr="00590648">
        <w:t>i</w:t>
      </w:r>
      <w:r w:rsidRPr="00590648">
        <w:t>drag, inkomstutjämning, kostnadsutjämning och införandetillägg är alla län mottagare av bidrag från staten. Stockholms län är det enda som har en ska</w:t>
      </w:r>
      <w:r w:rsidRPr="00590648">
        <w:t>t</w:t>
      </w:r>
      <w:r w:rsidRPr="00590648">
        <w:t>tekraft över riksgenomsnittet och är därför bidragsgivare till inkomstutjä</w:t>
      </w:r>
      <w:r w:rsidRPr="00590648">
        <w:t>m</w:t>
      </w:r>
      <w:r w:rsidRPr="00590648">
        <w:t>ningen. Övriga län tar emot bidrag från inkomstutjämningen även om det finns kommuner med en skattekraft över riksgenomsnittet även i dessa län. De sammantagna inkomsterna för kommuner och landsting, dvs. summan av skatteintäkter, statsbidrag och utjämning varierar från 49 000 till 58 </w:t>
      </w:r>
      <w:r w:rsidRPr="00590648">
        <w:t>000 kr per invånare. Dessa skillnader förklaras främst av skillnader i utdebitering eftersom skillnader i skattekraft i hög grad jämnas ut av den mycket långtg</w:t>
      </w:r>
      <w:r w:rsidRPr="00590648">
        <w:t>å</w:t>
      </w:r>
      <w:r w:rsidRPr="00590648">
        <w:t>ende inkomstutjämningen. Vid samma utdebitering i alla län skulle skilln</w:t>
      </w:r>
      <w:r w:rsidRPr="00590648">
        <w:t>a</w:t>
      </w:r>
      <w:r w:rsidRPr="00590648">
        <w:t>derna i skatteinkomster efter utjämning ligga i intervallet 99–103 % av g</w:t>
      </w:r>
      <w:r w:rsidRPr="00590648">
        <w:t>e</w:t>
      </w:r>
      <w:r w:rsidRPr="00590648">
        <w:t>nomsnittet. Utjämningssystemet är ett av de viktigaste verktygen som staten har för att kommuner och landsting i hela landet skall ges likvärdiga föru</w:t>
      </w:r>
      <w:r w:rsidRPr="00590648">
        <w:t>t</w:t>
      </w:r>
      <w:r w:rsidRPr="00590648">
        <w:t>sättningar att bedriva sin verksamhet, oberoende av in</w:t>
      </w:r>
      <w:r w:rsidRPr="00590648">
        <w:t>vånarnas inkomster och strukturella förhållanden.</w:t>
      </w:r>
    </w:p>
    <w:p w:rsidR="00DD69FA" w:rsidRPr="00590648" w:rsidRDefault="00DD69FA">
      <w:pPr>
        <w:pStyle w:val="Normaltindrag"/>
      </w:pPr>
      <w:r w:rsidRPr="00590648">
        <w:t>Skrivelsen innehåller vid sidan av presentationen av kommunsektorns ekonomi också en genomgång av de olika kommunala verksamheterna. R</w:t>
      </w:r>
      <w:r w:rsidRPr="00590648">
        <w:t>e</w:t>
      </w:r>
      <w:r w:rsidRPr="00590648">
        <w:t>geringen skriver att förhållandena inom hälso- och sjukvården bl.a. känn</w:t>
      </w:r>
      <w:r w:rsidRPr="00590648">
        <w:t>e</w:t>
      </w:r>
      <w:r w:rsidRPr="00590648">
        <w:t xml:space="preserve">tecknas av en god medicinsk kvalitet, men att det finns upplevda brister vad gäller tillgänglighet och svårigheter att rekrytera och behålla personal. </w:t>
      </w:r>
    </w:p>
    <w:p w:rsidR="00DD69FA" w:rsidRPr="00590648" w:rsidRDefault="00DD69FA">
      <w:pPr>
        <w:pStyle w:val="Normaltindrag"/>
      </w:pPr>
      <w:r w:rsidRPr="00590648">
        <w:t>Vad gäller äldreomsorgen skriver regeringen att de ökade resurser som tillkommit under senare år främst har gått till äldre med omfattande vårdb</w:t>
      </w:r>
      <w:r w:rsidRPr="00590648">
        <w:t>e</w:t>
      </w:r>
      <w:r w:rsidRPr="00590648">
        <w:t>hov. Andelen äldre som får hjälp i ordinärt och särskilt boende har varit i stort sett oförändrat de senaste åren. Det råder fortsatt brist på platser inom särski</w:t>
      </w:r>
      <w:r w:rsidRPr="00590648">
        <w:t>l</w:t>
      </w:r>
      <w:r w:rsidRPr="00590648">
        <w:t>da boendeformer vilket, leder till att personer som bedöms ha behov av sä</w:t>
      </w:r>
      <w:r w:rsidRPr="00590648">
        <w:t>r</w:t>
      </w:r>
      <w:r w:rsidRPr="00590648">
        <w:t>skilt boende ändå får avslag på ansökningar om sådant boende. Det finns ett fortsatt stort behov av att rekrytera personal till äldreomsorgen. Det pågår också ett omfattande utvecklingsarbete inom den kommunala äldreomsorgen. Bland annat arbetar många kommuner med att utvec</w:t>
      </w:r>
      <w:r w:rsidRPr="00590648">
        <w:t>kla system för kvalitet</w:t>
      </w:r>
      <w:r w:rsidRPr="00590648">
        <w:t>s</w:t>
      </w:r>
      <w:r w:rsidRPr="00590648">
        <w:t>säkring och kvalitetsutveckling och för att förbättra stödet till anhöriga.</w:t>
      </w:r>
    </w:p>
    <w:p w:rsidR="00DD69FA" w:rsidRPr="00590648" w:rsidRDefault="00DD69FA">
      <w:pPr>
        <w:pStyle w:val="Normaltindrag"/>
      </w:pPr>
      <w:r w:rsidRPr="00590648">
        <w:t>Regeringen konstaterar att det finns brister inom handikappomsorgen. Hälften av kommunerna saknar fortfarande ett handikappolitiskt program trots att regeringen i den nationella handlingsplanen för handikappolitiken anser att arbetet med att skapa ett tillgängligt samhälle bör prioriteras. Län</w:t>
      </w:r>
      <w:r w:rsidRPr="00590648">
        <w:t>s</w:t>
      </w:r>
      <w:r w:rsidRPr="00590648">
        <w:t xml:space="preserve">styrelsernas tillsyn visar vidare att det finns stora brister i kommunernas sätt att sköta handläggningen och dokumentationen av utredningar och beslut som rör enskilda personer. </w:t>
      </w:r>
    </w:p>
    <w:p w:rsidR="00DD69FA" w:rsidRPr="00590648" w:rsidRDefault="00DD69FA">
      <w:pPr>
        <w:pStyle w:val="Normaltindrag"/>
      </w:pPr>
      <w:r w:rsidRPr="00590648">
        <w:t>Kostnaderna för socialbidrag liksom antalet hushåll som får socialbidrag fortsätter att minska, vilket förklaras av det förbättrade läget på arbetsmar</w:t>
      </w:r>
      <w:r w:rsidRPr="00590648">
        <w:t>k</w:t>
      </w:r>
      <w:r w:rsidRPr="00590648">
        <w:t>naden. Antalet biståndshushåll och biståndsmottagare var år 2000 nästan nere på samma nivå som 1991.</w:t>
      </w:r>
    </w:p>
    <w:p w:rsidR="00DD69FA" w:rsidRPr="00590648" w:rsidRDefault="00DD69FA">
      <w:pPr>
        <w:pStyle w:val="Normaltindrag"/>
      </w:pPr>
      <w:r w:rsidRPr="00590648">
        <w:t>Behovstäckningen inom förskolan var god även 2001. Skolverket present</w:t>
      </w:r>
      <w:r w:rsidRPr="00590648">
        <w:t>e</w:t>
      </w:r>
      <w:r w:rsidRPr="00590648">
        <w:t xml:space="preserve">rar i rapporten Plats utan oskäligt dröjsmål att 97 % av kommunerna i maj 2001 kunde erbjuda plats i förskola eller familjedaghem till september samma år utan oskäliga väntetider. Beredskapen att tillhandahålla plats i januari var dock inte lika god. </w:t>
      </w:r>
    </w:p>
    <w:p w:rsidR="00DD69FA" w:rsidRPr="00590648" w:rsidRDefault="00DD69FA">
      <w:pPr>
        <w:pStyle w:val="Normaltindrag"/>
      </w:pPr>
      <w:r w:rsidRPr="00590648">
        <w:t>Andelen elever som gick ut grundskolan våren 2001 med behörighet att läsa ett nationellt program på gymnasiet var densamma som år 2000, ca 90 %. Andelen elever som nått godkänt i alla ämnen sjönk år 2001 till 74 %, från 76 % år 2000 och 77 % år 1999. Av de el</w:t>
      </w:r>
      <w:r w:rsidRPr="00590648">
        <w:t>ever som våren 2001 lämnade år 3 i gymnasieskolan hade 79,1 % slutbetyg, vilket var 3,5 procentenheter mindre än åren innan. Av dem som hade slutbetyg hade dock 84,6 % behörighet för universitets- och högskolestudier, vilket var 4,3 procentenheter mer än år 2000.</w:t>
      </w:r>
    </w:p>
    <w:p w:rsidR="00DD69FA" w:rsidRPr="00590648" w:rsidRDefault="00DD69FA">
      <w:pPr>
        <w:pStyle w:val="R4"/>
      </w:pPr>
      <w:r w:rsidRPr="00590648">
        <w:t>Finansutskottets ställningstagande</w:t>
      </w:r>
    </w:p>
    <w:p w:rsidR="00DD69FA" w:rsidRPr="00590648" w:rsidRDefault="00DD69FA">
      <w:r w:rsidRPr="00590648">
        <w:t>Utskottet vill framhålla att den årliga skrivelsen om utvecklingen inom den kommunala sektorn är ett viktigt inslag i återrapporteringen av resultatinfo</w:t>
      </w:r>
      <w:r w:rsidRPr="00590648">
        <w:t>r</w:t>
      </w:r>
      <w:r w:rsidRPr="00590648">
        <w:t>mation till riksdagen. Skrivelsen ger enligt utskottets uppfattning en bred och fyllig beskrivning av utvecklingen i kommunsektorn och pekar såväl på o</w:t>
      </w:r>
      <w:r w:rsidRPr="00590648">
        <w:t>m</w:t>
      </w:r>
      <w:r w:rsidRPr="00590648">
        <w:t>råden med goda förhållanden i den kommunala verksamheten och ekonomin, som på områden som kräver förbät</w:t>
      </w:r>
      <w:r w:rsidRPr="00590648">
        <w:t>t</w:t>
      </w:r>
      <w:r w:rsidRPr="00590648">
        <w:t xml:space="preserve">ringar. </w:t>
      </w:r>
    </w:p>
    <w:p w:rsidR="00DD69FA" w:rsidRPr="00590648" w:rsidRDefault="00DD69FA">
      <w:pPr>
        <w:pStyle w:val="Normaltindrag"/>
      </w:pPr>
      <w:r w:rsidRPr="00590648">
        <w:t>Utskottet föreslår att riksdagen lägger regeringens skrivelse 2001/02:102 Utvecklingen inom den kommunala sektorn till handlin</w:t>
      </w:r>
      <w:r w:rsidRPr="00590648">
        <w:t>g</w:t>
      </w:r>
      <w:r w:rsidRPr="00590648">
        <w:t>arna.</w:t>
      </w:r>
    </w:p>
    <w:p w:rsidR="00DD69FA" w:rsidRPr="00590648" w:rsidRDefault="00DD69FA">
      <w:pPr>
        <w:pStyle w:val="Rubrik2"/>
      </w:pPr>
      <w:bookmarkStart w:id="23" w:name="_Toc10795490"/>
      <w:r w:rsidRPr="00590648">
        <w:t>1.2 Förändringar av utjämningssystemet 2002</w:t>
      </w:r>
      <w:bookmarkEnd w:id="23"/>
    </w:p>
    <w:p w:rsidR="00DD69FA" w:rsidRPr="00590648" w:rsidRDefault="00DD69FA">
      <w:pPr>
        <w:pStyle w:val="R4"/>
      </w:pPr>
      <w:r w:rsidRPr="00590648">
        <w:t>Motionerna</w:t>
      </w:r>
    </w:p>
    <w:p w:rsidR="00DD69FA" w:rsidRPr="00590648" w:rsidRDefault="00DD69FA">
      <w:r w:rsidRPr="00590648">
        <w:t xml:space="preserve">I </w:t>
      </w:r>
      <w:r w:rsidRPr="00590648">
        <w:rPr>
          <w:i/>
        </w:rPr>
        <w:t>motion Fi42</w:t>
      </w:r>
      <w:r w:rsidRPr="00590648">
        <w:t xml:space="preserve"> av Bo Lundgren m.fl. (m) yrkande 16 och </w:t>
      </w:r>
      <w:r w:rsidRPr="00590648">
        <w:rPr>
          <w:i/>
        </w:rPr>
        <w:t>motion Fi45</w:t>
      </w:r>
      <w:r w:rsidRPr="00590648">
        <w:t xml:space="preserve"> av Gunnar Hökmark m.fl. (m) yrkande 4 föreslås förändringar av utjämningss</w:t>
      </w:r>
      <w:r w:rsidRPr="00590648">
        <w:t>y</w:t>
      </w:r>
      <w:r w:rsidRPr="00590648">
        <w:t>stemet med verkan år 2002. Motionärerna anser att effekten av alla positiva, relativa förändringar i skattekraft skall få behållas till 100 %. Kommuner som förlorar skattekraft skall få behålla sin nuvarande bidragsnivå trots bortfallet av skattekraft. Motionärerna föreslår också särskilda regler för landsting i syfte att förhindra att skenande avgifter till utjämningssy</w:t>
      </w:r>
      <w:r w:rsidRPr="00590648">
        <w:t>stemet slår mot landstingens möjligheter att erbjuda god sjukvård. Ett landsting skall under 2002 erlägga högst 10 % av sin relativa skattekraft i inkomstutjämningsavgift och, från 2003, högst 7 %. Motionärerna anser att regeringen bör få i uppdrag att lägga fram förslag om detta i tilläggsbudget under hösten 2002.</w:t>
      </w:r>
    </w:p>
    <w:p w:rsidR="00DD69FA" w:rsidRPr="00590648" w:rsidRDefault="00DD69FA">
      <w:pPr>
        <w:pStyle w:val="R4"/>
      </w:pPr>
      <w:r w:rsidRPr="00590648">
        <w:t>Finansutskottets ställningstagande</w:t>
      </w:r>
    </w:p>
    <w:p w:rsidR="00DD69FA" w:rsidRPr="00590648" w:rsidRDefault="00DD69FA">
      <w:r w:rsidRPr="00590648">
        <w:t>Utskottet vill understryka den stora betydelse utjämningssystemet har för att skapa likvärdiga ekonomiska förutsättningar för landets kommuner och landsting. De förändringar som motionärerna föreslår skulle innebära ökade klyftor mellan landstingen, vilket utskottet inte anser vara acceptabelt. Fö</w:t>
      </w:r>
      <w:r w:rsidRPr="00590648">
        <w:t>r</w:t>
      </w:r>
      <w:r w:rsidRPr="00590648">
        <w:t>slagen innebär också ett brott mot grundprinciperna i utjämningssystemet, och utskottet slog i höstas fast (bet. 2001/02:FiU3, s. 34) att någon omprövning av systemets grundprinciper inte är aktuell.</w:t>
      </w:r>
    </w:p>
    <w:p w:rsidR="00DD69FA" w:rsidRPr="00590648" w:rsidRDefault="00DD69FA">
      <w:pPr>
        <w:pStyle w:val="Normaltindrag"/>
      </w:pPr>
      <w:r w:rsidRPr="00590648">
        <w:t>Därmed avstyrker utskottet motionerna Fi42 (m) yrkande 16 och Fi45 (m) yrka</w:t>
      </w:r>
      <w:r w:rsidRPr="00590648">
        <w:t>n</w:t>
      </w:r>
      <w:r w:rsidRPr="00590648">
        <w:t>de 4.</w:t>
      </w:r>
    </w:p>
    <w:p w:rsidR="00DD69FA" w:rsidRPr="00590648" w:rsidRDefault="00DD69FA">
      <w:pPr>
        <w:pStyle w:val="Rubrik2"/>
      </w:pPr>
      <w:bookmarkStart w:id="24" w:name="_Toc10795491"/>
      <w:r w:rsidRPr="00590648">
        <w:t>1.3 Kommunala bolag</w:t>
      </w:r>
      <w:bookmarkEnd w:id="24"/>
    </w:p>
    <w:p w:rsidR="00DD69FA" w:rsidRPr="00590648" w:rsidRDefault="00DD69FA">
      <w:pPr>
        <w:pStyle w:val="R4"/>
      </w:pPr>
      <w:r w:rsidRPr="00590648">
        <w:t>Motionen</w:t>
      </w:r>
    </w:p>
    <w:p w:rsidR="00DD69FA" w:rsidRPr="00590648" w:rsidRDefault="00DD69FA">
      <w:r w:rsidRPr="00590648">
        <w:t xml:space="preserve">I </w:t>
      </w:r>
      <w:r w:rsidRPr="00590648">
        <w:rPr>
          <w:i/>
        </w:rPr>
        <w:t>motion Fi48</w:t>
      </w:r>
      <w:r w:rsidRPr="00590648">
        <w:t xml:space="preserve"> av Karin Pilsäter m.fl. (fp) framhålls att användandet av bolag</w:t>
      </w:r>
      <w:r w:rsidRPr="00590648">
        <w:t>s</w:t>
      </w:r>
      <w:r w:rsidRPr="00590648">
        <w:t>formen inom kommunal förvaltning skapar flera problem, t.ex. att medbo</w:t>
      </w:r>
      <w:r w:rsidRPr="00590648">
        <w:t>r</w:t>
      </w:r>
      <w:r w:rsidRPr="00590648">
        <w:t>garnas demokratiska insyn försvåras och att det kan uppstå intressekonflikter mellan bolagets och kommuninnevånarnas bästa. Bolagen kan också komma att gå med förlust, vilket kan få negativa återverkningar på hela kommunens ekonomi och därmed drabba den övriga kommunala servicen. Bolagen a</w:t>
      </w:r>
      <w:r w:rsidRPr="00590648">
        <w:t>n</w:t>
      </w:r>
      <w:r w:rsidRPr="00590648">
        <w:t>vänds dessutom för skatteplanering genom att bolagsvinster som normalt sku</w:t>
      </w:r>
      <w:r w:rsidRPr="00590648">
        <w:t xml:space="preserve">lle beskattas kan föras över till andra ändamål. Mot denna bakgrund begär motionärerna en utredning om möjligheterna för kommunerna att klara sina uppgifter utan att använda kommunala bolag (yrkande 6). </w:t>
      </w:r>
    </w:p>
    <w:p w:rsidR="00DD69FA" w:rsidRPr="00590648" w:rsidRDefault="00DD69FA">
      <w:pPr>
        <w:pStyle w:val="R4"/>
      </w:pPr>
      <w:r w:rsidRPr="00590648">
        <w:t>Finansutskottets ställningstagande</w:t>
      </w:r>
    </w:p>
    <w:p w:rsidR="00DD69FA" w:rsidRPr="00590648" w:rsidRDefault="00DD69FA">
      <w:r w:rsidRPr="00590648">
        <w:t>I betänkande 2001/02:FiU3 (s. 36–39) behandlades yrkanden om att komm</w:t>
      </w:r>
      <w:r w:rsidRPr="00590648">
        <w:t>u</w:t>
      </w:r>
      <w:r w:rsidRPr="00590648">
        <w:t>ner i princip inte skall bedriva verksamhet i bolagsform. Utskottet hänvisade då till konstitutionsutskottets behandling av yrkanden med samma innebörd (bet. 2000/01:KU6), vilka avstyrktes av konstitutionsutskottet. Finansutsko</w:t>
      </w:r>
      <w:r w:rsidRPr="00590648">
        <w:t>t</w:t>
      </w:r>
      <w:r w:rsidRPr="00590648">
        <w:t>tet ställer sig nu liksom i höstas bakom konstitutionsutskottets bedömningar och anser därutöver inte att det finns anledning att begära en sådan utredning som motionärerna förespråkar.</w:t>
      </w:r>
    </w:p>
    <w:p w:rsidR="00DD69FA" w:rsidRPr="00590648" w:rsidRDefault="00DD69FA">
      <w:pPr>
        <w:pStyle w:val="Normaltindrag"/>
      </w:pPr>
      <w:r w:rsidRPr="00590648">
        <w:t>Därmed avstyrker utskottet motion Fi48 (fp) yrkande 6.</w:t>
      </w:r>
    </w:p>
    <w:p w:rsidR="00DD69FA" w:rsidRPr="00590648" w:rsidRDefault="00DD69FA">
      <w:pPr>
        <w:pStyle w:val="Rubrik2"/>
      </w:pPr>
      <w:bookmarkStart w:id="25" w:name="_Toc10795492"/>
      <w:r w:rsidRPr="00590648">
        <w:t>1.4 Statistik om sjukvårdens produktivitet</w:t>
      </w:r>
      <w:bookmarkEnd w:id="25"/>
    </w:p>
    <w:p w:rsidR="00DD69FA" w:rsidRPr="00590648" w:rsidRDefault="00DD69FA">
      <w:pPr>
        <w:pStyle w:val="R4"/>
      </w:pPr>
      <w:r w:rsidRPr="00590648">
        <w:t>Motionen</w:t>
      </w:r>
    </w:p>
    <w:p w:rsidR="00DD69FA" w:rsidRPr="00590648" w:rsidRDefault="00DD69FA">
      <w:r w:rsidRPr="00590648">
        <w:t xml:space="preserve">I </w:t>
      </w:r>
      <w:r w:rsidRPr="00590648">
        <w:rPr>
          <w:i/>
        </w:rPr>
        <w:t>motion Fi48</w:t>
      </w:r>
      <w:r w:rsidRPr="00590648">
        <w:t xml:space="preserve"> av Karin Pilsäter m.fl. (fp) anförs att svårigheterna att göra korrekta jämförelser av produktiviteten inom vården har ökat. Detta får dock inte leda till, framhåller motionärerna, att produktivitetsmätningarna upphör eller att riksdagen och andra ansvariga får ett bristfälligt underlag för de pol</w:t>
      </w:r>
      <w:r w:rsidRPr="00590648">
        <w:t>i</w:t>
      </w:r>
      <w:r w:rsidRPr="00590648">
        <w:t>tiska bedömningarna. Regeringen bör därför tillsammans med Landstingsfö</w:t>
      </w:r>
      <w:r w:rsidRPr="00590648">
        <w:t>r</w:t>
      </w:r>
      <w:r w:rsidRPr="00590648">
        <w:t>bundet verka för att produktivitetsutvecklingen i vården från 1998, dvs. det år då de officiella produktivitetsmätningarna upphör</w:t>
      </w:r>
      <w:r w:rsidRPr="00590648">
        <w:t>de, blir bättre belyst (yrka</w:t>
      </w:r>
      <w:r w:rsidRPr="00590648">
        <w:t>n</w:t>
      </w:r>
      <w:r w:rsidRPr="00590648">
        <w:t>de 7).</w:t>
      </w:r>
    </w:p>
    <w:p w:rsidR="00DD69FA" w:rsidRPr="00590648" w:rsidRDefault="00DD69FA">
      <w:pPr>
        <w:pStyle w:val="R4"/>
      </w:pPr>
      <w:r w:rsidRPr="00590648">
        <w:t>Socialutskottets yttrande</w:t>
      </w:r>
    </w:p>
    <w:p w:rsidR="00DD69FA" w:rsidRPr="00590648" w:rsidRDefault="00DD69FA">
      <w:r w:rsidRPr="00590648">
        <w:t>Socialutskottet har inhämtat från Landstingsförbundet att det statistiska u</w:t>
      </w:r>
      <w:r w:rsidRPr="00590648">
        <w:t>n</w:t>
      </w:r>
      <w:r w:rsidRPr="00590648">
        <w:t>derlaget för mätningar av produktiviteten inom hälso- och sjukvården har brister. Landstingsförbundet har emellertid, tillsammans med landstingen, under senare år genomfört ett omfattande utvecklingsarbete för att komma till rätta med bristerna i statistiken. Landstingsförbundet räknar med att kunna göra produktivitetsmätningar med acceptabel kvalitet inom ett par år. Socia</w:t>
      </w:r>
      <w:r w:rsidRPr="00590648">
        <w:t>l</w:t>
      </w:r>
      <w:r w:rsidRPr="00590648">
        <w:t>utskottet anser mot denna bakgrund att riksdagen inte behöver ta några initi</w:t>
      </w:r>
      <w:r w:rsidRPr="00590648">
        <w:t>a</w:t>
      </w:r>
      <w:r w:rsidRPr="00590648">
        <w:t>tiv i frågan.</w:t>
      </w:r>
    </w:p>
    <w:p w:rsidR="00DD69FA" w:rsidRPr="00590648" w:rsidRDefault="00DD69FA">
      <w:pPr>
        <w:pStyle w:val="R4"/>
      </w:pPr>
      <w:r w:rsidRPr="00590648">
        <w:t>Finansutskottets ställningstagande</w:t>
      </w:r>
    </w:p>
    <w:p w:rsidR="00DD69FA" w:rsidRPr="00590648" w:rsidRDefault="00DD69FA">
      <w:r w:rsidRPr="00590648">
        <w:t>Finansutskottet anser att det är angeläget att statistiken inom hälso- och sju</w:t>
      </w:r>
      <w:r w:rsidRPr="00590648">
        <w:t>k</w:t>
      </w:r>
      <w:r w:rsidRPr="00590648">
        <w:t>vårdsområdet är sådan att den ger goda möjligheter att utvärdera verksamh</w:t>
      </w:r>
      <w:r w:rsidRPr="00590648">
        <w:t>e</w:t>
      </w:r>
      <w:r w:rsidRPr="00590648">
        <w:t>ten och ta fram bra beslutsunderlag för riksdagen och övriga ansvariga. Mot bakgrund av det omfattande utvecklingsarbete som pågår anser utskottet emellertid, i likhet med socialutskottet, att riksdagen inte har någon anledning att ta initiativ i frågan.</w:t>
      </w:r>
    </w:p>
    <w:p w:rsidR="00DD69FA" w:rsidRPr="00590648" w:rsidRDefault="00DD69FA">
      <w:pPr>
        <w:pStyle w:val="Normaltindrag"/>
      </w:pPr>
      <w:r w:rsidRPr="00590648">
        <w:t>Därmed avstyrker utskottet motion Fi48 (fp) yrkande 7.</w:t>
      </w:r>
    </w:p>
    <w:p w:rsidR="00DD69FA" w:rsidRPr="00590648" w:rsidRDefault="00DD69FA">
      <w:pPr>
        <w:pStyle w:val="Rubrik2"/>
      </w:pPr>
      <w:bookmarkStart w:id="26" w:name="_Toc10795493"/>
      <w:r w:rsidRPr="00590648">
        <w:t>1.5 Kommunernas miljöarbete</w:t>
      </w:r>
      <w:bookmarkEnd w:id="26"/>
    </w:p>
    <w:p w:rsidR="00DD69FA" w:rsidRPr="00590648" w:rsidRDefault="00DD69FA">
      <w:pPr>
        <w:pStyle w:val="R4"/>
      </w:pPr>
      <w:r w:rsidRPr="00590648">
        <w:t>Motionen</w:t>
      </w:r>
    </w:p>
    <w:p w:rsidR="00DD69FA" w:rsidRPr="00590648" w:rsidRDefault="00DD69FA">
      <w:r w:rsidRPr="00590648">
        <w:t xml:space="preserve">Karin Pilsäter m.fl. (fp) skriver i </w:t>
      </w:r>
      <w:r w:rsidRPr="00590648">
        <w:rPr>
          <w:i/>
        </w:rPr>
        <w:t>motion Fi48</w:t>
      </w:r>
      <w:r w:rsidRPr="00590648">
        <w:t xml:space="preserve"> att erfarenheten av de lokala investeringsprogrammen inte är god. På många håll har bidragen använts till projekt av mycket tveksamt värde för miljö- och naturvården och är exempel på metoder som inte ger medborgarna valuta för sina skattepengar. Regerin</w:t>
      </w:r>
      <w:r w:rsidRPr="00590648">
        <w:t>g</w:t>
      </w:r>
      <w:r w:rsidRPr="00590648">
        <w:t>en tänker sig nu att de lokala investeringsprogrammen skall upphävas, men de skall i stället ersättas av något som kallas klimatinvesteringsprogram. Detta nya program utgör enligt motionärerna, liksom de tidigare lokala investe</w:t>
      </w:r>
      <w:r w:rsidRPr="00590648">
        <w:t>r</w:t>
      </w:r>
      <w:r w:rsidRPr="00590648">
        <w:t>ingsprogrammen, t</w:t>
      </w:r>
      <w:r w:rsidRPr="00590648">
        <w:t>ill stor del bara en ny form av maskerade byggsubventi</w:t>
      </w:r>
      <w:r w:rsidRPr="00590648">
        <w:t>o</w:t>
      </w:r>
      <w:r w:rsidRPr="00590648">
        <w:t>ner. Detta bör tillkännages för regeringen.</w:t>
      </w:r>
    </w:p>
    <w:p w:rsidR="00DD69FA" w:rsidRPr="00590648" w:rsidRDefault="00DD69FA">
      <w:pPr>
        <w:pStyle w:val="R4"/>
      </w:pPr>
      <w:r w:rsidRPr="00590648">
        <w:t>Finansutskottets ställningstagande</w:t>
      </w:r>
    </w:p>
    <w:p w:rsidR="00DD69FA" w:rsidRPr="00590648" w:rsidRDefault="00DD69FA">
      <w:r w:rsidRPr="00590648">
        <w:t>I motsvarande skrivelse våren 2001 (skr. 2000/01:102) redogjorde regeringen för kommunernas miljöarbete och framhöll då att kommunernas insatser verksamt bidrar till att förbättra miljötillståndet i landet och att detta sker dels genom lokalt miljöarbete, dels genom tillsyn och kontroll med stöd av bl.a. miljöbalken. För en utförlig beskrivning av arbetet med de lokala investe</w:t>
      </w:r>
      <w:r w:rsidRPr="00590648">
        <w:t>r</w:t>
      </w:r>
      <w:r w:rsidRPr="00590648">
        <w:t xml:space="preserve">ingsprogrammen hänvisade regeringen till skrivelsen Hållbara Sverige – uppföljning av åtgärder för en ekologiskt hållbar utveckling. </w:t>
      </w:r>
    </w:p>
    <w:p w:rsidR="00DD69FA" w:rsidRPr="00590648" w:rsidRDefault="00DD69FA">
      <w:pPr>
        <w:pStyle w:val="Normaltindrag"/>
      </w:pPr>
      <w:r w:rsidRPr="00590648">
        <w:t>Utskottet anser att det miljöarbete som kommunerna bedriver, bl.a. med stöd av de lokala investeringsprogrammen, är mycket värdefullt och bidrar till att förbättra miljötillståndet i landet. Utskottet delar således inte motionäre</w:t>
      </w:r>
      <w:r w:rsidRPr="00590648">
        <w:t>r</w:t>
      </w:r>
      <w:r w:rsidRPr="00590648">
        <w:t>nas syn på de lokala investeringsprogrammen och de föreslagna klimatinv</w:t>
      </w:r>
      <w:r w:rsidRPr="00590648">
        <w:t>e</w:t>
      </w:r>
      <w:r w:rsidRPr="00590648">
        <w:t>steringsprogrammen för 2003 och 2004, och ser ingen anledning att göra något tillkännagivande i frågan. Därmed avstyrker utskottet motion Fi48 (fp) yrkande 11.</w:t>
      </w:r>
    </w:p>
    <w:p w:rsidR="00DD69FA" w:rsidRPr="00590648" w:rsidRDefault="00DD69FA">
      <w:pPr>
        <w:pStyle w:val="Rubrik1b"/>
      </w:pPr>
      <w:bookmarkStart w:id="27" w:name="_Toc516455897"/>
      <w:bookmarkStart w:id="28" w:name="_Toc10795494"/>
      <w:r w:rsidRPr="00590648">
        <w:t>2 Tidigare behandlade motionsyrkanden</w:t>
      </w:r>
      <w:bookmarkEnd w:id="27"/>
      <w:bookmarkEnd w:id="28"/>
    </w:p>
    <w:p w:rsidR="00DD69FA" w:rsidRPr="00590648" w:rsidRDefault="00DD69FA">
      <w:pPr>
        <w:pStyle w:val="R4"/>
      </w:pPr>
      <w:r w:rsidRPr="00590648">
        <w:t>Inledning</w:t>
      </w:r>
    </w:p>
    <w:p w:rsidR="00DD69FA" w:rsidRPr="00590648" w:rsidRDefault="00DD69FA">
      <w:r w:rsidRPr="00590648">
        <w:t>Till skrivelse 2001/02:102 har det väckts ett antal motioner med yrkanden som är identiska eller i hög grad överensstämmer med yrkanden som riksd</w:t>
      </w:r>
      <w:r w:rsidRPr="00590648">
        <w:t>a</w:t>
      </w:r>
      <w:r w:rsidRPr="00590648">
        <w:t>gen avstyrkt minst en gång under innevarande riksdagsår. Det har heller inte tillkommit nya omständigheter som enligt utskottets bedömning ger anledning att ändra riksdagens tidigare beslut. Dessa yrkanden återfinns i nedanstående tabell. Flera av yrkandena kommenteras i de yttranden som finansutskottet fått från konstitutionsutskottet, socialförsäkringsutskottet, socialutskottet och utbildningsu</w:t>
      </w:r>
      <w:r w:rsidRPr="00590648">
        <w:t>t</w:t>
      </w:r>
      <w:r w:rsidRPr="00590648">
        <w:t xml:space="preserve">skottet. Yttrandena återges i </w:t>
      </w:r>
      <w:r w:rsidRPr="00590648">
        <w:rPr>
          <w:i/>
        </w:rPr>
        <w:t>bilagorna 2–5</w:t>
      </w:r>
      <w:r w:rsidRPr="00590648">
        <w:t>.</w:t>
      </w:r>
    </w:p>
    <w:p w:rsidR="00DD69FA" w:rsidRPr="00590648" w:rsidRDefault="00DD69FA">
      <w:pPr>
        <w:pStyle w:val="R4"/>
      </w:pPr>
      <w:r w:rsidRPr="00590648">
        <w:t>Finansutskottets ställningstagande</w:t>
      </w:r>
    </w:p>
    <w:p w:rsidR="00DD69FA" w:rsidRPr="00590648" w:rsidRDefault="00DD69FA">
      <w:r w:rsidRPr="00590648">
        <w:t>Samtliga yrkanden som tas upp i nedanstående tabell avstyrks av finansu</w:t>
      </w:r>
      <w:r w:rsidRPr="00590648">
        <w:t>t</w:t>
      </w:r>
      <w:r w:rsidRPr="00590648">
        <w:t>skottet med hänvisning till att likalydande eller i hög grad överensstämmande yrkanden har avslagits av riksdagen minst en gång under innevarande rik</w:t>
      </w:r>
      <w:r w:rsidRPr="00590648">
        <w:t>s</w:t>
      </w:r>
      <w:r w:rsidRPr="00590648">
        <w:t>dagsår. Motiven till avslagen anges i den tidigare behandlingen av respektive yrkande och upprepas därför inte i detta betänkande. Utskottet anser att rik</w:t>
      </w:r>
      <w:r w:rsidRPr="00590648">
        <w:t>s</w:t>
      </w:r>
      <w:r w:rsidRPr="00590648">
        <w:t>dagen inte bör ompröva tidigare beslut.</w:t>
      </w:r>
    </w:p>
    <w:p w:rsidR="00DD69FA" w:rsidRPr="00590648" w:rsidRDefault="00DD69FA">
      <w:pPr>
        <w:pStyle w:val="Normaltindrag"/>
      </w:pPr>
      <w:r w:rsidRPr="00590648">
        <w:t>Därmed avstyrker utskottet nedanstående motionsyrkanden:</w:t>
      </w:r>
    </w:p>
    <w:p w:rsidR="00DD69FA" w:rsidRPr="00590648" w:rsidRDefault="00DD69FA">
      <w:pPr>
        <w:pStyle w:val="Normaltindrag"/>
        <w:ind w:firstLine="0"/>
      </w:pPr>
    </w:p>
    <w:tbl>
      <w:tblPr>
        <w:tblW w:w="0" w:type="auto"/>
        <w:tblInd w:w="-142" w:type="dxa"/>
        <w:tblBorders>
          <w:top w:val="single" w:sz="12" w:space="0" w:color="000000"/>
          <w:left w:val="nil"/>
          <w:bottom w:val="single" w:sz="12" w:space="0" w:color="000000"/>
          <w:right w:val="nil"/>
          <w:insideH w:val="nil"/>
          <w:insideV w:val="nil"/>
        </w:tblBorders>
        <w:tblLayout w:type="fixed"/>
        <w:tblCellMar>
          <w:left w:w="30" w:type="dxa"/>
          <w:right w:w="30" w:type="dxa"/>
        </w:tblCellMar>
        <w:tblLook w:val="003F" w:firstRow="1" w:lastRow="0" w:firstColumn="0" w:lastColumn="0" w:noHBand="0" w:noVBand="0"/>
      </w:tblPr>
      <w:tblGrid>
        <w:gridCol w:w="1276"/>
        <w:gridCol w:w="2479"/>
        <w:gridCol w:w="1392"/>
        <w:gridCol w:w="978"/>
      </w:tblGrid>
      <w:tr w:rsidR="00000000" w:rsidRPr="00590648">
        <w:tblPrEx>
          <w:tblCellMar>
            <w:top w:w="0" w:type="dxa"/>
            <w:bottom w:w="0" w:type="dxa"/>
          </w:tblCellMar>
        </w:tblPrEx>
        <w:tc>
          <w:tcPr>
            <w:tcW w:w="1276" w:type="dxa"/>
            <w:tcBorders>
              <w:bottom w:val="single" w:sz="12" w:space="0" w:color="000000"/>
            </w:tcBorders>
          </w:tcPr>
          <w:p w:rsidR="00DD69FA" w:rsidRPr="00590648" w:rsidRDefault="00DD69FA">
            <w:pPr>
              <w:spacing w:after="40"/>
              <w:jc w:val="left"/>
              <w:rPr>
                <w:b/>
                <w:caps/>
                <w:color w:val="000080"/>
              </w:rPr>
            </w:pPr>
            <w:r w:rsidRPr="00590648">
              <w:rPr>
                <w:b/>
                <w:color w:val="000080"/>
              </w:rPr>
              <w:t>Motions</w:t>
            </w:r>
            <w:r w:rsidRPr="00590648">
              <w:rPr>
                <w:b/>
                <w:color w:val="000080"/>
              </w:rPr>
              <w:softHyphen/>
              <w:t>yrkande</w:t>
            </w:r>
          </w:p>
        </w:tc>
        <w:tc>
          <w:tcPr>
            <w:tcW w:w="2479" w:type="dxa"/>
            <w:tcBorders>
              <w:bottom w:val="single" w:sz="12" w:space="0" w:color="000000"/>
            </w:tcBorders>
          </w:tcPr>
          <w:p w:rsidR="00DD69FA" w:rsidRPr="00590648" w:rsidRDefault="00DD69FA">
            <w:pPr>
              <w:spacing w:after="40"/>
              <w:jc w:val="left"/>
              <w:rPr>
                <w:b/>
                <w:caps/>
                <w:color w:val="000080"/>
              </w:rPr>
            </w:pPr>
            <w:r w:rsidRPr="00590648">
              <w:rPr>
                <w:b/>
                <w:color w:val="000080"/>
              </w:rPr>
              <w:t>Yrkandetext</w:t>
            </w:r>
            <w:r w:rsidRPr="00590648">
              <w:rPr>
                <w:b/>
                <w:caps/>
                <w:color w:val="000080"/>
              </w:rPr>
              <w:br/>
            </w:r>
          </w:p>
        </w:tc>
        <w:tc>
          <w:tcPr>
            <w:tcW w:w="1392" w:type="dxa"/>
            <w:tcBorders>
              <w:bottom w:val="single" w:sz="12" w:space="0" w:color="000000"/>
            </w:tcBorders>
          </w:tcPr>
          <w:p w:rsidR="00DD69FA" w:rsidRPr="00590648" w:rsidRDefault="00DD69FA">
            <w:pPr>
              <w:spacing w:after="40"/>
              <w:jc w:val="left"/>
              <w:rPr>
                <w:b/>
                <w:caps/>
                <w:color w:val="000080"/>
              </w:rPr>
            </w:pPr>
            <w:r w:rsidRPr="00590648">
              <w:rPr>
                <w:b/>
                <w:color w:val="000080"/>
              </w:rPr>
              <w:t>Behandl</w:t>
            </w:r>
            <w:r w:rsidRPr="00590648">
              <w:rPr>
                <w:b/>
                <w:color w:val="000080"/>
              </w:rPr>
              <w:t>a</w:t>
            </w:r>
            <w:r w:rsidRPr="00590648">
              <w:rPr>
                <w:b/>
                <w:color w:val="000080"/>
              </w:rPr>
              <w:t>des</w:t>
            </w:r>
          </w:p>
          <w:p w:rsidR="00DD69FA" w:rsidRPr="00590648" w:rsidRDefault="00DD69FA">
            <w:pPr>
              <w:pStyle w:val="Normaltindrag"/>
              <w:spacing w:after="40"/>
              <w:ind w:firstLine="0"/>
              <w:jc w:val="left"/>
              <w:rPr>
                <w:b/>
                <w:caps/>
                <w:color w:val="000080"/>
              </w:rPr>
            </w:pPr>
            <w:r w:rsidRPr="00590648">
              <w:rPr>
                <w:b/>
                <w:color w:val="000080"/>
              </w:rPr>
              <w:t>senast</w:t>
            </w:r>
          </w:p>
        </w:tc>
        <w:tc>
          <w:tcPr>
            <w:tcW w:w="978" w:type="dxa"/>
            <w:tcBorders>
              <w:bottom w:val="single" w:sz="12" w:space="0" w:color="000000"/>
            </w:tcBorders>
          </w:tcPr>
          <w:p w:rsidR="00DD69FA" w:rsidRPr="00590648" w:rsidRDefault="00DD69FA">
            <w:pPr>
              <w:spacing w:after="40"/>
              <w:jc w:val="left"/>
              <w:rPr>
                <w:b/>
                <w:caps/>
                <w:color w:val="000080"/>
              </w:rPr>
            </w:pPr>
            <w:r w:rsidRPr="00590648">
              <w:rPr>
                <w:b/>
                <w:color w:val="000080"/>
              </w:rPr>
              <w:t>Reserv</w:t>
            </w:r>
            <w:r w:rsidRPr="00590648">
              <w:rPr>
                <w:b/>
                <w:color w:val="000080"/>
              </w:rPr>
              <w:t>a</w:t>
            </w:r>
            <w:r w:rsidRPr="00590648">
              <w:rPr>
                <w:b/>
                <w:color w:val="000080"/>
              </w:rPr>
              <w:t>tion</w:t>
            </w:r>
          </w:p>
        </w:tc>
      </w:tr>
      <w:tr w:rsidR="00000000" w:rsidRPr="00590648">
        <w:tblPrEx>
          <w:tblCellMar>
            <w:top w:w="0" w:type="dxa"/>
            <w:bottom w:w="0" w:type="dxa"/>
          </w:tblCellMar>
        </w:tblPrEx>
        <w:tc>
          <w:tcPr>
            <w:tcW w:w="1276" w:type="dxa"/>
            <w:tcBorders>
              <w:top w:val="single" w:sz="12" w:space="0" w:color="000000"/>
              <w:bottom w:val="single" w:sz="6" w:space="0" w:color="000000"/>
            </w:tcBorders>
          </w:tcPr>
          <w:p w:rsidR="00DD69FA" w:rsidRPr="00590648" w:rsidRDefault="00DD69FA">
            <w:pPr>
              <w:spacing w:after="80"/>
              <w:jc w:val="left"/>
              <w:rPr>
                <w:sz w:val="18"/>
              </w:rPr>
            </w:pPr>
            <w:r w:rsidRPr="00590648">
              <w:rPr>
                <w:sz w:val="18"/>
              </w:rPr>
              <w:t>Mot. Fi45 (m) yrkande 1</w:t>
            </w:r>
            <w:r w:rsidRPr="00590648">
              <w:rPr>
                <w:sz w:val="18"/>
              </w:rPr>
              <w:br/>
            </w:r>
          </w:p>
        </w:tc>
        <w:tc>
          <w:tcPr>
            <w:tcW w:w="2479" w:type="dxa"/>
            <w:tcBorders>
              <w:top w:val="single" w:sz="12"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förstärkt kommunal självst</w:t>
            </w:r>
            <w:r w:rsidRPr="00590648">
              <w:rPr>
                <w:sz w:val="18"/>
              </w:rPr>
              <w:t>y</w:t>
            </w:r>
            <w:r w:rsidRPr="00590648">
              <w:rPr>
                <w:sz w:val="18"/>
              </w:rPr>
              <w:t>relse.</w:t>
            </w:r>
          </w:p>
        </w:tc>
        <w:tc>
          <w:tcPr>
            <w:tcW w:w="1392" w:type="dxa"/>
            <w:tcBorders>
              <w:top w:val="single" w:sz="12" w:space="0" w:color="000000"/>
              <w:bottom w:val="single" w:sz="6" w:space="0" w:color="000000"/>
            </w:tcBorders>
          </w:tcPr>
          <w:p w:rsidR="00DD69FA" w:rsidRPr="00590648" w:rsidRDefault="00DD69FA">
            <w:pPr>
              <w:spacing w:after="80"/>
              <w:jc w:val="left"/>
              <w:rPr>
                <w:sz w:val="18"/>
              </w:rPr>
            </w:pPr>
            <w:r w:rsidRPr="00590648">
              <w:rPr>
                <w:sz w:val="18"/>
              </w:rPr>
              <w:t>2001/02:KU14</w:t>
            </w:r>
          </w:p>
        </w:tc>
        <w:tc>
          <w:tcPr>
            <w:tcW w:w="978" w:type="dxa"/>
            <w:tcBorders>
              <w:top w:val="single" w:sz="12" w:space="0" w:color="000000"/>
              <w:bottom w:val="single" w:sz="6" w:space="0" w:color="000000"/>
            </w:tcBorders>
          </w:tcPr>
          <w:p w:rsidR="00DD69FA" w:rsidRPr="00590648" w:rsidRDefault="00DD69FA">
            <w:pPr>
              <w:spacing w:after="80"/>
              <w:jc w:val="left"/>
              <w:rPr>
                <w:sz w:val="18"/>
              </w:rPr>
            </w:pPr>
            <w:r w:rsidRPr="00590648">
              <w:rPr>
                <w:sz w:val="18"/>
              </w:rPr>
              <w:t>res. 5 (m, kd, c, fp)</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Fi45 (m) yrkande 2</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kommuners avancerade skatteplan</w:t>
            </w:r>
            <w:r w:rsidRPr="00590648">
              <w:rPr>
                <w:sz w:val="18"/>
              </w:rPr>
              <w:t>e</w:t>
            </w:r>
            <w:r w:rsidRPr="00590648">
              <w:rPr>
                <w:sz w:val="18"/>
              </w:rPr>
              <w:t>ring.</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2000/01:FiU29, avsnitt 1.10</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14 (m)</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Fi45 (m) yrkande 3</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det ino</w:t>
            </w:r>
            <w:r w:rsidRPr="00590648">
              <w:rPr>
                <w:sz w:val="18"/>
              </w:rPr>
              <w:t>m</w:t>
            </w:r>
            <w:r w:rsidRPr="00590648">
              <w:rPr>
                <w:sz w:val="18"/>
              </w:rPr>
              <w:t>kommunala utjämningssystemets negativa konsekvenser för til</w:t>
            </w:r>
            <w:r w:rsidRPr="00590648">
              <w:rPr>
                <w:sz w:val="18"/>
              </w:rPr>
              <w:t>l</w:t>
            </w:r>
            <w:r w:rsidRPr="00590648">
              <w:rPr>
                <w:sz w:val="18"/>
              </w:rPr>
              <w:t>växt var den än förekommer i Sverige.</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4</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3 (m)</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Fi45 (m) yrkande 5</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beh</w:t>
            </w:r>
            <w:r w:rsidRPr="00590648">
              <w:rPr>
                <w:sz w:val="18"/>
              </w:rPr>
              <w:t>o</w:t>
            </w:r>
            <w:r w:rsidRPr="00590648">
              <w:rPr>
                <w:sz w:val="18"/>
              </w:rPr>
              <w:t>vet av ett nytt statligt finansierat utjämningssystem i enlighet med vad som anförs i moti</w:t>
            </w:r>
            <w:r w:rsidRPr="00590648">
              <w:rPr>
                <w:sz w:val="18"/>
              </w:rPr>
              <w:t>o</w:t>
            </w:r>
            <w:r w:rsidRPr="00590648">
              <w:rPr>
                <w:sz w:val="18"/>
              </w:rPr>
              <w:t>nen.</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4</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3 (m)</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Fi45 (m) yrkande 6</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tillgängli</w:t>
            </w:r>
            <w:r w:rsidRPr="00590648">
              <w:rPr>
                <w:sz w:val="18"/>
              </w:rPr>
              <w:t>g</w:t>
            </w:r>
            <w:r w:rsidRPr="00590648">
              <w:rPr>
                <w:sz w:val="18"/>
              </w:rPr>
              <w:t>heten till sjukvård och behovet av en nationell vårdg</w:t>
            </w:r>
            <w:r w:rsidRPr="00590648">
              <w:rPr>
                <w:sz w:val="18"/>
              </w:rPr>
              <w:t>a</w:t>
            </w:r>
            <w:r w:rsidRPr="00590648">
              <w:rPr>
                <w:sz w:val="18"/>
              </w:rPr>
              <w:t>ranti.</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 xml:space="preserve">2001/02:SoU13, </w:t>
            </w:r>
            <w:r w:rsidRPr="00590648">
              <w:rPr>
                <w:sz w:val="18"/>
              </w:rPr>
              <w:br/>
              <w:t>s. 16–28, 40–41</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14 (m, kd, c, fp)</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Fi45 (m) yrkande 7</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tandvå</w:t>
            </w:r>
            <w:r w:rsidRPr="00590648">
              <w:rPr>
                <w:sz w:val="18"/>
              </w:rPr>
              <w:t>r</w:t>
            </w:r>
            <w:r w:rsidRPr="00590648">
              <w:rPr>
                <w:sz w:val="18"/>
              </w:rPr>
              <w:t>den.</w:t>
            </w:r>
          </w:p>
        </w:tc>
        <w:tc>
          <w:tcPr>
            <w:tcW w:w="1392" w:type="dxa"/>
            <w:tcBorders>
              <w:top w:val="single" w:sz="6" w:space="0" w:color="000000"/>
              <w:bottom w:val="single" w:sz="6" w:space="0" w:color="000000"/>
            </w:tcBorders>
          </w:tcPr>
          <w:p w:rsidR="00DD69FA" w:rsidRPr="00590648" w:rsidRDefault="00DD69FA">
            <w:pPr>
              <w:spacing w:after="80"/>
              <w:jc w:val="left"/>
            </w:pPr>
            <w:r w:rsidRPr="00590648">
              <w:t>2001/02:SoU14, s. 8–11</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2 (m)</w:t>
            </w:r>
          </w:p>
        </w:tc>
      </w:tr>
    </w:tbl>
    <w:p w:rsidR="00DD69FA" w:rsidRPr="00590648" w:rsidRDefault="00DD69FA">
      <w:pPr>
        <w:pStyle w:val="Deltagare"/>
        <w:keepLines w:val="0"/>
        <w:spacing w:before="62" w:line="250" w:lineRule="atLeast"/>
        <w:rPr>
          <w:noProof w:val="0"/>
        </w:rPr>
      </w:pPr>
    </w:p>
    <w:tbl>
      <w:tblPr>
        <w:tblW w:w="0" w:type="auto"/>
        <w:tblInd w:w="-142" w:type="dxa"/>
        <w:tblBorders>
          <w:top w:val="single" w:sz="12" w:space="0" w:color="000000"/>
          <w:left w:val="nil"/>
          <w:bottom w:val="single" w:sz="12" w:space="0" w:color="000000"/>
          <w:right w:val="nil"/>
          <w:insideH w:val="nil"/>
          <w:insideV w:val="nil"/>
        </w:tblBorders>
        <w:tblLayout w:type="fixed"/>
        <w:tblCellMar>
          <w:left w:w="30" w:type="dxa"/>
          <w:right w:w="30" w:type="dxa"/>
        </w:tblCellMar>
        <w:tblLook w:val="003F" w:firstRow="1" w:lastRow="0" w:firstColumn="0" w:lastColumn="0" w:noHBand="0" w:noVBand="0"/>
      </w:tblPr>
      <w:tblGrid>
        <w:gridCol w:w="1276"/>
        <w:gridCol w:w="2479"/>
        <w:gridCol w:w="1392"/>
        <w:gridCol w:w="978"/>
      </w:tblGrid>
      <w:tr w:rsidR="00000000" w:rsidRPr="00590648">
        <w:tblPrEx>
          <w:tblCellMar>
            <w:top w:w="0" w:type="dxa"/>
            <w:bottom w:w="0" w:type="dxa"/>
          </w:tblCellMar>
        </w:tblPrEx>
        <w:tc>
          <w:tcPr>
            <w:tcW w:w="1276" w:type="dxa"/>
            <w:tcBorders>
              <w:bottom w:val="single" w:sz="12" w:space="0" w:color="000000"/>
            </w:tcBorders>
          </w:tcPr>
          <w:p w:rsidR="00DD69FA" w:rsidRPr="00590648" w:rsidRDefault="00DD69FA">
            <w:pPr>
              <w:spacing w:after="40"/>
              <w:jc w:val="left"/>
              <w:rPr>
                <w:b/>
                <w:caps/>
                <w:color w:val="000080"/>
              </w:rPr>
            </w:pPr>
            <w:r w:rsidRPr="00590648">
              <w:rPr>
                <w:b/>
                <w:color w:val="000080"/>
              </w:rPr>
              <w:t>Motions</w:t>
            </w:r>
            <w:r w:rsidRPr="00590648">
              <w:rPr>
                <w:b/>
                <w:color w:val="000080"/>
              </w:rPr>
              <w:softHyphen/>
              <w:t>yrkande</w:t>
            </w:r>
          </w:p>
        </w:tc>
        <w:tc>
          <w:tcPr>
            <w:tcW w:w="2479" w:type="dxa"/>
            <w:tcBorders>
              <w:bottom w:val="single" w:sz="12" w:space="0" w:color="000000"/>
            </w:tcBorders>
          </w:tcPr>
          <w:p w:rsidR="00DD69FA" w:rsidRPr="00590648" w:rsidRDefault="00DD69FA">
            <w:pPr>
              <w:spacing w:after="40"/>
              <w:jc w:val="left"/>
              <w:rPr>
                <w:b/>
                <w:caps/>
                <w:color w:val="000080"/>
              </w:rPr>
            </w:pPr>
            <w:r w:rsidRPr="00590648">
              <w:rPr>
                <w:b/>
                <w:color w:val="000080"/>
              </w:rPr>
              <w:t>Yrkandetext</w:t>
            </w:r>
            <w:r w:rsidRPr="00590648">
              <w:rPr>
                <w:b/>
                <w:caps/>
                <w:color w:val="000080"/>
              </w:rPr>
              <w:br/>
            </w:r>
          </w:p>
        </w:tc>
        <w:tc>
          <w:tcPr>
            <w:tcW w:w="1392" w:type="dxa"/>
            <w:tcBorders>
              <w:bottom w:val="single" w:sz="12" w:space="0" w:color="000000"/>
            </w:tcBorders>
          </w:tcPr>
          <w:p w:rsidR="00DD69FA" w:rsidRPr="00590648" w:rsidRDefault="00DD69FA">
            <w:pPr>
              <w:spacing w:after="40"/>
              <w:jc w:val="left"/>
              <w:rPr>
                <w:b/>
                <w:caps/>
                <w:color w:val="000080"/>
              </w:rPr>
            </w:pPr>
            <w:r w:rsidRPr="00590648">
              <w:rPr>
                <w:b/>
                <w:color w:val="000080"/>
              </w:rPr>
              <w:t>Behandl</w:t>
            </w:r>
            <w:r w:rsidRPr="00590648">
              <w:rPr>
                <w:b/>
                <w:color w:val="000080"/>
              </w:rPr>
              <w:t>a</w:t>
            </w:r>
            <w:r w:rsidRPr="00590648">
              <w:rPr>
                <w:b/>
                <w:color w:val="000080"/>
              </w:rPr>
              <w:t>des</w:t>
            </w:r>
          </w:p>
          <w:p w:rsidR="00DD69FA" w:rsidRPr="00590648" w:rsidRDefault="00DD69FA">
            <w:pPr>
              <w:pStyle w:val="Normaltindrag"/>
              <w:spacing w:after="40"/>
              <w:ind w:firstLine="0"/>
              <w:jc w:val="left"/>
              <w:rPr>
                <w:b/>
                <w:caps/>
                <w:color w:val="000080"/>
              </w:rPr>
            </w:pPr>
            <w:r w:rsidRPr="00590648">
              <w:rPr>
                <w:b/>
                <w:color w:val="000080"/>
              </w:rPr>
              <w:t>senast</w:t>
            </w:r>
          </w:p>
        </w:tc>
        <w:tc>
          <w:tcPr>
            <w:tcW w:w="978" w:type="dxa"/>
            <w:tcBorders>
              <w:bottom w:val="single" w:sz="12" w:space="0" w:color="000000"/>
            </w:tcBorders>
          </w:tcPr>
          <w:p w:rsidR="00DD69FA" w:rsidRPr="00590648" w:rsidRDefault="00DD69FA">
            <w:pPr>
              <w:spacing w:after="40"/>
              <w:jc w:val="left"/>
              <w:rPr>
                <w:b/>
                <w:caps/>
                <w:color w:val="000080"/>
              </w:rPr>
            </w:pPr>
            <w:r w:rsidRPr="00590648">
              <w:rPr>
                <w:b/>
                <w:color w:val="000080"/>
              </w:rPr>
              <w:t>Reserv</w:t>
            </w:r>
            <w:r w:rsidRPr="00590648">
              <w:rPr>
                <w:b/>
                <w:color w:val="000080"/>
              </w:rPr>
              <w:t>a</w:t>
            </w:r>
            <w:r w:rsidRPr="00590648">
              <w:rPr>
                <w:b/>
                <w:color w:val="000080"/>
              </w:rPr>
              <w:t>tion</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Mot. Fi45 (m) yrkande 8</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Riksdagen tillkännager för r</w:t>
            </w:r>
            <w:r w:rsidRPr="00590648">
              <w:rPr>
                <w:sz w:val="18"/>
              </w:rPr>
              <w:t>e</w:t>
            </w:r>
            <w:r w:rsidRPr="00590648">
              <w:rPr>
                <w:sz w:val="18"/>
              </w:rPr>
              <w:t>geringen som sin mening vad i motionen anförs om äldreomso</w:t>
            </w:r>
            <w:r w:rsidRPr="00590648">
              <w:rPr>
                <w:sz w:val="18"/>
              </w:rPr>
              <w:t>r</w:t>
            </w:r>
            <w:r w:rsidRPr="00590648">
              <w:rPr>
                <w:sz w:val="18"/>
              </w:rPr>
              <w:t>gens kvalitet och behovet av valfrihet och av en nationell äldrepeng.</w:t>
            </w:r>
          </w:p>
        </w:tc>
        <w:tc>
          <w:tcPr>
            <w:tcW w:w="1392"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2001/02:SoU12, s. 7–17</w:t>
            </w:r>
          </w:p>
        </w:tc>
        <w:tc>
          <w:tcPr>
            <w:tcW w:w="978"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res. 2 och 8, båda (m)</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Mot. Fi45 (m) yrkande 9</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Riksdagen tillkännager för r</w:t>
            </w:r>
            <w:r w:rsidRPr="00590648">
              <w:rPr>
                <w:sz w:val="18"/>
              </w:rPr>
              <w:t>e</w:t>
            </w:r>
            <w:r w:rsidRPr="00590648">
              <w:rPr>
                <w:sz w:val="18"/>
              </w:rPr>
              <w:t>geringen som sin mening vad i motionen anförs om handikap</w:t>
            </w:r>
            <w:r w:rsidRPr="00590648">
              <w:rPr>
                <w:sz w:val="18"/>
              </w:rPr>
              <w:t>p</w:t>
            </w:r>
            <w:r w:rsidRPr="00590648">
              <w:rPr>
                <w:sz w:val="18"/>
              </w:rPr>
              <w:t>omso</w:t>
            </w:r>
            <w:r w:rsidRPr="00590648">
              <w:rPr>
                <w:sz w:val="18"/>
              </w:rPr>
              <w:t>r</w:t>
            </w:r>
            <w:r w:rsidRPr="00590648">
              <w:rPr>
                <w:sz w:val="18"/>
              </w:rPr>
              <w:t>gen.</w:t>
            </w:r>
          </w:p>
        </w:tc>
        <w:tc>
          <w:tcPr>
            <w:tcW w:w="1392"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2001/02:SoU7,</w:t>
            </w:r>
            <w:r w:rsidRPr="00590648">
              <w:rPr>
                <w:sz w:val="18"/>
              </w:rPr>
              <w:br/>
              <w:t>s. 13–16</w:t>
            </w:r>
            <w:r w:rsidRPr="00590648">
              <w:rPr>
                <w:sz w:val="18"/>
              </w:rPr>
              <w:br/>
              <w:t xml:space="preserve">2001/02:SoU1, </w:t>
            </w:r>
            <w:r w:rsidRPr="00590648">
              <w:rPr>
                <w:sz w:val="18"/>
              </w:rPr>
              <w:br/>
              <w:t>s. 56–62, 83–84, 86</w:t>
            </w:r>
          </w:p>
        </w:tc>
        <w:tc>
          <w:tcPr>
            <w:tcW w:w="978"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res. 10 (m, kd, c, fp)</w:t>
            </w:r>
            <w:r w:rsidRPr="00590648">
              <w:rPr>
                <w:sz w:val="18"/>
              </w:rPr>
              <w:br/>
              <w:t>Sy1 (m)</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Mot. Fi45 (m) yrkande 10</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60"/>
              <w:jc w:val="left"/>
            </w:pPr>
            <w:r w:rsidRPr="00590648">
              <w:t>Riksdagen tillkännager för regeringen som sin mening vad i motionen anförs om maxta</w:t>
            </w:r>
            <w:r w:rsidRPr="00590648">
              <w:t>x</w:t>
            </w:r>
            <w:r w:rsidRPr="00590648">
              <w:t>an.</w:t>
            </w:r>
          </w:p>
        </w:tc>
        <w:tc>
          <w:tcPr>
            <w:tcW w:w="1392"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2001/02:UbU10, s. 16</w:t>
            </w:r>
          </w:p>
        </w:tc>
        <w:tc>
          <w:tcPr>
            <w:tcW w:w="978"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res. 4 (m,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Mot. Fi45 (m) yrkande 11</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Riksdagen tillkännager för r</w:t>
            </w:r>
            <w:r w:rsidRPr="00590648">
              <w:rPr>
                <w:sz w:val="18"/>
              </w:rPr>
              <w:t>e</w:t>
            </w:r>
            <w:r w:rsidRPr="00590648">
              <w:rPr>
                <w:sz w:val="18"/>
              </w:rPr>
              <w:t>geringen som sin mening vad i motionen anförs om kvaliteten i skolan.</w:t>
            </w:r>
            <w:r w:rsidRPr="00590648">
              <w:rPr>
                <w:sz w:val="18"/>
              </w:rPr>
              <w:br/>
            </w:r>
          </w:p>
        </w:tc>
        <w:tc>
          <w:tcPr>
            <w:tcW w:w="1392"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 xml:space="preserve">2001/02:UbU1, </w:t>
            </w:r>
            <w:r w:rsidRPr="00590648">
              <w:rPr>
                <w:sz w:val="18"/>
              </w:rPr>
              <w:br/>
              <w:t>s. 25</w:t>
            </w:r>
            <w:r w:rsidRPr="00590648">
              <w:rPr>
                <w:sz w:val="18"/>
              </w:rPr>
              <w:br/>
              <w:t xml:space="preserve">2001/02:UbU6, </w:t>
            </w:r>
            <w:r w:rsidRPr="00590648">
              <w:rPr>
                <w:sz w:val="18"/>
              </w:rPr>
              <w:br/>
              <w:t>s. 7–9</w:t>
            </w:r>
            <w:r w:rsidRPr="00590648">
              <w:rPr>
                <w:sz w:val="18"/>
              </w:rPr>
              <w:br/>
              <w:t xml:space="preserve">2001/02:UbU7, </w:t>
            </w:r>
            <w:r w:rsidRPr="00590648">
              <w:rPr>
                <w:sz w:val="18"/>
              </w:rPr>
              <w:br/>
              <w:t>s. 13</w:t>
            </w:r>
          </w:p>
        </w:tc>
        <w:tc>
          <w:tcPr>
            <w:tcW w:w="978"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Sy1 (m)</w:t>
            </w:r>
            <w:r w:rsidRPr="00590648">
              <w:rPr>
                <w:sz w:val="18"/>
              </w:rPr>
              <w:br/>
            </w:r>
            <w:r w:rsidRPr="00590648">
              <w:rPr>
                <w:sz w:val="18"/>
              </w:rPr>
              <w:br/>
              <w:t>res. 1 (m)</w:t>
            </w:r>
            <w:r w:rsidRPr="00590648">
              <w:rPr>
                <w:sz w:val="18"/>
              </w:rPr>
              <w:br/>
            </w:r>
            <w:r w:rsidRPr="00590648">
              <w:rPr>
                <w:sz w:val="18"/>
              </w:rPr>
              <w:br/>
              <w:t>res. 1 (m,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Mot. Fi45 (m) yrkande 12</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Riksdagen tillkännager för r</w:t>
            </w:r>
            <w:r w:rsidRPr="00590648">
              <w:rPr>
                <w:sz w:val="18"/>
              </w:rPr>
              <w:t>e</w:t>
            </w:r>
            <w:r w:rsidRPr="00590648">
              <w:rPr>
                <w:sz w:val="18"/>
              </w:rPr>
              <w:t>geringen som sin mening vad i motionen anförs om åtgärder för att motverka negativ segregation i invandrartäta o</w:t>
            </w:r>
            <w:r w:rsidRPr="00590648">
              <w:rPr>
                <w:sz w:val="18"/>
              </w:rPr>
              <w:t>m</w:t>
            </w:r>
            <w:r w:rsidRPr="00590648">
              <w:rPr>
                <w:sz w:val="18"/>
              </w:rPr>
              <w:t>råden.</w:t>
            </w:r>
          </w:p>
        </w:tc>
        <w:tc>
          <w:tcPr>
            <w:tcW w:w="1392"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2001/02:UbU10, s. 57</w:t>
            </w:r>
            <w:r w:rsidRPr="00590648">
              <w:rPr>
                <w:sz w:val="18"/>
              </w:rPr>
              <w:br/>
            </w:r>
            <w:r w:rsidRPr="00590648">
              <w:rPr>
                <w:sz w:val="18"/>
              </w:rPr>
              <w:br/>
              <w:t>2001/02:SfU15</w:t>
            </w:r>
          </w:p>
        </w:tc>
        <w:tc>
          <w:tcPr>
            <w:tcW w:w="978"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res. 7 (m, fp)</w:t>
            </w:r>
            <w:r w:rsidRPr="00590648">
              <w:rPr>
                <w:sz w:val="18"/>
              </w:rPr>
              <w:br/>
            </w:r>
            <w:r w:rsidRPr="00590648">
              <w:rPr>
                <w:sz w:val="18"/>
              </w:rPr>
              <w:br/>
              <w:t>res. 1 (m)</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Mot. Fi46 (kd) yrkande 1</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Riksdagen begär att regeringen lägger fram förslag beträffande avveckling av den statliga fasti</w:t>
            </w:r>
            <w:r w:rsidRPr="00590648">
              <w:rPr>
                <w:sz w:val="18"/>
              </w:rPr>
              <w:t>g</w:t>
            </w:r>
            <w:r w:rsidRPr="00590648">
              <w:rPr>
                <w:sz w:val="18"/>
              </w:rPr>
              <w:t>hetsskatten och förslag för ko</w:t>
            </w:r>
            <w:r w:rsidRPr="00590648">
              <w:rPr>
                <w:sz w:val="18"/>
              </w:rPr>
              <w:t>m</w:t>
            </w:r>
            <w:r w:rsidRPr="00590648">
              <w:rPr>
                <w:sz w:val="18"/>
              </w:rPr>
              <w:t>munerna att ta ut en fastighet</w:t>
            </w:r>
            <w:r w:rsidRPr="00590648">
              <w:rPr>
                <w:sz w:val="18"/>
              </w:rPr>
              <w:t>s</w:t>
            </w:r>
            <w:r w:rsidRPr="00590648">
              <w:rPr>
                <w:sz w:val="18"/>
              </w:rPr>
              <w:t>anknuten servic</w:t>
            </w:r>
            <w:r w:rsidRPr="00590648">
              <w:rPr>
                <w:sz w:val="18"/>
              </w:rPr>
              <w:t>e</w:t>
            </w:r>
            <w:r w:rsidRPr="00590648">
              <w:rPr>
                <w:sz w:val="18"/>
              </w:rPr>
              <w:t>avgift.</w:t>
            </w:r>
          </w:p>
        </w:tc>
        <w:tc>
          <w:tcPr>
            <w:tcW w:w="1392"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2001/02:SkU16</w:t>
            </w:r>
            <w:r w:rsidRPr="00590648">
              <w:rPr>
                <w:sz w:val="18"/>
              </w:rPr>
              <w:br/>
              <w:t>s. 7–12</w:t>
            </w:r>
          </w:p>
        </w:tc>
        <w:tc>
          <w:tcPr>
            <w:tcW w:w="978"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res. 2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Mot. Fi46 (kd) yrkande 2</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Riksdagen tillkännager för r</w:t>
            </w:r>
            <w:r w:rsidRPr="00590648">
              <w:rPr>
                <w:sz w:val="18"/>
              </w:rPr>
              <w:t>e</w:t>
            </w:r>
            <w:r w:rsidRPr="00590648">
              <w:rPr>
                <w:sz w:val="18"/>
              </w:rPr>
              <w:t xml:space="preserve">geringen som sin mening vad i motionen anförs om kommunala försäljningar av bostadsbolag och att de inte skall motverkas av staten. </w:t>
            </w:r>
          </w:p>
        </w:tc>
        <w:tc>
          <w:tcPr>
            <w:tcW w:w="1392"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2001/02:BoU4</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60"/>
              <w:jc w:val="left"/>
              <w:rPr>
                <w:sz w:val="18"/>
              </w:rPr>
            </w:pPr>
            <w:r w:rsidRPr="00590648">
              <w:rPr>
                <w:sz w:val="18"/>
              </w:rPr>
              <w:t>res. 1 (m, kd, c, fp)</w:t>
            </w:r>
          </w:p>
        </w:tc>
      </w:tr>
      <w:tr w:rsidR="00000000" w:rsidRPr="00590648">
        <w:tblPrEx>
          <w:tblCellMar>
            <w:top w:w="0" w:type="dxa"/>
            <w:bottom w:w="0" w:type="dxa"/>
          </w:tblCellMar>
        </w:tblPrEx>
        <w:tc>
          <w:tcPr>
            <w:tcW w:w="1276" w:type="dxa"/>
            <w:tcBorders>
              <w:bottom w:val="single" w:sz="12" w:space="0" w:color="000000"/>
            </w:tcBorders>
          </w:tcPr>
          <w:p w:rsidR="00DD69FA" w:rsidRPr="00590648" w:rsidRDefault="00DD69FA">
            <w:pPr>
              <w:spacing w:after="40"/>
              <w:jc w:val="left"/>
              <w:rPr>
                <w:b/>
                <w:caps/>
                <w:color w:val="000080"/>
              </w:rPr>
            </w:pPr>
            <w:r w:rsidRPr="00590648">
              <w:rPr>
                <w:b/>
                <w:color w:val="000080"/>
              </w:rPr>
              <w:t>Motions</w:t>
            </w:r>
            <w:r w:rsidRPr="00590648">
              <w:rPr>
                <w:b/>
                <w:color w:val="000080"/>
              </w:rPr>
              <w:softHyphen/>
              <w:t>yrkande</w:t>
            </w:r>
          </w:p>
        </w:tc>
        <w:tc>
          <w:tcPr>
            <w:tcW w:w="2479" w:type="dxa"/>
            <w:tcBorders>
              <w:bottom w:val="single" w:sz="12" w:space="0" w:color="000000"/>
            </w:tcBorders>
          </w:tcPr>
          <w:p w:rsidR="00DD69FA" w:rsidRPr="00590648" w:rsidRDefault="00DD69FA">
            <w:pPr>
              <w:spacing w:after="40"/>
              <w:jc w:val="left"/>
              <w:rPr>
                <w:b/>
                <w:caps/>
                <w:color w:val="000080"/>
              </w:rPr>
            </w:pPr>
            <w:r w:rsidRPr="00590648">
              <w:rPr>
                <w:b/>
                <w:color w:val="000080"/>
              </w:rPr>
              <w:t>Yrkandetext</w:t>
            </w:r>
            <w:r w:rsidRPr="00590648">
              <w:rPr>
                <w:b/>
                <w:caps/>
                <w:color w:val="000080"/>
              </w:rPr>
              <w:br/>
            </w:r>
          </w:p>
        </w:tc>
        <w:tc>
          <w:tcPr>
            <w:tcW w:w="1392" w:type="dxa"/>
            <w:tcBorders>
              <w:bottom w:val="single" w:sz="12" w:space="0" w:color="000000"/>
            </w:tcBorders>
          </w:tcPr>
          <w:p w:rsidR="00DD69FA" w:rsidRPr="00590648" w:rsidRDefault="00DD69FA">
            <w:pPr>
              <w:spacing w:after="40"/>
              <w:jc w:val="left"/>
              <w:rPr>
                <w:b/>
                <w:caps/>
                <w:color w:val="000080"/>
              </w:rPr>
            </w:pPr>
            <w:r w:rsidRPr="00590648">
              <w:rPr>
                <w:b/>
                <w:color w:val="000080"/>
              </w:rPr>
              <w:t>Behandl</w:t>
            </w:r>
            <w:r w:rsidRPr="00590648">
              <w:rPr>
                <w:b/>
                <w:color w:val="000080"/>
              </w:rPr>
              <w:t>a</w:t>
            </w:r>
            <w:r w:rsidRPr="00590648">
              <w:rPr>
                <w:b/>
                <w:color w:val="000080"/>
              </w:rPr>
              <w:t>des</w:t>
            </w:r>
          </w:p>
          <w:p w:rsidR="00DD69FA" w:rsidRPr="00590648" w:rsidRDefault="00DD69FA">
            <w:pPr>
              <w:pStyle w:val="Normaltindrag"/>
              <w:spacing w:after="40"/>
              <w:ind w:firstLine="0"/>
              <w:jc w:val="left"/>
              <w:rPr>
                <w:b/>
                <w:caps/>
                <w:color w:val="000080"/>
              </w:rPr>
            </w:pPr>
            <w:r w:rsidRPr="00590648">
              <w:rPr>
                <w:b/>
                <w:color w:val="000080"/>
              </w:rPr>
              <w:t>senast</w:t>
            </w:r>
          </w:p>
        </w:tc>
        <w:tc>
          <w:tcPr>
            <w:tcW w:w="978" w:type="dxa"/>
            <w:tcBorders>
              <w:bottom w:val="single" w:sz="12" w:space="0" w:color="000000"/>
            </w:tcBorders>
          </w:tcPr>
          <w:p w:rsidR="00DD69FA" w:rsidRPr="00590648" w:rsidRDefault="00DD69FA">
            <w:pPr>
              <w:spacing w:after="40"/>
              <w:jc w:val="left"/>
              <w:rPr>
                <w:b/>
                <w:caps/>
                <w:color w:val="000080"/>
              </w:rPr>
            </w:pPr>
            <w:r w:rsidRPr="00590648">
              <w:rPr>
                <w:b/>
                <w:color w:val="000080"/>
              </w:rPr>
              <w:t>Reserv</w:t>
            </w:r>
            <w:r w:rsidRPr="00590648">
              <w:rPr>
                <w:b/>
                <w:color w:val="000080"/>
              </w:rPr>
              <w:t>a</w:t>
            </w:r>
            <w:r w:rsidRPr="00590648">
              <w:rPr>
                <w:b/>
                <w:color w:val="000080"/>
              </w:rPr>
              <w:t>tion</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Fi46 (kd) yrkande 3</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att precisera, lagfästa och institutionalisera finansieringsprinc</w:t>
            </w:r>
            <w:r w:rsidRPr="00590648">
              <w:rPr>
                <w:sz w:val="18"/>
              </w:rPr>
              <w:t>i</w:t>
            </w:r>
            <w:r w:rsidRPr="00590648">
              <w:rPr>
                <w:sz w:val="18"/>
              </w:rPr>
              <w:t>pen.</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7</w:t>
            </w:r>
          </w:p>
          <w:p w:rsidR="00DD69FA" w:rsidRPr="00590648" w:rsidRDefault="00DD69FA">
            <w:pPr>
              <w:spacing w:after="80"/>
              <w:jc w:val="left"/>
              <w:rPr>
                <w:sz w:val="18"/>
              </w:rPr>
            </w:pP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9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Fi46 (kd) yrkande 4</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tilläggsd</w:t>
            </w:r>
            <w:r w:rsidRPr="00590648">
              <w:rPr>
                <w:sz w:val="18"/>
              </w:rPr>
              <w:t>i</w:t>
            </w:r>
            <w:r w:rsidRPr="00590648">
              <w:rPr>
                <w:sz w:val="18"/>
              </w:rPr>
              <w:t>rektiv till utredningen om det kommunala utjämningssystemet eller tillsättning av en parlame</w:t>
            </w:r>
            <w:r w:rsidRPr="00590648">
              <w:rPr>
                <w:sz w:val="18"/>
              </w:rPr>
              <w:t>n</w:t>
            </w:r>
            <w:r w:rsidRPr="00590648">
              <w:rPr>
                <w:sz w:val="18"/>
              </w:rPr>
              <w:t>tarisk utredning för att se över utjämningss</w:t>
            </w:r>
            <w:r w:rsidRPr="00590648">
              <w:rPr>
                <w:sz w:val="18"/>
              </w:rPr>
              <w:t>y</w:t>
            </w:r>
            <w:r w:rsidRPr="00590648">
              <w:rPr>
                <w:sz w:val="18"/>
              </w:rPr>
              <w:t>stemet.</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4</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4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Fi46 (kd) yrkande 5</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kommunal up</w:t>
            </w:r>
            <w:r w:rsidRPr="00590648">
              <w:rPr>
                <w:sz w:val="18"/>
              </w:rPr>
              <w:t>p</w:t>
            </w:r>
            <w:r w:rsidRPr="00590648">
              <w:rPr>
                <w:sz w:val="18"/>
              </w:rPr>
              <w:t>handling och eget val.</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10</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10 (m,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Fi46 (kd) yrkande 6</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riktade bidrag.</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7</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9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Fi47 (c) yrkande 1</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att förstärka den kommunala skattebasen.</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2001/02:FiU26</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5 (c)</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Fi47 (c) yrkande 2</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principerna för en översyn av det kommunala skatteutjämning</w:t>
            </w:r>
            <w:r w:rsidRPr="00590648">
              <w:rPr>
                <w:sz w:val="18"/>
              </w:rPr>
              <w:t>s</w:t>
            </w:r>
            <w:r w:rsidRPr="00590648">
              <w:rPr>
                <w:sz w:val="18"/>
              </w:rPr>
              <w:t>systemet.</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4</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Fi47 (c) yrkande 3</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att statsb</w:t>
            </w:r>
            <w:r w:rsidRPr="00590648">
              <w:rPr>
                <w:sz w:val="18"/>
              </w:rPr>
              <w:t>i</w:t>
            </w:r>
            <w:r w:rsidRPr="00590648">
              <w:rPr>
                <w:sz w:val="18"/>
              </w:rPr>
              <w:t>drag till kommunerna skall ges som fria medel och inte specia</w:t>
            </w:r>
            <w:r w:rsidRPr="00590648">
              <w:rPr>
                <w:sz w:val="18"/>
              </w:rPr>
              <w:t>l</w:t>
            </w:r>
            <w:r w:rsidRPr="00590648">
              <w:rPr>
                <w:sz w:val="18"/>
              </w:rPr>
              <w:t>destin</w:t>
            </w:r>
            <w:r w:rsidRPr="00590648">
              <w:rPr>
                <w:sz w:val="18"/>
              </w:rPr>
              <w:t>e</w:t>
            </w:r>
            <w:r w:rsidRPr="00590648">
              <w:rPr>
                <w:sz w:val="18"/>
              </w:rPr>
              <w:t xml:space="preserve">ras. </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7</w:t>
            </w:r>
            <w:r w:rsidRPr="00590648">
              <w:rPr>
                <w:sz w:val="18"/>
              </w:rPr>
              <w:br/>
              <w:t xml:space="preserve">2000/01:FiU3, </w:t>
            </w:r>
            <w:r w:rsidRPr="00590648">
              <w:rPr>
                <w:sz w:val="18"/>
              </w:rPr>
              <w:br/>
              <w:t>s. 39</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br/>
            </w:r>
            <w:r w:rsidRPr="00590648">
              <w:rPr>
                <w:sz w:val="18"/>
              </w:rPr>
              <w:br/>
              <w:t>res. 5 (c)</w:t>
            </w:r>
          </w:p>
        </w:tc>
      </w:tr>
    </w:tbl>
    <w:p w:rsidR="00DD69FA" w:rsidRPr="00590648" w:rsidRDefault="00DD69FA">
      <w:pPr>
        <w:pStyle w:val="Deltagare"/>
        <w:keepLines w:val="0"/>
        <w:spacing w:before="62" w:line="250" w:lineRule="atLeast"/>
        <w:rPr>
          <w:noProof w:val="0"/>
        </w:rPr>
      </w:pPr>
    </w:p>
    <w:tbl>
      <w:tblPr>
        <w:tblW w:w="0" w:type="auto"/>
        <w:tblInd w:w="-142" w:type="dxa"/>
        <w:tblBorders>
          <w:top w:val="single" w:sz="12" w:space="0" w:color="000000"/>
          <w:left w:val="nil"/>
          <w:bottom w:val="single" w:sz="12" w:space="0" w:color="000000"/>
          <w:right w:val="nil"/>
          <w:insideH w:val="nil"/>
          <w:insideV w:val="nil"/>
        </w:tblBorders>
        <w:tblLayout w:type="fixed"/>
        <w:tblCellMar>
          <w:left w:w="30" w:type="dxa"/>
          <w:right w:w="30" w:type="dxa"/>
        </w:tblCellMar>
        <w:tblLook w:val="003F" w:firstRow="1" w:lastRow="0" w:firstColumn="0" w:lastColumn="0" w:noHBand="0" w:noVBand="0"/>
      </w:tblPr>
      <w:tblGrid>
        <w:gridCol w:w="1276"/>
        <w:gridCol w:w="2479"/>
        <w:gridCol w:w="1392"/>
        <w:gridCol w:w="978"/>
      </w:tblGrid>
      <w:tr w:rsidR="00000000" w:rsidRPr="00590648">
        <w:tblPrEx>
          <w:tblCellMar>
            <w:top w:w="0" w:type="dxa"/>
            <w:bottom w:w="0" w:type="dxa"/>
          </w:tblCellMar>
        </w:tblPrEx>
        <w:tc>
          <w:tcPr>
            <w:tcW w:w="1276" w:type="dxa"/>
            <w:tcBorders>
              <w:bottom w:val="single" w:sz="12" w:space="0" w:color="000000"/>
            </w:tcBorders>
          </w:tcPr>
          <w:p w:rsidR="00DD69FA" w:rsidRPr="00590648" w:rsidRDefault="00DD69FA">
            <w:pPr>
              <w:spacing w:after="40"/>
              <w:jc w:val="left"/>
              <w:rPr>
                <w:b/>
                <w:caps/>
                <w:color w:val="000080"/>
              </w:rPr>
            </w:pPr>
            <w:r w:rsidRPr="00590648">
              <w:rPr>
                <w:b/>
                <w:color w:val="000080"/>
              </w:rPr>
              <w:t>Motions</w:t>
            </w:r>
            <w:r w:rsidRPr="00590648">
              <w:rPr>
                <w:b/>
                <w:color w:val="000080"/>
              </w:rPr>
              <w:softHyphen/>
              <w:t>yrkande</w:t>
            </w:r>
          </w:p>
        </w:tc>
        <w:tc>
          <w:tcPr>
            <w:tcW w:w="2479" w:type="dxa"/>
            <w:tcBorders>
              <w:bottom w:val="single" w:sz="12" w:space="0" w:color="000000"/>
            </w:tcBorders>
          </w:tcPr>
          <w:p w:rsidR="00DD69FA" w:rsidRPr="00590648" w:rsidRDefault="00DD69FA">
            <w:pPr>
              <w:spacing w:after="40"/>
              <w:jc w:val="left"/>
              <w:rPr>
                <w:b/>
                <w:caps/>
                <w:color w:val="000080"/>
              </w:rPr>
            </w:pPr>
            <w:r w:rsidRPr="00590648">
              <w:rPr>
                <w:b/>
                <w:color w:val="000080"/>
              </w:rPr>
              <w:t>Yrkandetext</w:t>
            </w:r>
            <w:r w:rsidRPr="00590648">
              <w:rPr>
                <w:b/>
                <w:caps/>
                <w:color w:val="000080"/>
              </w:rPr>
              <w:br/>
            </w:r>
          </w:p>
        </w:tc>
        <w:tc>
          <w:tcPr>
            <w:tcW w:w="1392" w:type="dxa"/>
            <w:tcBorders>
              <w:bottom w:val="single" w:sz="12" w:space="0" w:color="000000"/>
            </w:tcBorders>
          </w:tcPr>
          <w:p w:rsidR="00DD69FA" w:rsidRPr="00590648" w:rsidRDefault="00DD69FA">
            <w:pPr>
              <w:spacing w:after="40"/>
              <w:jc w:val="left"/>
              <w:rPr>
                <w:b/>
                <w:caps/>
                <w:color w:val="000080"/>
              </w:rPr>
            </w:pPr>
            <w:r w:rsidRPr="00590648">
              <w:rPr>
                <w:b/>
                <w:color w:val="000080"/>
              </w:rPr>
              <w:t>Behandl</w:t>
            </w:r>
            <w:r w:rsidRPr="00590648">
              <w:rPr>
                <w:b/>
                <w:color w:val="000080"/>
              </w:rPr>
              <w:t>a</w:t>
            </w:r>
            <w:r w:rsidRPr="00590648">
              <w:rPr>
                <w:b/>
                <w:color w:val="000080"/>
              </w:rPr>
              <w:t>des</w:t>
            </w:r>
          </w:p>
          <w:p w:rsidR="00DD69FA" w:rsidRPr="00590648" w:rsidRDefault="00DD69FA">
            <w:pPr>
              <w:pStyle w:val="Normaltindrag"/>
              <w:spacing w:after="40"/>
              <w:ind w:firstLine="0"/>
              <w:jc w:val="left"/>
              <w:rPr>
                <w:b/>
                <w:caps/>
                <w:color w:val="000080"/>
              </w:rPr>
            </w:pPr>
            <w:r w:rsidRPr="00590648">
              <w:rPr>
                <w:b/>
                <w:color w:val="000080"/>
              </w:rPr>
              <w:t>senast</w:t>
            </w:r>
          </w:p>
        </w:tc>
        <w:tc>
          <w:tcPr>
            <w:tcW w:w="978" w:type="dxa"/>
            <w:tcBorders>
              <w:bottom w:val="single" w:sz="12" w:space="0" w:color="000000"/>
            </w:tcBorders>
          </w:tcPr>
          <w:p w:rsidR="00DD69FA" w:rsidRPr="00590648" w:rsidRDefault="00DD69FA">
            <w:pPr>
              <w:spacing w:after="40"/>
              <w:jc w:val="left"/>
              <w:rPr>
                <w:b/>
                <w:caps/>
                <w:color w:val="000080"/>
              </w:rPr>
            </w:pPr>
            <w:r w:rsidRPr="00590648">
              <w:rPr>
                <w:b/>
                <w:color w:val="000080"/>
              </w:rPr>
              <w:t>Reserv</w:t>
            </w:r>
            <w:r w:rsidRPr="00590648">
              <w:rPr>
                <w:b/>
                <w:color w:val="000080"/>
              </w:rPr>
              <w:t>a</w:t>
            </w:r>
            <w:r w:rsidRPr="00590648">
              <w:rPr>
                <w:b/>
                <w:color w:val="000080"/>
              </w:rPr>
              <w:t>tion</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Fi47 (c) yrkande 4</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att finansi</w:t>
            </w:r>
            <w:r w:rsidRPr="00590648">
              <w:rPr>
                <w:sz w:val="18"/>
              </w:rPr>
              <w:t>e</w:t>
            </w:r>
            <w:r w:rsidRPr="00590648">
              <w:rPr>
                <w:sz w:val="18"/>
              </w:rPr>
              <w:t>ring</w:t>
            </w:r>
            <w:r w:rsidRPr="00590648">
              <w:rPr>
                <w:sz w:val="18"/>
              </w:rPr>
              <w:t>s</w:t>
            </w:r>
            <w:r w:rsidRPr="00590648">
              <w:rPr>
                <w:sz w:val="18"/>
              </w:rPr>
              <w:t>principen skall följas strikt.</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7</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9 (kd)</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Fi48 (fp) yrkande 1</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pPr>
            <w:r w:rsidRPr="00590648">
              <w:t>Riksdagen tillkännager för regeringen som sin mening vad i motionen anförs om statens och kommunernas uppgifter vad gäller äldrevårdens u</w:t>
            </w:r>
            <w:r w:rsidRPr="00590648">
              <w:t>t</w:t>
            </w:r>
            <w:r w:rsidRPr="00590648">
              <w:t>veckling.</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2001/02:SoU12,</w:t>
            </w:r>
            <w:r w:rsidRPr="00590648">
              <w:rPr>
                <w:sz w:val="18"/>
              </w:rPr>
              <w:br/>
              <w:t>s. 7–17</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9, 15, 23, alla (fp)</w:t>
            </w:r>
            <w:r w:rsidRPr="00590648">
              <w:rPr>
                <w:sz w:val="18"/>
              </w:rPr>
              <w:br/>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Fi48 (fp) yrkande 2</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statens och kommunernas uppgifter vad gäller tillgänglighetsreform för funktion</w:t>
            </w:r>
            <w:r w:rsidRPr="00590648">
              <w:rPr>
                <w:sz w:val="18"/>
              </w:rPr>
              <w:t>s</w:t>
            </w:r>
            <w:r w:rsidRPr="00590648">
              <w:rPr>
                <w:sz w:val="18"/>
              </w:rPr>
              <w:t>hindrade.</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2001/02:SoU1,</w:t>
            </w:r>
            <w:r w:rsidRPr="00590648">
              <w:rPr>
                <w:sz w:val="18"/>
              </w:rPr>
              <w:br/>
              <w:t xml:space="preserve">s. 61–62 </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Sy4 (fp)</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Fi48 (fp) yrkande 3</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de finans</w:t>
            </w:r>
            <w:r w:rsidRPr="00590648">
              <w:rPr>
                <w:sz w:val="18"/>
              </w:rPr>
              <w:t>i</w:t>
            </w:r>
            <w:r w:rsidRPr="00590648">
              <w:rPr>
                <w:sz w:val="18"/>
              </w:rPr>
              <w:t>ella principerna för statligt och kommunalt finansieringsansvar för skolväsendet.</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2001/02:UbU1,</w:t>
            </w:r>
            <w:r w:rsidRPr="00590648">
              <w:rPr>
                <w:sz w:val="18"/>
              </w:rPr>
              <w:br/>
              <w:t>s. 25</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1 (m)</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Fi48 (fp) yrkande 4</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skolan och folkhälsoarbetet, såvitt avser droginfo</w:t>
            </w:r>
            <w:r w:rsidRPr="00590648">
              <w:rPr>
                <w:sz w:val="18"/>
              </w:rPr>
              <w:t>r</w:t>
            </w:r>
            <w:r w:rsidRPr="00590648">
              <w:rPr>
                <w:sz w:val="18"/>
              </w:rPr>
              <w:t>mation.</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2001/02:UbU10, s. 49–51</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2 (fp)</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Fi48 (fp) yrkande 5</w:t>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vad i motionen anförs om ansvarsfö</w:t>
            </w:r>
            <w:r w:rsidRPr="00590648">
              <w:rPr>
                <w:sz w:val="18"/>
              </w:rPr>
              <w:t>r</w:t>
            </w:r>
            <w:r w:rsidRPr="00590648">
              <w:rPr>
                <w:sz w:val="18"/>
              </w:rPr>
              <w:t>delningen mellan stat och ko</w:t>
            </w:r>
            <w:r w:rsidRPr="00590648">
              <w:rPr>
                <w:sz w:val="18"/>
              </w:rPr>
              <w:t>m</w:t>
            </w:r>
            <w:r w:rsidRPr="00590648">
              <w:rPr>
                <w:sz w:val="18"/>
              </w:rPr>
              <w:t>mun såvitt gäller missbrukarvå</w:t>
            </w:r>
            <w:r w:rsidRPr="00590648">
              <w:rPr>
                <w:sz w:val="18"/>
              </w:rPr>
              <w:t>r</w:t>
            </w:r>
            <w:r w:rsidRPr="00590648">
              <w:rPr>
                <w:sz w:val="18"/>
              </w:rPr>
              <w:t>den.</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2001/02:SoU15</w:t>
            </w:r>
            <w:r w:rsidRPr="00590648">
              <w:rPr>
                <w:sz w:val="18"/>
              </w:rPr>
              <w:br/>
              <w:t>s. 37–39</w:t>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17 (fp)</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Fi48 (fp) yrkande 8</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beslutar om hur vin</w:t>
            </w:r>
            <w:r w:rsidRPr="00590648">
              <w:rPr>
                <w:sz w:val="18"/>
              </w:rPr>
              <w:t>s</w:t>
            </w:r>
            <w:r w:rsidRPr="00590648">
              <w:rPr>
                <w:sz w:val="18"/>
              </w:rPr>
              <w:t>ter av kommunal skatteplanering genom koncernbidrag mellan bolag skall neutraliseras när statsbidrag bet</w:t>
            </w:r>
            <w:r w:rsidRPr="00590648">
              <w:rPr>
                <w:sz w:val="18"/>
              </w:rPr>
              <w:t>a</w:t>
            </w:r>
            <w:r w:rsidRPr="00590648">
              <w:rPr>
                <w:sz w:val="18"/>
              </w:rPr>
              <w:t>las ut.</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avsnitten 3 och 9</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Sy6 (fp)</w:t>
            </w:r>
            <w:r w:rsidRPr="00590648">
              <w:rPr>
                <w:sz w:val="18"/>
              </w:rPr>
              <w:br/>
              <w:t>res. 10 (m, fp)</w:t>
            </w:r>
          </w:p>
        </w:tc>
      </w:tr>
      <w:tr w:rsidR="00000000" w:rsidRPr="00590648">
        <w:tblPrEx>
          <w:tblCellMar>
            <w:top w:w="0" w:type="dxa"/>
            <w:bottom w:w="0" w:type="dxa"/>
          </w:tblCellMar>
        </w:tblPrEx>
        <w:tc>
          <w:tcPr>
            <w:tcW w:w="1276" w:type="dxa"/>
            <w:tcBorders>
              <w:bottom w:val="single" w:sz="12" w:space="0" w:color="000000"/>
            </w:tcBorders>
          </w:tcPr>
          <w:p w:rsidR="00DD69FA" w:rsidRPr="00590648" w:rsidRDefault="00DD69FA">
            <w:pPr>
              <w:spacing w:after="40"/>
              <w:jc w:val="left"/>
              <w:rPr>
                <w:b/>
                <w:caps/>
                <w:color w:val="000080"/>
              </w:rPr>
            </w:pPr>
            <w:r w:rsidRPr="00590648">
              <w:rPr>
                <w:b/>
                <w:color w:val="000080"/>
              </w:rPr>
              <w:t>Motions</w:t>
            </w:r>
            <w:r w:rsidRPr="00590648">
              <w:rPr>
                <w:b/>
                <w:color w:val="000080"/>
              </w:rPr>
              <w:softHyphen/>
              <w:t>yrkande</w:t>
            </w:r>
          </w:p>
        </w:tc>
        <w:tc>
          <w:tcPr>
            <w:tcW w:w="2479" w:type="dxa"/>
            <w:tcBorders>
              <w:bottom w:val="single" w:sz="12" w:space="0" w:color="000000"/>
            </w:tcBorders>
          </w:tcPr>
          <w:p w:rsidR="00DD69FA" w:rsidRPr="00590648" w:rsidRDefault="00DD69FA">
            <w:pPr>
              <w:spacing w:after="40"/>
              <w:jc w:val="left"/>
              <w:rPr>
                <w:b/>
                <w:caps/>
                <w:color w:val="000080"/>
              </w:rPr>
            </w:pPr>
            <w:r w:rsidRPr="00590648">
              <w:rPr>
                <w:b/>
                <w:color w:val="000080"/>
              </w:rPr>
              <w:t>Yrkandetext</w:t>
            </w:r>
            <w:r w:rsidRPr="00590648">
              <w:rPr>
                <w:b/>
                <w:caps/>
                <w:color w:val="000080"/>
              </w:rPr>
              <w:br/>
            </w:r>
          </w:p>
        </w:tc>
        <w:tc>
          <w:tcPr>
            <w:tcW w:w="1392" w:type="dxa"/>
            <w:tcBorders>
              <w:bottom w:val="single" w:sz="12" w:space="0" w:color="000000"/>
            </w:tcBorders>
          </w:tcPr>
          <w:p w:rsidR="00DD69FA" w:rsidRPr="00590648" w:rsidRDefault="00DD69FA">
            <w:pPr>
              <w:spacing w:after="40"/>
              <w:jc w:val="left"/>
              <w:rPr>
                <w:b/>
                <w:caps/>
                <w:color w:val="000080"/>
              </w:rPr>
            </w:pPr>
            <w:r w:rsidRPr="00590648">
              <w:rPr>
                <w:b/>
                <w:color w:val="000080"/>
              </w:rPr>
              <w:t>Behandl</w:t>
            </w:r>
            <w:r w:rsidRPr="00590648">
              <w:rPr>
                <w:b/>
                <w:color w:val="000080"/>
              </w:rPr>
              <w:t>a</w:t>
            </w:r>
            <w:r w:rsidRPr="00590648">
              <w:rPr>
                <w:b/>
                <w:color w:val="000080"/>
              </w:rPr>
              <w:t>des</w:t>
            </w:r>
          </w:p>
          <w:p w:rsidR="00DD69FA" w:rsidRPr="00590648" w:rsidRDefault="00DD69FA">
            <w:pPr>
              <w:pStyle w:val="Normaltindrag"/>
              <w:spacing w:after="40"/>
              <w:ind w:firstLine="0"/>
              <w:jc w:val="left"/>
              <w:rPr>
                <w:b/>
                <w:caps/>
                <w:color w:val="000080"/>
              </w:rPr>
            </w:pPr>
            <w:r w:rsidRPr="00590648">
              <w:rPr>
                <w:b/>
                <w:color w:val="000080"/>
              </w:rPr>
              <w:t>senast</w:t>
            </w:r>
          </w:p>
        </w:tc>
        <w:tc>
          <w:tcPr>
            <w:tcW w:w="978" w:type="dxa"/>
            <w:tcBorders>
              <w:bottom w:val="single" w:sz="12" w:space="0" w:color="000000"/>
            </w:tcBorders>
          </w:tcPr>
          <w:p w:rsidR="00DD69FA" w:rsidRPr="00590648" w:rsidRDefault="00DD69FA">
            <w:pPr>
              <w:spacing w:after="40"/>
              <w:jc w:val="left"/>
              <w:rPr>
                <w:b/>
                <w:caps/>
                <w:color w:val="000080"/>
              </w:rPr>
            </w:pPr>
            <w:r w:rsidRPr="00590648">
              <w:rPr>
                <w:b/>
                <w:color w:val="000080"/>
              </w:rPr>
              <w:t>Reserv</w:t>
            </w:r>
            <w:r w:rsidRPr="00590648">
              <w:rPr>
                <w:b/>
                <w:color w:val="000080"/>
              </w:rPr>
              <w:t>a</w:t>
            </w:r>
            <w:r w:rsidRPr="00590648">
              <w:rPr>
                <w:b/>
                <w:color w:val="000080"/>
              </w:rPr>
              <w:t>tion</w:t>
            </w:r>
          </w:p>
        </w:tc>
      </w:tr>
      <w:tr w:rsidR="00000000" w:rsidRPr="00590648">
        <w:tblPrEx>
          <w:tblCellMar>
            <w:top w:w="0" w:type="dxa"/>
            <w:bottom w:w="0" w:type="dxa"/>
          </w:tblCellMar>
        </w:tblPrEx>
        <w:tc>
          <w:tcPr>
            <w:tcW w:w="1276"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Mot. Fi48 (fp) yrkande 9</w:t>
            </w:r>
            <w:r w:rsidRPr="00590648">
              <w:rPr>
                <w:sz w:val="18"/>
              </w:rPr>
              <w:br/>
            </w:r>
          </w:p>
        </w:tc>
        <w:tc>
          <w:tcPr>
            <w:tcW w:w="2479"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att Skatteutjämningsutredningen bör ges nya direktiv för grundlig reformering av inkomst- och kostnadsutjämningssystemet i enlighet med motionens riktli</w:t>
            </w:r>
            <w:r w:rsidRPr="00590648">
              <w:rPr>
                <w:sz w:val="18"/>
              </w:rPr>
              <w:t>n</w:t>
            </w:r>
            <w:r w:rsidRPr="00590648">
              <w:rPr>
                <w:sz w:val="18"/>
              </w:rPr>
              <w:t>jer.</w:t>
            </w:r>
          </w:p>
        </w:tc>
        <w:tc>
          <w:tcPr>
            <w:tcW w:w="1392"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2001/02:FiU3, avsnitt 4</w:t>
            </w:r>
            <w:r w:rsidRPr="00590648">
              <w:rPr>
                <w:sz w:val="18"/>
              </w:rPr>
              <w:br/>
            </w:r>
          </w:p>
        </w:tc>
        <w:tc>
          <w:tcPr>
            <w:tcW w:w="978" w:type="dxa"/>
            <w:tcBorders>
              <w:top w:val="single" w:sz="6" w:space="0" w:color="000000"/>
              <w:bottom w:val="single" w:sz="6" w:space="0" w:color="000000"/>
            </w:tcBorders>
          </w:tcPr>
          <w:p w:rsidR="00DD69FA" w:rsidRPr="00590648" w:rsidRDefault="00DD69FA">
            <w:pPr>
              <w:spacing w:after="80"/>
              <w:jc w:val="left"/>
              <w:rPr>
                <w:sz w:val="18"/>
              </w:rPr>
            </w:pPr>
            <w:r w:rsidRPr="00590648">
              <w:rPr>
                <w:sz w:val="18"/>
              </w:rPr>
              <w:t>res. 5 (fp)</w:t>
            </w:r>
          </w:p>
        </w:tc>
      </w:tr>
      <w:tr w:rsidR="00000000" w:rsidRPr="00590648">
        <w:tblPrEx>
          <w:tblCellMar>
            <w:top w:w="0" w:type="dxa"/>
            <w:bottom w:w="0" w:type="dxa"/>
          </w:tblCellMar>
        </w:tblPrEx>
        <w:tc>
          <w:tcPr>
            <w:tcW w:w="1276" w:type="dxa"/>
            <w:tcBorders>
              <w:top w:val="single" w:sz="6" w:space="0" w:color="000000"/>
            </w:tcBorders>
          </w:tcPr>
          <w:p w:rsidR="00DD69FA" w:rsidRPr="00590648" w:rsidRDefault="00DD69FA">
            <w:pPr>
              <w:spacing w:after="80"/>
              <w:jc w:val="left"/>
              <w:rPr>
                <w:sz w:val="18"/>
              </w:rPr>
            </w:pPr>
            <w:r w:rsidRPr="00590648">
              <w:rPr>
                <w:sz w:val="18"/>
              </w:rPr>
              <w:t>Mot. Fi48 (fp) yrkande 10</w:t>
            </w:r>
            <w:r w:rsidRPr="00590648">
              <w:rPr>
                <w:sz w:val="18"/>
              </w:rPr>
              <w:br/>
            </w:r>
          </w:p>
        </w:tc>
        <w:tc>
          <w:tcPr>
            <w:tcW w:w="2479" w:type="dxa"/>
            <w:tcBorders>
              <w:top w:val="single" w:sz="6" w:space="0" w:color="000000"/>
            </w:tcBorders>
          </w:tcPr>
          <w:p w:rsidR="00DD69FA" w:rsidRPr="00590648" w:rsidRDefault="00DD69FA">
            <w:pPr>
              <w:spacing w:after="80"/>
              <w:jc w:val="left"/>
              <w:rPr>
                <w:sz w:val="18"/>
              </w:rPr>
            </w:pPr>
            <w:r w:rsidRPr="00590648">
              <w:rPr>
                <w:sz w:val="18"/>
              </w:rPr>
              <w:t>Riksdagen tillkännager för r</w:t>
            </w:r>
            <w:r w:rsidRPr="00590648">
              <w:rPr>
                <w:sz w:val="18"/>
              </w:rPr>
              <w:t>e</w:t>
            </w:r>
            <w:r w:rsidRPr="00590648">
              <w:rPr>
                <w:sz w:val="18"/>
              </w:rPr>
              <w:t>geringen som sin mening att Skatteutjämningsutredningen bör ges direktiv att utreda förutsät</w:t>
            </w:r>
            <w:r w:rsidRPr="00590648">
              <w:rPr>
                <w:sz w:val="18"/>
              </w:rPr>
              <w:t>t</w:t>
            </w:r>
            <w:r w:rsidRPr="00590648">
              <w:rPr>
                <w:sz w:val="18"/>
              </w:rPr>
              <w:t>ningar för och konsekvenser av att överföra utjämningssystemet i statlig fina</w:t>
            </w:r>
            <w:r w:rsidRPr="00590648">
              <w:rPr>
                <w:sz w:val="18"/>
              </w:rPr>
              <w:t>n</w:t>
            </w:r>
            <w:r w:rsidRPr="00590648">
              <w:rPr>
                <w:sz w:val="18"/>
              </w:rPr>
              <w:t>siering.</w:t>
            </w:r>
          </w:p>
        </w:tc>
        <w:tc>
          <w:tcPr>
            <w:tcW w:w="1392" w:type="dxa"/>
            <w:tcBorders>
              <w:top w:val="single" w:sz="6" w:space="0" w:color="000000"/>
            </w:tcBorders>
          </w:tcPr>
          <w:p w:rsidR="00DD69FA" w:rsidRPr="00590648" w:rsidRDefault="00DD69FA">
            <w:pPr>
              <w:spacing w:after="80"/>
              <w:jc w:val="left"/>
              <w:rPr>
                <w:sz w:val="18"/>
              </w:rPr>
            </w:pPr>
            <w:r w:rsidRPr="00590648">
              <w:rPr>
                <w:sz w:val="18"/>
              </w:rPr>
              <w:t>2001/02:FiU3, avsnitt 4</w:t>
            </w:r>
            <w:r w:rsidRPr="00590648">
              <w:rPr>
                <w:sz w:val="18"/>
              </w:rPr>
              <w:br/>
            </w:r>
          </w:p>
        </w:tc>
        <w:tc>
          <w:tcPr>
            <w:tcW w:w="978" w:type="dxa"/>
            <w:tcBorders>
              <w:top w:val="single" w:sz="6" w:space="0" w:color="000000"/>
            </w:tcBorders>
          </w:tcPr>
          <w:p w:rsidR="00DD69FA" w:rsidRPr="00590648" w:rsidRDefault="00DD69FA">
            <w:pPr>
              <w:spacing w:after="80"/>
              <w:jc w:val="left"/>
              <w:rPr>
                <w:sz w:val="18"/>
              </w:rPr>
            </w:pPr>
            <w:r w:rsidRPr="00590648">
              <w:rPr>
                <w:sz w:val="18"/>
              </w:rPr>
              <w:t>res. 5 (fp)</w:t>
            </w:r>
          </w:p>
        </w:tc>
      </w:tr>
    </w:tbl>
    <w:p w:rsidR="00DD69FA" w:rsidRPr="00590648" w:rsidRDefault="00DD69FA">
      <w:pPr>
        <w:pStyle w:val="Normaltindrag"/>
      </w:pPr>
    </w:p>
    <w:p w:rsidR="00DD69FA" w:rsidRPr="00590648" w:rsidRDefault="00DD69FA">
      <w:pPr>
        <w:pStyle w:val="Normaltindrag"/>
      </w:pPr>
    </w:p>
    <w:p w:rsidR="00DD69FA" w:rsidRPr="00590648" w:rsidRDefault="00DD69FA">
      <w:pPr>
        <w:pStyle w:val="Normaltindrag"/>
        <w:sectPr w:rsidR="00000000" w:rsidRPr="0059064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D69FA" w:rsidRPr="00590648" w:rsidRDefault="00DD69FA">
      <w:pPr>
        <w:pStyle w:val="Rubrik1"/>
        <w:rPr>
          <w:noProof w:val="0"/>
        </w:rPr>
      </w:pPr>
      <w:bookmarkStart w:id="29" w:name="_Toc10795495"/>
      <w:r w:rsidRPr="00590648">
        <w:rPr>
          <w:noProof w:val="0"/>
        </w:rPr>
        <w:t>Reservationer</w:t>
      </w:r>
      <w:bookmarkEnd w:id="29"/>
    </w:p>
    <w:p w:rsidR="00DD69FA" w:rsidRPr="00590648" w:rsidRDefault="00DD69FA">
      <w:r w:rsidRPr="00590648">
        <w:t>Utskottets förslag till riksdagsbeslut och ställningstaganden har föranlett följande reservationer. I rubriken anges vilken punkt i utskottets förslag till riksdagsbeslut som behandlas i avsnittet.</w:t>
      </w:r>
    </w:p>
    <w:p w:rsidR="00DD69FA" w:rsidRPr="00590648" w:rsidRDefault="00DD69FA">
      <w:pPr>
        <w:pStyle w:val="Reservationspunkt"/>
        <w:rPr>
          <w:noProof w:val="0"/>
        </w:rPr>
      </w:pPr>
      <w:bookmarkStart w:id="30" w:name="_Toc10795496"/>
      <w:r w:rsidRPr="00590648">
        <w:rPr>
          <w:noProof w:val="0"/>
        </w:rPr>
        <w:t>1.</w:t>
      </w:r>
      <w:r w:rsidRPr="00590648">
        <w:rPr>
          <w:noProof w:val="0"/>
        </w:rPr>
        <w:tab/>
        <w:t>Förändringar av utjämningssystemet 2002 – punkt 2 (m)</w:t>
      </w:r>
      <w:bookmarkEnd w:id="30"/>
    </w:p>
    <w:p w:rsidR="00DD69FA" w:rsidRPr="00590648" w:rsidRDefault="00DD69FA">
      <w:pPr>
        <w:pStyle w:val="Reservanter"/>
      </w:pPr>
      <w:r w:rsidRPr="00590648">
        <w:t>av Gunnar Hökmark, Lennart Hedquist, Anna Åkerhielm och Gunnar Axén (alla m).</w:t>
      </w:r>
    </w:p>
    <w:p w:rsidR="00DD69FA" w:rsidRPr="00590648" w:rsidRDefault="00DD69FA">
      <w:pPr>
        <w:pStyle w:val="R4"/>
      </w:pPr>
      <w:r w:rsidRPr="00590648">
        <w:t>Förslag till riksdagsbeslut</w:t>
      </w:r>
    </w:p>
    <w:p w:rsidR="00DD69FA" w:rsidRPr="00590648" w:rsidRDefault="00DD69FA">
      <w:r w:rsidRPr="00590648">
        <w:t>Vi anser att utskottets förslag under punkt 2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 xml:space="preserve">servation 1. Därmed bifaller riksdagen motionerna </w:t>
      </w:r>
    </w:p>
    <w:p w:rsidR="00DD69FA" w:rsidRPr="00590648" w:rsidRDefault="00DD69FA">
      <w:r w:rsidRPr="00590648">
        <w:t>2001/02:Fi42 av Bo Lundgren m.fl. (m) yrkande 16 samt</w:t>
      </w:r>
    </w:p>
    <w:p w:rsidR="00DD69FA" w:rsidRPr="00590648" w:rsidRDefault="00DD69FA">
      <w:pPr>
        <w:pStyle w:val="Reservantfrslag"/>
      </w:pPr>
      <w:r w:rsidRPr="00590648">
        <w:t>2001/02:Fi45 av Gunnar Hökmark m.fl. (m) yrkande 4.</w:t>
      </w:r>
    </w:p>
    <w:p w:rsidR="00DD69FA" w:rsidRPr="00590648" w:rsidRDefault="00DD69FA">
      <w:pPr>
        <w:pStyle w:val="R4"/>
      </w:pPr>
      <w:r w:rsidRPr="00590648">
        <w:t>Ställningstagande</w:t>
      </w:r>
    </w:p>
    <w:p w:rsidR="00DD69FA" w:rsidRPr="00590648" w:rsidRDefault="00DD69FA">
      <w:r w:rsidRPr="00590648">
        <w:t>Vi anser att vissa absolut nödvändiga förändringar av utjämningssystemet bör genomföras omedelbart. Ett allvarligt tillväxtfientligt inslag i dagens utjä</w:t>
      </w:r>
      <w:r w:rsidRPr="00590648">
        <w:t>m</w:t>
      </w:r>
      <w:r w:rsidRPr="00590648">
        <w:t>ningssystem är att kommuner och landsting med växande relativ skattekraft  inte till någon del får behålla inkomsterna av denna tillväxt medan de helt belastas av dess kostnader.  Inom ramen för i grunden oförändrad utjä</w:t>
      </w:r>
      <w:r w:rsidRPr="00590648">
        <w:t>m</w:t>
      </w:r>
      <w:r w:rsidRPr="00590648">
        <w:t>ningsgrad måste därför på sätt vi föreslagit de senaste åren inkomstutjä</w:t>
      </w:r>
      <w:r w:rsidRPr="00590648">
        <w:t>m</w:t>
      </w:r>
      <w:r w:rsidRPr="00590648">
        <w:t>ningen ändras så att effekten av alla positiva, relativa förändringar i skatt</w:t>
      </w:r>
      <w:r w:rsidRPr="00590648">
        <w:t>e</w:t>
      </w:r>
      <w:r w:rsidRPr="00590648">
        <w:t>kraft får behållas till 100  %. Kommuner som förlorar skattekraft skall samt</w:t>
      </w:r>
      <w:r w:rsidRPr="00590648">
        <w:t>i</w:t>
      </w:r>
      <w:r w:rsidRPr="00590648">
        <w:t>digt inte drabbas av sänkta bidrag. Denna förändring bör tillä</w:t>
      </w:r>
      <w:r w:rsidRPr="00590648">
        <w:t>mpas fr.o.m. 2002.</w:t>
      </w:r>
    </w:p>
    <w:p w:rsidR="00DD69FA" w:rsidRPr="00590648" w:rsidRDefault="00DD69FA">
      <w:pPr>
        <w:pStyle w:val="Normaltindrag"/>
      </w:pPr>
      <w:r w:rsidRPr="00590648">
        <w:t>Den skenande utjämningsavgiften slår hårt mot t.ex. landstings</w:t>
      </w:r>
      <w:r w:rsidRPr="00590648">
        <w:rPr>
          <w:b/>
        </w:rPr>
        <w:t xml:space="preserve"> </w:t>
      </w:r>
      <w:r w:rsidRPr="00590648">
        <w:t>möjligheter att erbjuda god sjukvård. I avvaktan på ett nytt system måste detta ändras genom att en spärr införs för inkomstutjämning för landsting. Vi föreslår därför att ett landsting under 2002 högst skall erlägga 10 % av sin relativa skattekraft, och fr.o.m. 2003 högst 7 %.</w:t>
      </w:r>
    </w:p>
    <w:p w:rsidR="00DD69FA" w:rsidRPr="00590648" w:rsidRDefault="00DD69FA">
      <w:pPr>
        <w:pStyle w:val="Normaltindrag"/>
      </w:pPr>
      <w:r w:rsidRPr="00590648">
        <w:t>Med det anförda föreslår vi att riksdagen bifaller motionerna Fi42 (m) y</w:t>
      </w:r>
      <w:r w:rsidRPr="00590648">
        <w:t>r</w:t>
      </w:r>
      <w:r w:rsidRPr="00590648">
        <w:t>kande 16 samt Fi45 (m) yrkande 4.</w:t>
      </w:r>
    </w:p>
    <w:p w:rsidR="00DD69FA" w:rsidRPr="00590648" w:rsidRDefault="00DD69FA">
      <w:pPr>
        <w:pStyle w:val="Reservationspunkt"/>
        <w:rPr>
          <w:noProof w:val="0"/>
        </w:rPr>
      </w:pPr>
      <w:r w:rsidRPr="00590648">
        <w:rPr>
          <w:noProof w:val="0"/>
        </w:rPr>
        <w:br w:type="page"/>
      </w:r>
      <w:bookmarkStart w:id="31" w:name="_Toc10795497"/>
      <w:r w:rsidRPr="00590648">
        <w:rPr>
          <w:noProof w:val="0"/>
        </w:rPr>
        <w:t>2.</w:t>
      </w:r>
      <w:r w:rsidRPr="00590648">
        <w:rPr>
          <w:noProof w:val="0"/>
        </w:rPr>
        <w:tab/>
        <w:t>Kommunala bolag – punkt 3 (m, fp)</w:t>
      </w:r>
      <w:bookmarkEnd w:id="31"/>
    </w:p>
    <w:p w:rsidR="00DD69FA" w:rsidRPr="00590648" w:rsidRDefault="00DD69FA">
      <w:pPr>
        <w:pStyle w:val="Reservanter"/>
      </w:pPr>
      <w:r w:rsidRPr="00590648">
        <w:t>av Gunnar Hökmark (m), Lennart Hedquist (m), Anna Åkerhielm (m), Gunnar Axén (m) och Karin Pilsäter (fp).</w:t>
      </w:r>
    </w:p>
    <w:p w:rsidR="00DD69FA" w:rsidRPr="00590648" w:rsidRDefault="00DD69FA">
      <w:pPr>
        <w:pStyle w:val="R4"/>
      </w:pPr>
      <w:r w:rsidRPr="00590648">
        <w:t>Förslag till riksdagsbeslut</w:t>
      </w:r>
    </w:p>
    <w:p w:rsidR="00DD69FA" w:rsidRPr="00590648" w:rsidRDefault="00DD69FA">
      <w:r w:rsidRPr="00590648">
        <w:t>Vi anser att utskottets förslag under punkt 3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servation 2. Därmed bifaller riksdagen delvis motion</w:t>
      </w:r>
    </w:p>
    <w:p w:rsidR="00DD69FA" w:rsidRPr="00590648" w:rsidRDefault="00DD69FA">
      <w:pPr>
        <w:pStyle w:val="Reservantfrslag"/>
      </w:pPr>
      <w:r w:rsidRPr="00590648">
        <w:t>2001/02:Fi48 av Karin Pilsäter m.fl. (fp) yrkande 6.</w:t>
      </w:r>
    </w:p>
    <w:p w:rsidR="00DD69FA" w:rsidRPr="00590648" w:rsidRDefault="00DD69FA">
      <w:pPr>
        <w:pStyle w:val="R4"/>
      </w:pPr>
      <w:r w:rsidRPr="00590648">
        <w:t>Ställningstagande</w:t>
      </w:r>
    </w:p>
    <w:p w:rsidR="00DD69FA" w:rsidRPr="00590648" w:rsidRDefault="00DD69FA">
      <w:r w:rsidRPr="00590648">
        <w:rPr>
          <w:snapToGrid w:val="0"/>
          <w:lang w:eastAsia="sv-SE"/>
        </w:rPr>
        <w:t>Vi anser att kommunal verksamhet inte annat än i rena undantagsfall skall drivas i bolagsform. Bolagsformen skapar en mängd problem. Medborgarnas möjligheter till insyn begränsas. Det kan uppstå konflikter mellan komm</w:t>
      </w:r>
      <w:r w:rsidRPr="00590648">
        <w:rPr>
          <w:snapToGrid w:val="0"/>
          <w:lang w:eastAsia="sv-SE"/>
        </w:rPr>
        <w:t>u</w:t>
      </w:r>
      <w:r w:rsidRPr="00590648">
        <w:rPr>
          <w:snapToGrid w:val="0"/>
          <w:lang w:eastAsia="sv-SE"/>
        </w:rPr>
        <w:t>nens och bolagets intressen där styrelseledamöternas uppgift är att försvara bolagets intresse även om kommunen har kontroll över bolaget. Det finns också ekonomiska risker med bolag, och detta kan gå ut över den kommunala verksamheten. Till skillnad från verksamhet som bedrivs i förvaltningsform är de kommunala bolagen skyldiga att betala statlig skatt. För att undvika detta används kommunala koncernbildningar och andra former av avancerad ska</w:t>
      </w:r>
      <w:r w:rsidRPr="00590648">
        <w:rPr>
          <w:snapToGrid w:val="0"/>
          <w:lang w:eastAsia="sv-SE"/>
        </w:rPr>
        <w:t>t</w:t>
      </w:r>
      <w:r w:rsidRPr="00590648">
        <w:rPr>
          <w:snapToGrid w:val="0"/>
          <w:lang w:eastAsia="sv-SE"/>
        </w:rPr>
        <w:t>teplanering, vilket vi bestämt vänder oss mot. Vi anser att de</w:t>
      </w:r>
      <w:r w:rsidRPr="00590648">
        <w:rPr>
          <w:snapToGrid w:val="0"/>
          <w:lang w:eastAsia="sv-SE"/>
        </w:rPr>
        <w:t>t är angeläget att utreda möjligheterna att klara de kommunala uppgifterna utan användning av kommunala bolag.</w:t>
      </w:r>
    </w:p>
    <w:p w:rsidR="00DD69FA" w:rsidRPr="00590648" w:rsidRDefault="00DD69FA">
      <w:pPr>
        <w:pStyle w:val="Normaltindrag"/>
      </w:pPr>
      <w:r w:rsidRPr="00590648">
        <w:t>Detta bör riksdagen tillkännage för regeringen som sin mening. Därmed tillstyrker vi delvis motion Fi48 (fp) yrkande 6.</w:t>
      </w:r>
    </w:p>
    <w:p w:rsidR="00DD69FA" w:rsidRPr="00590648" w:rsidRDefault="00DD69FA">
      <w:pPr>
        <w:pStyle w:val="Reservationspunkt"/>
        <w:rPr>
          <w:noProof w:val="0"/>
        </w:rPr>
      </w:pPr>
      <w:bookmarkStart w:id="32" w:name="_Toc10795498"/>
      <w:r w:rsidRPr="00590648">
        <w:rPr>
          <w:noProof w:val="0"/>
        </w:rPr>
        <w:t>3.</w:t>
      </w:r>
      <w:r w:rsidRPr="00590648">
        <w:rPr>
          <w:noProof w:val="0"/>
        </w:rPr>
        <w:tab/>
        <w:t>Statistik om sjukvårdens produktivitet – punkt 4 (m, kd, fp)</w:t>
      </w:r>
      <w:bookmarkEnd w:id="32"/>
    </w:p>
    <w:p w:rsidR="00DD69FA" w:rsidRPr="00590648" w:rsidRDefault="00DD69FA">
      <w:pPr>
        <w:pStyle w:val="Reservanter"/>
      </w:pPr>
      <w:r w:rsidRPr="00590648">
        <w:t>av Mats Odell (kd), Gunnar Hökmark (m), Lennart Hedquist (m), Anna Åkerhielm (m), Per Landgren (kd), Gunnar Axén (m) och Karin Pilsäter (fp).</w:t>
      </w:r>
    </w:p>
    <w:p w:rsidR="00DD69FA" w:rsidRPr="00590648" w:rsidRDefault="00DD69FA">
      <w:pPr>
        <w:pStyle w:val="R4"/>
      </w:pPr>
      <w:r w:rsidRPr="00590648">
        <w:t>Förslag till riksdagsbeslut</w:t>
      </w:r>
    </w:p>
    <w:p w:rsidR="00DD69FA" w:rsidRPr="00590648" w:rsidRDefault="00DD69FA">
      <w:r w:rsidRPr="00590648">
        <w:t>Vi anser att utskottets förslag under punkt 4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servation 3. Därmed bifaller riksdagen delvis motion</w:t>
      </w:r>
    </w:p>
    <w:p w:rsidR="00DD69FA" w:rsidRPr="00590648" w:rsidRDefault="00DD69FA">
      <w:pPr>
        <w:pStyle w:val="Reservantfrslag"/>
      </w:pPr>
      <w:r w:rsidRPr="00590648">
        <w:t>2001/02:Fi48 av Karin Pilsäter m.fl. (fp) yrkande 7.</w:t>
      </w:r>
    </w:p>
    <w:p w:rsidR="00DD69FA" w:rsidRPr="00590648" w:rsidRDefault="00DD69FA">
      <w:pPr>
        <w:pStyle w:val="R4"/>
      </w:pPr>
      <w:r w:rsidRPr="00590648">
        <w:t>Ställningstagande</w:t>
      </w:r>
    </w:p>
    <w:p w:rsidR="00DD69FA" w:rsidRPr="00590648" w:rsidRDefault="00DD69FA">
      <w:r w:rsidRPr="00590648">
        <w:t>Förändringar i sjukdoms- och behandlingpanoramat de senaste åren har tyvärr ökat svårigheterna att göra korrekta mätningar av produktivitetens utveckling inom vården. Med hänvisning till detta har man efter 1997 upphört med off</w:t>
      </w:r>
      <w:r w:rsidRPr="00590648">
        <w:t>i</w:t>
      </w:r>
      <w:r w:rsidRPr="00590648">
        <w:t>ciella produktivitetsmätningar. Vi anser att det är otillfredsställande att en så betydelsefull fråga som sjukvårdens produktivitet lämnas utanför arbetet med statistik och utvärdering. Regeringen bör tillsammans med Landstingsförbu</w:t>
      </w:r>
      <w:r w:rsidRPr="00590648">
        <w:t>n</w:t>
      </w:r>
      <w:r w:rsidRPr="00590648">
        <w:t>det verka för att produktivitetsutvecklingen i vården från 1998 och framåt blir bättre belyst.</w:t>
      </w:r>
    </w:p>
    <w:p w:rsidR="00DD69FA" w:rsidRPr="00590648" w:rsidRDefault="00DD69FA">
      <w:pPr>
        <w:pStyle w:val="Normaltindrag"/>
      </w:pPr>
      <w:r w:rsidRPr="00590648">
        <w:t>Detta föreslår vi att riksdagen tillkännager som sin mening för regeringen. Därmed tillstyrker vi delvis motion Fi48 (fp) yrkande 7.</w:t>
      </w:r>
    </w:p>
    <w:p w:rsidR="00DD69FA" w:rsidRPr="00590648" w:rsidRDefault="00DD69FA">
      <w:pPr>
        <w:pStyle w:val="Reservationspunkt"/>
        <w:rPr>
          <w:noProof w:val="0"/>
        </w:rPr>
      </w:pPr>
      <w:bookmarkStart w:id="33" w:name="_Toc10795499"/>
      <w:r w:rsidRPr="00590648">
        <w:rPr>
          <w:noProof w:val="0"/>
        </w:rPr>
        <w:t>4.</w:t>
      </w:r>
      <w:r w:rsidRPr="00590648">
        <w:rPr>
          <w:noProof w:val="0"/>
        </w:rPr>
        <w:tab/>
        <w:t>Kommunernas miljöarbete – punkt 5 (fp)</w:t>
      </w:r>
      <w:bookmarkEnd w:id="33"/>
    </w:p>
    <w:p w:rsidR="00DD69FA" w:rsidRPr="00590648" w:rsidRDefault="00DD69FA">
      <w:pPr>
        <w:pStyle w:val="Reservanter"/>
      </w:pPr>
      <w:r w:rsidRPr="00590648">
        <w:t>av Karin Pilsäter (fp).</w:t>
      </w:r>
    </w:p>
    <w:p w:rsidR="00DD69FA" w:rsidRPr="00590648" w:rsidRDefault="00DD69FA">
      <w:pPr>
        <w:pStyle w:val="R4"/>
      </w:pPr>
      <w:r w:rsidRPr="00590648">
        <w:t>Förslag till riksdagsbeslut</w:t>
      </w:r>
    </w:p>
    <w:p w:rsidR="00DD69FA" w:rsidRPr="00590648" w:rsidRDefault="00DD69FA">
      <w:r w:rsidRPr="00590648">
        <w:t>Jag anser att utskottets förslag under punkt 5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servation 4. Därmed bifaller riksdagen motion</w:t>
      </w:r>
    </w:p>
    <w:p w:rsidR="00DD69FA" w:rsidRPr="00590648" w:rsidRDefault="00DD69FA">
      <w:pPr>
        <w:pStyle w:val="Reservantfrslag"/>
      </w:pPr>
      <w:r w:rsidRPr="00590648">
        <w:t>2001/02:Fi48 av Karin Pilsäter m.fl. (fp) yrkande 11.</w:t>
      </w:r>
    </w:p>
    <w:p w:rsidR="00DD69FA" w:rsidRPr="00590648" w:rsidRDefault="00DD69FA">
      <w:pPr>
        <w:pStyle w:val="R4"/>
      </w:pPr>
      <w:r w:rsidRPr="00590648">
        <w:t>Ställningstagande</w:t>
      </w:r>
    </w:p>
    <w:p w:rsidR="00DD69FA" w:rsidRPr="00590648" w:rsidRDefault="00DD69FA">
      <w:r w:rsidRPr="00590648">
        <w:t>Erfarenheten av de lokala investeringsprogrammen är inte god. På många håll har de använts till projekt med mycket tveksamt värde för miljö- och natu</w:t>
      </w:r>
      <w:r w:rsidRPr="00590648">
        <w:t>r</w:t>
      </w:r>
      <w:r w:rsidRPr="00590648">
        <w:t>vården. Regeringen föreslår nu att programmen upphör och ersätts av s.k. lokala klimatinvesteringsprogram. Jag anser att de föreslagna programmen i likhet med de tidigare investeringsprogrammen till stor del utgör en form av maskerade byggsubventioner och att det är olyckligt att regeringen inte fö</w:t>
      </w:r>
      <w:r w:rsidRPr="00590648">
        <w:t>r</w:t>
      </w:r>
      <w:r w:rsidRPr="00590648">
        <w:t xml:space="preserve">mår presentera effektivare åtgärder för att stimulera det lokala miljöarbetet. </w:t>
      </w:r>
    </w:p>
    <w:p w:rsidR="00DD69FA" w:rsidRPr="00590648" w:rsidRDefault="00DD69FA">
      <w:pPr>
        <w:pStyle w:val="Normaltindrag"/>
      </w:pPr>
      <w:r w:rsidRPr="00590648">
        <w:t>Detta bör riksdagen tillkännage för regeringen som sin mening. Med det anförda föreslår jag att riksdagen bifaller motion Fi48 (fp)</w:t>
      </w:r>
      <w:r w:rsidRPr="00590648">
        <w:t xml:space="preserve"> yrkande 11.</w:t>
      </w:r>
    </w:p>
    <w:p w:rsidR="00DD69FA" w:rsidRPr="00590648" w:rsidRDefault="00DD69FA">
      <w:pPr>
        <w:pStyle w:val="Reservationspunkt"/>
        <w:rPr>
          <w:noProof w:val="0"/>
        </w:rPr>
      </w:pPr>
      <w:bookmarkStart w:id="34" w:name="_Toc10795500"/>
      <w:r w:rsidRPr="00590648">
        <w:rPr>
          <w:noProof w:val="0"/>
        </w:rPr>
        <w:t>5.</w:t>
      </w:r>
      <w:r w:rsidRPr="00590648">
        <w:rPr>
          <w:noProof w:val="0"/>
        </w:rPr>
        <w:tab/>
        <w:t xml:space="preserve">Tidigare behandlade motionsyrkanden vad avser skolan – </w:t>
      </w:r>
      <w:r w:rsidRPr="00590648">
        <w:rPr>
          <w:noProof w:val="0"/>
        </w:rPr>
        <w:br/>
        <w:t>punkt 6 (fp)</w:t>
      </w:r>
      <w:bookmarkEnd w:id="34"/>
    </w:p>
    <w:p w:rsidR="00DD69FA" w:rsidRPr="00590648" w:rsidRDefault="00DD69FA">
      <w:pPr>
        <w:pStyle w:val="Reservanter"/>
      </w:pPr>
      <w:r w:rsidRPr="00590648">
        <w:t>av Karin Pilsäter (fp).</w:t>
      </w:r>
    </w:p>
    <w:p w:rsidR="00DD69FA" w:rsidRPr="00590648" w:rsidRDefault="00DD69FA">
      <w:pPr>
        <w:pStyle w:val="R4"/>
      </w:pPr>
      <w:r w:rsidRPr="00590648">
        <w:t>Förslag till riksdagsbeslut</w:t>
      </w:r>
    </w:p>
    <w:p w:rsidR="00DD69FA" w:rsidRPr="00590648" w:rsidRDefault="00DD69FA">
      <w:r w:rsidRPr="00590648">
        <w:t>Jag anser att utskottets förslag under punkt 6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servation 5. Därmed bifaller riksdagen motion</w:t>
      </w:r>
    </w:p>
    <w:p w:rsidR="00DD69FA" w:rsidRPr="00590648" w:rsidRDefault="00DD69FA">
      <w:pPr>
        <w:pStyle w:val="Reservantfrslag"/>
      </w:pPr>
      <w:r w:rsidRPr="00590648">
        <w:t>2001/02:Fi48 av Karin Pilsäter m.fl. (fp) yrkande 3.</w:t>
      </w:r>
    </w:p>
    <w:p w:rsidR="00DD69FA" w:rsidRPr="00590648" w:rsidRDefault="00DD69FA">
      <w:pPr>
        <w:pStyle w:val="R4"/>
      </w:pPr>
      <w:r w:rsidRPr="00590648">
        <w:t>Ställningstagande</w:t>
      </w:r>
    </w:p>
    <w:p w:rsidR="00DD69FA" w:rsidRPr="00590648" w:rsidRDefault="00DD69FA">
      <w:pPr>
        <w:rPr>
          <w:snapToGrid w:val="0"/>
          <w:lang w:eastAsia="sv-SE"/>
        </w:rPr>
      </w:pPr>
      <w:r w:rsidRPr="00590648">
        <w:rPr>
          <w:snapToGrid w:val="0"/>
          <w:lang w:eastAsia="sv-SE"/>
        </w:rPr>
        <w:t>Jag anser att en betydande förändring av ansvarsfördelningen mellan stat och kommun bör ske på skolans område. Andelen elever som inte uppnår målen för grundskolan har ökat till 26 % och andelen som inte får slutbetyg från gymnasiet har ökat till 21 %. Enligt Skolverkets senaste siffror är andelen ännu högre – hela 27 % av eleverna får inte slutbetyg, och om man dessutom räknar med dem som hoppar av når endast 59 % upp till gymnasieskolans mål. Utbildningen är inte heller likvärdig över landet. Statistiken</w:t>
      </w:r>
      <w:r w:rsidRPr="00590648">
        <w:rPr>
          <w:snapToGrid w:val="0"/>
          <w:lang w:eastAsia="sv-SE"/>
        </w:rPr>
        <w:t xml:space="preserve"> visar att resurserna till skolan varierar avsevärt mellan olika kommuner. Folkpartiet har av detta dragit slutsatsen att det inte räcker med att lägga om skolpolitiken utan att situationen även kräver ett förändrat system för finansiering. Staten måste därför stå för finansieringen av skolan så att alla skolor ges lika möjli</w:t>
      </w:r>
      <w:r w:rsidRPr="00590648">
        <w:rPr>
          <w:snapToGrid w:val="0"/>
          <w:lang w:eastAsia="sv-SE"/>
        </w:rPr>
        <w:t>g</w:t>
      </w:r>
      <w:r w:rsidRPr="00590648">
        <w:rPr>
          <w:snapToGrid w:val="0"/>
          <w:lang w:eastAsia="sv-SE"/>
        </w:rPr>
        <w:t>het att klara av sitt uppdrag. En nationell skolpeng bör införas som innebär att en peng betalas ut till den skola som eleven själv väljer. Detta kommer att säkerställa att skolorna ti</w:t>
      </w:r>
      <w:r w:rsidRPr="00590648">
        <w:rPr>
          <w:snapToGrid w:val="0"/>
          <w:lang w:eastAsia="sv-SE"/>
        </w:rPr>
        <w:t>lldelas likvärdiga ekonomiska resurser över hela landet baserat på den enskilda skolans behov. Skolpeng betyder inte att varje elev tilldelas lika mycket resurser. För Folkpartiet är det en självklar utgång</w:t>
      </w:r>
      <w:r w:rsidRPr="00590648">
        <w:rPr>
          <w:snapToGrid w:val="0"/>
          <w:lang w:eastAsia="sv-SE"/>
        </w:rPr>
        <w:t>s</w:t>
      </w:r>
      <w:r w:rsidRPr="00590648">
        <w:rPr>
          <w:snapToGrid w:val="0"/>
          <w:lang w:eastAsia="sv-SE"/>
        </w:rPr>
        <w:t>punkt att de som behöver skolan mest också skall få mest resurser. Skolpen</w:t>
      </w:r>
      <w:r w:rsidRPr="00590648">
        <w:rPr>
          <w:snapToGrid w:val="0"/>
          <w:lang w:eastAsia="sv-SE"/>
        </w:rPr>
        <w:t>g</w:t>
      </w:r>
      <w:r w:rsidRPr="00590648">
        <w:rPr>
          <w:snapToGrid w:val="0"/>
          <w:lang w:eastAsia="sv-SE"/>
        </w:rPr>
        <w:t>en skall innehålla dels en elevpeng som är lika för alla, dels en del som fö</w:t>
      </w:r>
      <w:r w:rsidRPr="00590648">
        <w:rPr>
          <w:snapToGrid w:val="0"/>
          <w:lang w:eastAsia="sv-SE"/>
        </w:rPr>
        <w:t>r</w:t>
      </w:r>
      <w:r w:rsidRPr="00590648">
        <w:rPr>
          <w:snapToGrid w:val="0"/>
          <w:lang w:eastAsia="sv-SE"/>
        </w:rPr>
        <w:t>delas efter socioekonomiska behov i en kommun eller stadsdel med stora sociala utmaningar och dels ytterligare en del som fördelas efter individuella beh</w:t>
      </w:r>
      <w:r w:rsidRPr="00590648">
        <w:rPr>
          <w:snapToGrid w:val="0"/>
          <w:lang w:eastAsia="sv-SE"/>
        </w:rPr>
        <w:t>ov, t.ex. språkträning för elever med utländsk bakgrund eller särskilda behov på grund av funktionsnedsät</w:t>
      </w:r>
      <w:r w:rsidRPr="00590648">
        <w:rPr>
          <w:snapToGrid w:val="0"/>
          <w:lang w:eastAsia="sv-SE"/>
        </w:rPr>
        <w:t>t</w:t>
      </w:r>
      <w:r w:rsidRPr="00590648">
        <w:rPr>
          <w:snapToGrid w:val="0"/>
          <w:lang w:eastAsia="sv-SE"/>
        </w:rPr>
        <w:t>ningar.</w:t>
      </w:r>
    </w:p>
    <w:p w:rsidR="00DD69FA" w:rsidRPr="00590648" w:rsidRDefault="00DD69FA">
      <w:pPr>
        <w:pStyle w:val="Normaltindrag"/>
      </w:pPr>
      <w:r w:rsidRPr="00590648">
        <w:t>Med det anförda föreslår jag att riksdagen bifaller motion Fi48 (fp) yrka</w:t>
      </w:r>
      <w:r w:rsidRPr="00590648">
        <w:t>n</w:t>
      </w:r>
      <w:r w:rsidRPr="00590648">
        <w:t>de 3.</w:t>
      </w:r>
    </w:p>
    <w:p w:rsidR="00DD69FA" w:rsidRPr="00590648" w:rsidRDefault="00DD69FA">
      <w:pPr>
        <w:pStyle w:val="Reservationspunkt"/>
        <w:rPr>
          <w:noProof w:val="0"/>
        </w:rPr>
      </w:pPr>
      <w:bookmarkStart w:id="35" w:name="_Toc10795501"/>
      <w:r w:rsidRPr="00590648">
        <w:rPr>
          <w:noProof w:val="0"/>
        </w:rPr>
        <w:t>6.</w:t>
      </w:r>
      <w:r w:rsidRPr="00590648">
        <w:rPr>
          <w:noProof w:val="0"/>
        </w:rPr>
        <w:tab/>
        <w:t>Tidigare behandlade motionsyrkanden i övrigt – punkt 7 (m)</w:t>
      </w:r>
      <w:bookmarkEnd w:id="35"/>
    </w:p>
    <w:p w:rsidR="00DD69FA" w:rsidRPr="00590648" w:rsidRDefault="00DD69FA">
      <w:pPr>
        <w:pStyle w:val="Reservanter"/>
      </w:pPr>
      <w:r w:rsidRPr="00590648">
        <w:t>av Gunnar Hökmark, Lennart Hedquist, Anna Åkerhielm och Gunnar Axén (alla m).</w:t>
      </w:r>
    </w:p>
    <w:p w:rsidR="00DD69FA" w:rsidRPr="00590648" w:rsidRDefault="00DD69FA">
      <w:pPr>
        <w:pStyle w:val="R4"/>
      </w:pPr>
      <w:r w:rsidRPr="00590648">
        <w:t>Förslag till riksdagsbeslut</w:t>
      </w:r>
    </w:p>
    <w:p w:rsidR="00DD69FA" w:rsidRPr="00590648" w:rsidRDefault="00DD69FA">
      <w:r w:rsidRPr="00590648">
        <w:t>Vi anser att utskottets förslag under punkt 7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 xml:space="preserve">servation 6. Därmed bifaller riksdagen motion </w:t>
      </w:r>
    </w:p>
    <w:p w:rsidR="00DD69FA" w:rsidRPr="00590648" w:rsidRDefault="00DD69FA">
      <w:pPr>
        <w:pStyle w:val="Reservantfrslag"/>
      </w:pPr>
      <w:r w:rsidRPr="00590648">
        <w:t xml:space="preserve">2001/02:Fi45 av Gunnar Hökmark m.fl. (m) yrkandena 1–3 samt 5–12 och avslår motionerna </w:t>
      </w:r>
    </w:p>
    <w:p w:rsidR="00DD69FA" w:rsidRPr="00590648" w:rsidRDefault="00DD69FA">
      <w:pPr>
        <w:pStyle w:val="Reservantfrslag"/>
      </w:pPr>
      <w:r w:rsidRPr="00590648">
        <w:t>2001/02:Fi46 av Per Landgren m.fl. (kd),</w:t>
      </w:r>
    </w:p>
    <w:p w:rsidR="00DD69FA" w:rsidRPr="00590648" w:rsidRDefault="00DD69FA">
      <w:pPr>
        <w:pStyle w:val="Reservantfrslag"/>
      </w:pPr>
      <w:r w:rsidRPr="00590648">
        <w:t>2001/02:Fi47 av Rolf Kenneryd m.fl. (c) samt</w:t>
      </w:r>
    </w:p>
    <w:p w:rsidR="00DD69FA" w:rsidRPr="00590648" w:rsidRDefault="00DD69FA">
      <w:pPr>
        <w:pStyle w:val="Reservantfrslag"/>
      </w:pPr>
      <w:r w:rsidRPr="00590648">
        <w:t xml:space="preserve">2001/02:Fi48 av Karin Pilsäter m.fl. (fp) yrkandena 1, 2, 4, 5 och 8–10.       </w:t>
      </w:r>
    </w:p>
    <w:p w:rsidR="00DD69FA" w:rsidRPr="00590648" w:rsidRDefault="00DD69FA">
      <w:pPr>
        <w:pStyle w:val="R4"/>
      </w:pPr>
      <w:r w:rsidRPr="00590648">
        <w:t>Ställningstagande</w:t>
      </w:r>
    </w:p>
    <w:p w:rsidR="00DD69FA" w:rsidRPr="00590648" w:rsidRDefault="00DD69FA">
      <w:r w:rsidRPr="00590648">
        <w:t xml:space="preserve">Vi vidhåller uppfattningarna som Moderata samlingspartiet gav uttryck för i de reservationer och särskilda yttranden som tas upp i tabellen på sidorna 12–16. </w:t>
      </w:r>
    </w:p>
    <w:p w:rsidR="00DD69FA" w:rsidRPr="00590648" w:rsidRDefault="00DD69FA">
      <w:pPr>
        <w:pStyle w:val="Normaltindrag"/>
      </w:pPr>
      <w:r w:rsidRPr="00590648">
        <w:t>Beträffande utjämningssystemet anser vi att en utredning bör tillsättas med uppgift att skyndsamt presentera ett nytt utjämningssystem. Det nya systemet skall tillgodose ett antal krav. Det skall stimulera tillväxt och kostnadseffekt</w:t>
      </w:r>
      <w:r w:rsidRPr="00590648">
        <w:t>i</w:t>
      </w:r>
      <w:r w:rsidRPr="00590648">
        <w:t>vitet i alla kommuner och landsting. Det skall vara statligt finansierat så att staten, och inte kommunsektorn, ger bidrag till kommuner och landsting med för sina uppgifter otillräcklig skattekraft, och det skall givetvis vara grun</w:t>
      </w:r>
      <w:r w:rsidRPr="00590648">
        <w:t>d</w:t>
      </w:r>
      <w:r w:rsidRPr="00590648">
        <w:t>lagsenligt. Det skall också vara avsevärt enklare i sin uppbyggnad än dagens ogenomträngliga system. Utformningen av ett nytt system underlättas om vissa uppgifter som i dag finansieras genom kommunerna, främst skolan, får en nationell finansiering. En översyn bör göras av vilk</w:t>
      </w:r>
      <w:r w:rsidRPr="00590648">
        <w:t>a uppgifter som i fra</w:t>
      </w:r>
      <w:r w:rsidRPr="00590648">
        <w:t>m</w:t>
      </w:r>
      <w:r w:rsidRPr="00590648">
        <w:t>tiden bör ha nationell finansiering.</w:t>
      </w:r>
    </w:p>
    <w:p w:rsidR="00DD69FA" w:rsidRPr="00590648" w:rsidRDefault="00DD69FA">
      <w:pPr>
        <w:pStyle w:val="Normaltindrag"/>
      </w:pPr>
      <w:r w:rsidRPr="00590648">
        <w:t>Med det anförda föreslår vi att riksdagen bifaller motion Fi45 (m) yrka</w:t>
      </w:r>
      <w:r w:rsidRPr="00590648">
        <w:t>n</w:t>
      </w:r>
      <w:r w:rsidRPr="00590648">
        <w:t>dena 1–3 och 5–12. Övriga här aktuella motionsyrkanden avstyrks.</w:t>
      </w:r>
    </w:p>
    <w:p w:rsidR="00DD69FA" w:rsidRPr="00590648" w:rsidRDefault="00DD69FA">
      <w:pPr>
        <w:pStyle w:val="Reservationspunkt"/>
        <w:rPr>
          <w:noProof w:val="0"/>
        </w:rPr>
      </w:pPr>
      <w:bookmarkStart w:id="36" w:name="_Toc10795502"/>
      <w:r w:rsidRPr="00590648">
        <w:rPr>
          <w:noProof w:val="0"/>
        </w:rPr>
        <w:t>7.</w:t>
      </w:r>
      <w:r w:rsidRPr="00590648">
        <w:rPr>
          <w:noProof w:val="0"/>
        </w:rPr>
        <w:tab/>
        <w:t>Tidigare behandlade motionsyrkanden i övrigt – punkt 7 (kd)</w:t>
      </w:r>
      <w:bookmarkEnd w:id="36"/>
    </w:p>
    <w:p w:rsidR="00DD69FA" w:rsidRPr="00590648" w:rsidRDefault="00DD69FA">
      <w:pPr>
        <w:pStyle w:val="Reservanter"/>
      </w:pPr>
      <w:r w:rsidRPr="00590648">
        <w:t>av Mats Odell och Per Landgren (båda kd).</w:t>
      </w:r>
    </w:p>
    <w:p w:rsidR="00DD69FA" w:rsidRPr="00590648" w:rsidRDefault="00DD69FA">
      <w:pPr>
        <w:pStyle w:val="R4"/>
      </w:pPr>
      <w:r w:rsidRPr="00590648">
        <w:t>Förslag till riksdagsbeslut</w:t>
      </w:r>
    </w:p>
    <w:p w:rsidR="00DD69FA" w:rsidRPr="00590648" w:rsidRDefault="00DD69FA">
      <w:r w:rsidRPr="00590648">
        <w:t>Vi anser att utskottets förslag under punkt 7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servation 7. Därmed bifaller riksdagen motion</w:t>
      </w:r>
    </w:p>
    <w:p w:rsidR="00DD69FA" w:rsidRPr="00590648" w:rsidRDefault="00DD69FA">
      <w:pPr>
        <w:pStyle w:val="Reservantfrslag"/>
      </w:pPr>
      <w:r w:rsidRPr="00590648">
        <w:t xml:space="preserve">2001/02:Fi46 av Per Landgren m.fl. (kd) och </w:t>
      </w:r>
    </w:p>
    <w:p w:rsidR="00DD69FA" w:rsidRPr="00590648" w:rsidRDefault="00DD69FA">
      <w:pPr>
        <w:pStyle w:val="Reservantfrslag"/>
      </w:pPr>
      <w:r w:rsidRPr="00590648">
        <w:t xml:space="preserve">avslår motionerna </w:t>
      </w:r>
    </w:p>
    <w:p w:rsidR="00DD69FA" w:rsidRPr="00590648" w:rsidRDefault="00DD69FA">
      <w:pPr>
        <w:pStyle w:val="Reservantfrslag"/>
      </w:pPr>
      <w:r w:rsidRPr="00590648">
        <w:t>2001/02:Fi45 av Gunnar Hökmark m.fl. (m) yrkandena 1–3 och 5–12,</w:t>
      </w:r>
    </w:p>
    <w:p w:rsidR="00DD69FA" w:rsidRPr="00590648" w:rsidRDefault="00DD69FA">
      <w:pPr>
        <w:pStyle w:val="Reservantfrslag"/>
      </w:pPr>
      <w:r w:rsidRPr="00590648">
        <w:t>2001/02:Fi47 av Rolf Kenneryd m.fl. (c) samt</w:t>
      </w:r>
    </w:p>
    <w:p w:rsidR="00DD69FA" w:rsidRPr="00590648" w:rsidRDefault="00DD69FA">
      <w:pPr>
        <w:pStyle w:val="Reservantfrslag"/>
      </w:pPr>
      <w:r w:rsidRPr="00590648">
        <w:t xml:space="preserve">2001/02:Fi48 av Karin Pilsäter m.fl. (fp) yrkandena 1, 2, 4, 5 och 8–10. </w:t>
      </w:r>
    </w:p>
    <w:p w:rsidR="00DD69FA" w:rsidRPr="00590648" w:rsidRDefault="00DD69FA">
      <w:pPr>
        <w:pStyle w:val="R4"/>
      </w:pPr>
      <w:r w:rsidRPr="00590648">
        <w:t>Ställningstagande</w:t>
      </w:r>
    </w:p>
    <w:p w:rsidR="00DD69FA" w:rsidRPr="00590648" w:rsidRDefault="00DD69FA">
      <w:r w:rsidRPr="00590648">
        <w:t xml:space="preserve">Vi vidhåller uppfattningarna som Kristdemokraterna gav uttryck för i de reservationer som tas upp i tabellen på sidorna 12–16. </w:t>
      </w:r>
    </w:p>
    <w:p w:rsidR="00DD69FA" w:rsidRPr="00590648" w:rsidRDefault="00DD69FA">
      <w:pPr>
        <w:pStyle w:val="Normaltindrag"/>
      </w:pPr>
      <w:r w:rsidRPr="00590648">
        <w:t>Därmed föreslår vi att riksdagen bifaller motion Fi46 (kd). Övriga här a</w:t>
      </w:r>
      <w:r w:rsidRPr="00590648">
        <w:t>k</w:t>
      </w:r>
      <w:r w:rsidRPr="00590648">
        <w:t>tuella motionsyrkanden avstyrks.</w:t>
      </w:r>
    </w:p>
    <w:p w:rsidR="00DD69FA" w:rsidRPr="00590648" w:rsidRDefault="00DD69FA">
      <w:pPr>
        <w:pStyle w:val="Reservationspunkt"/>
        <w:rPr>
          <w:noProof w:val="0"/>
        </w:rPr>
      </w:pPr>
      <w:bookmarkStart w:id="37" w:name="_Toc10795503"/>
      <w:r w:rsidRPr="00590648">
        <w:rPr>
          <w:noProof w:val="0"/>
        </w:rPr>
        <w:t>8.</w:t>
      </w:r>
      <w:r w:rsidRPr="00590648">
        <w:rPr>
          <w:noProof w:val="0"/>
        </w:rPr>
        <w:tab/>
        <w:t>Tidigare behandlade motionsyrkanden i övrigt – punkt 7 (c)</w:t>
      </w:r>
      <w:bookmarkEnd w:id="37"/>
    </w:p>
    <w:p w:rsidR="00DD69FA" w:rsidRPr="00590648" w:rsidRDefault="00DD69FA">
      <w:pPr>
        <w:pStyle w:val="Reservanter"/>
      </w:pPr>
      <w:r w:rsidRPr="00590648">
        <w:t>av Lena Ek (c).</w:t>
      </w:r>
    </w:p>
    <w:p w:rsidR="00DD69FA" w:rsidRPr="00590648" w:rsidRDefault="00DD69FA">
      <w:pPr>
        <w:pStyle w:val="R4"/>
      </w:pPr>
      <w:r w:rsidRPr="00590648">
        <w:t>Förslag till riksdagsbeslut</w:t>
      </w:r>
    </w:p>
    <w:p w:rsidR="00DD69FA" w:rsidRPr="00590648" w:rsidRDefault="00DD69FA">
      <w:r w:rsidRPr="00590648">
        <w:t>Jag anser att utskottets förslag under punkt 7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servation 8. Därmed bifaller riksdagen motion</w:t>
      </w:r>
    </w:p>
    <w:p w:rsidR="00DD69FA" w:rsidRPr="00590648" w:rsidRDefault="00DD69FA">
      <w:pPr>
        <w:pStyle w:val="Reservantfrslag"/>
      </w:pPr>
      <w:r w:rsidRPr="00590648">
        <w:t xml:space="preserve">2001/02:Fi47 av Rolf Kenneryd m.fl. (c) och </w:t>
      </w:r>
    </w:p>
    <w:p w:rsidR="00DD69FA" w:rsidRPr="00590648" w:rsidRDefault="00DD69FA">
      <w:pPr>
        <w:pStyle w:val="Reservantfrslag"/>
      </w:pPr>
      <w:r w:rsidRPr="00590648">
        <w:t xml:space="preserve">avslår motionerna </w:t>
      </w:r>
    </w:p>
    <w:p w:rsidR="00DD69FA" w:rsidRPr="00590648" w:rsidRDefault="00DD69FA">
      <w:pPr>
        <w:pStyle w:val="Reservantfrslag"/>
      </w:pPr>
      <w:r w:rsidRPr="00590648">
        <w:t>2001/02:Fi45 av Gunnar Hökmark m.fl. (m) yrkandena 1–3 och 5–12,</w:t>
      </w:r>
    </w:p>
    <w:p w:rsidR="00DD69FA" w:rsidRPr="00590648" w:rsidRDefault="00DD69FA">
      <w:pPr>
        <w:pStyle w:val="Reservantfrslag"/>
      </w:pPr>
      <w:r w:rsidRPr="00590648">
        <w:t xml:space="preserve">2001/02:Fi46 av Per Landgren m.fl. (kd) samt </w:t>
      </w:r>
    </w:p>
    <w:p w:rsidR="00DD69FA" w:rsidRPr="00590648" w:rsidRDefault="00DD69FA">
      <w:pPr>
        <w:pStyle w:val="Reservantfrslag"/>
      </w:pPr>
      <w:r w:rsidRPr="00590648">
        <w:t xml:space="preserve">2001/02:Fi48 av Karin Pilsäter m.fl. (fp) yrkandena 1, 2, 4, 5 och 8–10.       </w:t>
      </w:r>
    </w:p>
    <w:p w:rsidR="00DD69FA" w:rsidRPr="00590648" w:rsidRDefault="00DD69FA">
      <w:pPr>
        <w:pStyle w:val="R4"/>
      </w:pPr>
      <w:r w:rsidRPr="00590648">
        <w:t>Ställningstagande</w:t>
      </w:r>
    </w:p>
    <w:p w:rsidR="00DD69FA" w:rsidRPr="00590648" w:rsidRDefault="00DD69FA">
      <w:r w:rsidRPr="00590648">
        <w:t>Jag vidhåller uppfattningarna som Centerpartiet har gett uttryck för i de rese</w:t>
      </w:r>
      <w:r w:rsidRPr="00590648">
        <w:t>r</w:t>
      </w:r>
      <w:r w:rsidRPr="00590648">
        <w:t>vationer som tas upp i tabellen på sidorna 12–16.</w:t>
      </w:r>
    </w:p>
    <w:p w:rsidR="00DD69FA" w:rsidRPr="00590648" w:rsidRDefault="00DD69FA">
      <w:pPr>
        <w:pStyle w:val="Normaltindrag"/>
      </w:pPr>
      <w:r w:rsidRPr="00590648">
        <w:t>Vad gäller utjämningssystemet (yrkande 3) anser vi att det skall finnas en långtgående utjämning mellan kommunerna, såväl av inkomster som utgifter. Nuvarande tekniska konstruktion, t.ex. faktorn som skall kompensera för befolkningsminskning, leder emellertid till oönskade effekter som kan uppl</w:t>
      </w:r>
      <w:r w:rsidRPr="00590648">
        <w:t>e</w:t>
      </w:r>
      <w:r w:rsidRPr="00590648">
        <w:t>vas som tillväxthämmande. Jag anser att det är rimligt att göra en översyn av utjämningssystemet. Utredningen bör ges i särskilt uppdrag att se över den tekniska konstruktionen och förekomsten av negativa marginaleffekter samt belysa följderna av att de faktorer i utjämningssystemet som är att betrakta som regionalpolitik förstatligas.</w:t>
      </w:r>
    </w:p>
    <w:p w:rsidR="00DD69FA" w:rsidRPr="00590648" w:rsidRDefault="00DD69FA">
      <w:pPr>
        <w:pStyle w:val="Normaltindrag"/>
      </w:pPr>
      <w:r w:rsidRPr="00590648">
        <w:t>Med det anförda föreslår jag att riksdagen bifaller motion Fi47 (c). Övriga här aktuella motionsyrkanden avstyrks.</w:t>
      </w:r>
    </w:p>
    <w:p w:rsidR="00DD69FA" w:rsidRPr="00590648" w:rsidRDefault="00DD69FA">
      <w:pPr>
        <w:pStyle w:val="Reservationspunkt"/>
        <w:rPr>
          <w:noProof w:val="0"/>
        </w:rPr>
      </w:pPr>
      <w:bookmarkStart w:id="38" w:name="_Toc10795504"/>
      <w:r w:rsidRPr="00590648">
        <w:rPr>
          <w:noProof w:val="0"/>
        </w:rPr>
        <w:t>9.</w:t>
      </w:r>
      <w:r w:rsidRPr="00590648">
        <w:rPr>
          <w:noProof w:val="0"/>
        </w:rPr>
        <w:tab/>
        <w:t>Tidigare behandlade motionsyrkanden i övrigt – punkt 7 (fp)</w:t>
      </w:r>
      <w:bookmarkEnd w:id="38"/>
    </w:p>
    <w:p w:rsidR="00DD69FA" w:rsidRPr="00590648" w:rsidRDefault="00DD69FA">
      <w:pPr>
        <w:pStyle w:val="Reservanter"/>
      </w:pPr>
      <w:r w:rsidRPr="00590648">
        <w:t>av Karin Pilsäter (fp).</w:t>
      </w:r>
    </w:p>
    <w:p w:rsidR="00DD69FA" w:rsidRPr="00590648" w:rsidRDefault="00DD69FA">
      <w:pPr>
        <w:pStyle w:val="R4"/>
      </w:pPr>
      <w:r w:rsidRPr="00590648">
        <w:t>Förslag till riksdagsbeslut</w:t>
      </w:r>
    </w:p>
    <w:p w:rsidR="00DD69FA" w:rsidRPr="00590648" w:rsidRDefault="00DD69FA">
      <w:r w:rsidRPr="00590648">
        <w:t>Jag anser att utskottets förslag under punkt 7 borde ha följande lydelse:</w:t>
      </w:r>
    </w:p>
    <w:p w:rsidR="00DD69FA" w:rsidRPr="00590648" w:rsidRDefault="00DD69FA">
      <w:pPr>
        <w:pStyle w:val="Reservantfrslag"/>
      </w:pPr>
      <w:r w:rsidRPr="00590648">
        <w:t>Riksdagen tillkännager för regeringen som sin mening vad som anförs i r</w:t>
      </w:r>
      <w:r w:rsidRPr="00590648">
        <w:t>e</w:t>
      </w:r>
      <w:r w:rsidRPr="00590648">
        <w:t>servation 9. Därmed bifaller riksdagen motion</w:t>
      </w:r>
    </w:p>
    <w:p w:rsidR="00DD69FA" w:rsidRPr="00590648" w:rsidRDefault="00DD69FA">
      <w:pPr>
        <w:pStyle w:val="Reservantfrslag"/>
      </w:pPr>
      <w:r w:rsidRPr="00590648">
        <w:t>2001/02:Fi48 av Karin Pilsäter m.fl. (fp) yrkandena 1, 2, 4, 5 samt 8–10 och avslår motionerna</w:t>
      </w:r>
    </w:p>
    <w:p w:rsidR="00DD69FA" w:rsidRPr="00590648" w:rsidRDefault="00DD69FA">
      <w:pPr>
        <w:pStyle w:val="Reservantfrslag"/>
      </w:pPr>
      <w:r w:rsidRPr="00590648">
        <w:t>2001/02:Fi45 av Gunnar Hökmark m.fl. (m) yrkandena 1–3 och 5–12,</w:t>
      </w:r>
    </w:p>
    <w:p w:rsidR="00DD69FA" w:rsidRPr="00590648" w:rsidRDefault="00DD69FA">
      <w:pPr>
        <w:pStyle w:val="Reservantfrslag"/>
      </w:pPr>
      <w:r w:rsidRPr="00590648">
        <w:t xml:space="preserve">2001/02:Fi46 av Per Landgren m.fl. (kd) samt </w:t>
      </w:r>
    </w:p>
    <w:p w:rsidR="00DD69FA" w:rsidRPr="00590648" w:rsidRDefault="00DD69FA">
      <w:pPr>
        <w:pStyle w:val="Reservantfrslag"/>
      </w:pPr>
      <w:r w:rsidRPr="00590648">
        <w:t>2001/02:Fi47 av Rolf Kenneryd m.fl. (c).</w:t>
      </w:r>
    </w:p>
    <w:p w:rsidR="00DD69FA" w:rsidRPr="00590648" w:rsidRDefault="00DD69FA">
      <w:pPr>
        <w:pStyle w:val="R4"/>
      </w:pPr>
      <w:r w:rsidRPr="00590648">
        <w:t>Ställningstagande</w:t>
      </w:r>
    </w:p>
    <w:p w:rsidR="00DD69FA" w:rsidRPr="00590648" w:rsidRDefault="00DD69FA">
      <w:r w:rsidRPr="00590648">
        <w:t>Jag vidhåller uppfattningarna som Folkpartiet gav uttryck för i de reservati</w:t>
      </w:r>
      <w:r w:rsidRPr="00590648">
        <w:t>o</w:t>
      </w:r>
      <w:r w:rsidRPr="00590648">
        <w:t xml:space="preserve">ner och särskilda yttranden som tas upp i tabellen på sidorna 12–16. </w:t>
      </w:r>
    </w:p>
    <w:p w:rsidR="00DD69FA" w:rsidRPr="00590648" w:rsidRDefault="00DD69FA">
      <w:pPr>
        <w:pStyle w:val="Normaltindrag"/>
      </w:pPr>
      <w:r w:rsidRPr="00590648">
        <w:t>Därmed föreslår jag att riksdagen bifaller motion Fi48 (fp) yrkandena 1, 2, 4, 5 samt 8–10. Övriga här aktuella motionsyrkanden avstyrks.</w:t>
      </w:r>
    </w:p>
    <w:p w:rsidR="00DD69FA" w:rsidRPr="00590648" w:rsidRDefault="00DD69FA">
      <w:pPr>
        <w:pStyle w:val="Normaltindrag"/>
        <w:ind w:firstLine="0"/>
      </w:pPr>
    </w:p>
    <w:p w:rsidR="00DD69FA" w:rsidRPr="00590648" w:rsidRDefault="00DD69FA">
      <w:pPr>
        <w:pStyle w:val="Normaltindrag"/>
      </w:pPr>
    </w:p>
    <w:p w:rsidR="00DD69FA" w:rsidRPr="00590648" w:rsidRDefault="00DD69FA">
      <w:pPr>
        <w:pStyle w:val="Normaltindrag"/>
        <w:sectPr w:rsidR="00000000" w:rsidRPr="0059064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D69FA" w:rsidRPr="00590648" w:rsidRDefault="00DD69FA">
      <w:pPr>
        <w:pStyle w:val="Rubrik1"/>
        <w:rPr>
          <w:noProof w:val="0"/>
        </w:rPr>
      </w:pPr>
      <w:bookmarkStart w:id="39" w:name="_Toc10795505"/>
      <w:r w:rsidRPr="00590648">
        <w:rPr>
          <w:noProof w:val="0"/>
        </w:rPr>
        <w:t>Särskilda yttranden</w:t>
      </w:r>
      <w:bookmarkEnd w:id="39"/>
    </w:p>
    <w:p w:rsidR="00DD69FA" w:rsidRPr="00590648" w:rsidRDefault="00DD69FA">
      <w:r w:rsidRPr="00590648">
        <w:t>Utskottets beredning av ärendet har föranlett följande särskilda yttranden. I rubriken anges vilken punkt i utskottets förslag till riksdagsbeslut som b</w:t>
      </w:r>
      <w:r w:rsidRPr="00590648">
        <w:t>e</w:t>
      </w:r>
      <w:r w:rsidRPr="00590648">
        <w:t>handlas i avsnittet.</w:t>
      </w:r>
    </w:p>
    <w:p w:rsidR="00DD69FA" w:rsidRPr="00590648" w:rsidRDefault="00DD69FA">
      <w:pPr>
        <w:pStyle w:val="Yttrandepunkt"/>
        <w:rPr>
          <w:noProof w:val="0"/>
        </w:rPr>
      </w:pPr>
      <w:bookmarkStart w:id="40" w:name="_Toc10795506"/>
      <w:r w:rsidRPr="00590648">
        <w:rPr>
          <w:noProof w:val="0"/>
        </w:rPr>
        <w:t>1.   Förändringar av utjämningssystemet 2002 – punkt 2 (kd)</w:t>
      </w:r>
      <w:bookmarkEnd w:id="40"/>
    </w:p>
    <w:p w:rsidR="00DD69FA" w:rsidRPr="00590648" w:rsidRDefault="00DD69FA">
      <w:r w:rsidRPr="00590648">
        <w:t>av Mats Odell och Per Landgren (båda kd).</w:t>
      </w:r>
    </w:p>
    <w:p w:rsidR="00DD69FA" w:rsidRPr="00590648" w:rsidRDefault="00DD69FA">
      <w:pPr>
        <w:rPr>
          <w:snapToGrid w:val="0"/>
          <w:color w:val="000000"/>
          <w:lang w:eastAsia="sv-SE"/>
        </w:rPr>
      </w:pPr>
      <w:r w:rsidRPr="00590648">
        <w:t>Det goda målet med utjämningssystemet är att alla kommuner och landsting skall ha likvärdiga ekonomiska förutsättningar för sin verksamhet. En invån</w:t>
      </w:r>
      <w:r w:rsidRPr="00590648">
        <w:t>a</w:t>
      </w:r>
      <w:r w:rsidRPr="00590648">
        <w:t>re i Sverige skall få lika god sjukvård och kommunal service oavsett var han eller hon bor. Vi står helt bakom detta mål. Det finns emellertid flera problem med utjämningssystemet i dess nuvarande utformning. Systemet motverkar tillväxt och förnyelse genom sina höga marginaleffekter. Kostnadsutjämnin</w:t>
      </w:r>
      <w:r w:rsidRPr="00590648">
        <w:t>g</w:t>
      </w:r>
      <w:r w:rsidRPr="00590648">
        <w:t>en är mycket komplicerad och svår att få förståelse för bland medborgarna, och lider dessutom av bristande träffsäkerhet. Vi är också kritiska mot att systemet är inomkommunalt och anser att systemets konstruk</w:t>
      </w:r>
      <w:r w:rsidRPr="00590648">
        <w:t xml:space="preserve">tion inte är förenlig med grundlagens intentioner om kommunal självstyrelse. </w:t>
      </w:r>
      <w:r w:rsidRPr="00590648">
        <w:rPr>
          <w:snapToGrid w:val="0"/>
          <w:color w:val="000000"/>
          <w:lang w:eastAsia="sv-SE"/>
        </w:rPr>
        <w:t>Vi anser därför att en parlamentarisk utredning bör utarbeta ett statligt solidariskt finansierat utjämningssystem med det tvåfaldiga målet att skapa likvärdiga förutsättningar för kommunal service genom en utjämning av strukturellt betingade kostnader och skattekraft i landet samt att skapa reella förutsät</w:t>
      </w:r>
      <w:r w:rsidRPr="00590648">
        <w:rPr>
          <w:snapToGrid w:val="0"/>
          <w:color w:val="000000"/>
          <w:lang w:eastAsia="sv-SE"/>
        </w:rPr>
        <w:t>t</w:t>
      </w:r>
      <w:r w:rsidRPr="00590648">
        <w:rPr>
          <w:snapToGrid w:val="0"/>
          <w:color w:val="000000"/>
          <w:lang w:eastAsia="sv-SE"/>
        </w:rPr>
        <w:t>ningar och incitament för kommuner och landsting att expandera och stå på egna ben. Systemet skall således garantera medborgar</w:t>
      </w:r>
      <w:r w:rsidRPr="00590648">
        <w:rPr>
          <w:snapToGrid w:val="0"/>
          <w:color w:val="000000"/>
          <w:lang w:eastAsia="sv-SE"/>
        </w:rPr>
        <w:t>e samma rätt till likvä</w:t>
      </w:r>
      <w:r w:rsidRPr="00590648">
        <w:rPr>
          <w:snapToGrid w:val="0"/>
          <w:color w:val="000000"/>
          <w:lang w:eastAsia="sv-SE"/>
        </w:rPr>
        <w:t>r</w:t>
      </w:r>
      <w:r w:rsidRPr="00590648">
        <w:rPr>
          <w:snapToGrid w:val="0"/>
          <w:color w:val="000000"/>
          <w:lang w:eastAsia="sv-SE"/>
        </w:rPr>
        <w:t>dig kommunal service till ungefär samma kostnad i hela landet.</w:t>
      </w:r>
    </w:p>
    <w:p w:rsidR="00DD69FA" w:rsidRPr="00590648" w:rsidRDefault="00DD69FA">
      <w:pPr>
        <w:pStyle w:val="Yttrandepunkt"/>
        <w:ind w:left="284"/>
        <w:rPr>
          <w:noProof w:val="0"/>
        </w:rPr>
      </w:pPr>
      <w:bookmarkStart w:id="41" w:name="_Toc10795507"/>
      <w:r w:rsidRPr="00590648">
        <w:rPr>
          <w:noProof w:val="0"/>
        </w:rPr>
        <w:t xml:space="preserve">2.   Tidigare behandlade motionsyrkanden vad avser skolan – </w:t>
      </w:r>
      <w:r w:rsidRPr="00590648">
        <w:rPr>
          <w:noProof w:val="0"/>
        </w:rPr>
        <w:br/>
        <w:t>punkt 6 (m)</w:t>
      </w:r>
      <w:bookmarkEnd w:id="41"/>
    </w:p>
    <w:p w:rsidR="00DD69FA" w:rsidRPr="00590648" w:rsidRDefault="00DD69FA">
      <w:r w:rsidRPr="00590648">
        <w:t>av Gunnar Hökmark, Lennart Hedquist, Anna Åkerhielm och Gunnar Axén (alla m).</w:t>
      </w:r>
    </w:p>
    <w:p w:rsidR="00DD69FA" w:rsidRPr="00590648" w:rsidRDefault="00DD69FA">
      <w:r w:rsidRPr="00590648">
        <w:t>Moderata samlingspartiet har under lång tid förespråkat en nationell, statligt finansierad skolpeng som följer eleven och betalas ut till den skola eleven väljer. Vårt förslag presenterades bl.a. i motionerna 2001/02:Ub233 (yrkande 11), 2001/02:Ub541 (yrkande 20) och 2001/02:Sk433 (yrkande 5). Vi noterar nu med tillfredsställelse att Folkpartiet också för första gången föreslår att en nationell skolpeng i</w:t>
      </w:r>
      <w:r w:rsidRPr="00590648">
        <w:t>n</w:t>
      </w:r>
      <w:r w:rsidRPr="00590648">
        <w:t>förs.</w:t>
      </w:r>
    </w:p>
    <w:p w:rsidR="00DD69FA" w:rsidRPr="00590648" w:rsidRDefault="00DD69FA"/>
    <w:p w:rsidR="00DD69FA" w:rsidRPr="00590648" w:rsidRDefault="00DD69FA">
      <w:pPr>
        <w:pStyle w:val="Normaltindrag"/>
        <w:sectPr w:rsidR="00000000" w:rsidRPr="0059064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D69FA" w:rsidRPr="00590648" w:rsidRDefault="00DD69FA">
      <w:pPr>
        <w:pStyle w:val="Bilaga"/>
      </w:pPr>
      <w:r w:rsidRPr="00590648">
        <w:t>BILAGA 1</w:t>
      </w:r>
    </w:p>
    <w:p w:rsidR="00DD69FA" w:rsidRPr="00590648" w:rsidRDefault="00DD69FA">
      <w:pPr>
        <w:pStyle w:val="Rubrik1"/>
        <w:rPr>
          <w:noProof w:val="0"/>
        </w:rPr>
      </w:pPr>
      <w:bookmarkStart w:id="42" w:name="_Toc10795508"/>
      <w:r w:rsidRPr="00590648">
        <w:rPr>
          <w:noProof w:val="0"/>
        </w:rPr>
        <w:t>Förteckning över behandlade förslag</w:t>
      </w:r>
      <w:bookmarkEnd w:id="42"/>
    </w:p>
    <w:p w:rsidR="00DD69FA" w:rsidRPr="00590648" w:rsidRDefault="00DD69FA">
      <w:pPr>
        <w:pStyle w:val="Rubrik2"/>
        <w:spacing w:before="0"/>
      </w:pPr>
      <w:bookmarkStart w:id="43" w:name="_Toc10795509"/>
      <w:r w:rsidRPr="00590648">
        <w:t>Skrivelsen</w:t>
      </w:r>
      <w:bookmarkEnd w:id="43"/>
    </w:p>
    <w:p w:rsidR="00DD69FA" w:rsidRPr="00590648" w:rsidRDefault="00DD69FA">
      <w:pPr>
        <w:pStyle w:val="Motioner"/>
        <w:rPr>
          <w:i w:val="0"/>
        </w:rPr>
      </w:pPr>
      <w:r w:rsidRPr="00590648">
        <w:rPr>
          <w:i w:val="0"/>
        </w:rPr>
        <w:t>Regeringens skrivelse 2001/02:102 Utvecklingen inom den kommunala se</w:t>
      </w:r>
      <w:r w:rsidRPr="00590648">
        <w:rPr>
          <w:i w:val="0"/>
        </w:rPr>
        <w:t>k</w:t>
      </w:r>
      <w:r w:rsidRPr="00590648">
        <w:rPr>
          <w:i w:val="0"/>
        </w:rPr>
        <w:t>torn.</w:t>
      </w:r>
    </w:p>
    <w:p w:rsidR="00DD69FA" w:rsidRPr="00590648" w:rsidRDefault="00DD69FA">
      <w:pPr>
        <w:pStyle w:val="Rubrik2"/>
        <w:spacing w:before="375"/>
      </w:pPr>
      <w:bookmarkStart w:id="44" w:name="_Toc10795510"/>
      <w:r w:rsidRPr="00590648">
        <w:t>Följdmotioner</w:t>
      </w:r>
      <w:bookmarkEnd w:id="44"/>
    </w:p>
    <w:p w:rsidR="00DD69FA" w:rsidRPr="00590648" w:rsidRDefault="00DD69FA">
      <w:pPr>
        <w:pStyle w:val="Motioner"/>
      </w:pPr>
      <w:bookmarkStart w:id="45" w:name="RangeStart"/>
      <w:bookmarkStart w:id="46" w:name="RangeEnd"/>
      <w:bookmarkEnd w:id="45"/>
      <w:r w:rsidRPr="00590648">
        <w:t>2001/02:Fi45 av Gunnar Hökmark m.fl. (m):</w:t>
      </w:r>
    </w:p>
    <w:p w:rsidR="00DD69FA" w:rsidRPr="00590648" w:rsidRDefault="00DD69FA">
      <w:pPr>
        <w:pStyle w:val="Yrkanden"/>
      </w:pPr>
      <w:r w:rsidRPr="00590648">
        <w:t xml:space="preserve">1. Riksdagen tillkännager för regeringen som sin mening vad i motionen anförs om förstärkt kommunal självstyrelse. </w:t>
      </w:r>
    </w:p>
    <w:p w:rsidR="00DD69FA" w:rsidRPr="00590648" w:rsidRDefault="00DD69FA">
      <w:pPr>
        <w:pStyle w:val="Yrkanden"/>
      </w:pPr>
      <w:r w:rsidRPr="00590648">
        <w:t xml:space="preserve">2. Riksdagen tillkännager för regeringen som sin mening vad i motionen anförs om kommuners avancerade skatteplanering. </w:t>
      </w:r>
    </w:p>
    <w:p w:rsidR="00DD69FA" w:rsidRPr="00590648" w:rsidRDefault="00DD69FA">
      <w:pPr>
        <w:pStyle w:val="Yrkanden"/>
      </w:pPr>
      <w:r w:rsidRPr="00590648">
        <w:t>3. Riksdagen tillkännager för regeringen som sin mening vad i motionen anförs om det inomkommunala utjämningssystemets negativa konsekve</w:t>
      </w:r>
      <w:r w:rsidRPr="00590648">
        <w:t>n</w:t>
      </w:r>
      <w:r w:rsidRPr="00590648">
        <w:t xml:space="preserve">ser för tillväxt var den än förekommer i Sverige. </w:t>
      </w:r>
    </w:p>
    <w:p w:rsidR="00DD69FA" w:rsidRPr="00590648" w:rsidRDefault="00DD69FA">
      <w:pPr>
        <w:pStyle w:val="Yrkanden"/>
      </w:pPr>
      <w:r w:rsidRPr="00590648">
        <w:t>4. Riksdagen begär att regeringen lägger fram förslag om förändringar i d</w:t>
      </w:r>
      <w:r w:rsidRPr="00590648">
        <w:t>a</w:t>
      </w:r>
      <w:r w:rsidRPr="00590648">
        <w:t>gens utjämningssystem med verkan för 2002, vilka skall stimulera till til</w:t>
      </w:r>
      <w:r w:rsidRPr="00590648">
        <w:t>l</w:t>
      </w:r>
      <w:r w:rsidRPr="00590648">
        <w:t xml:space="preserve">växt i hela landet, i enlighet med vad som anförs i motionen. </w:t>
      </w:r>
    </w:p>
    <w:p w:rsidR="00DD69FA" w:rsidRPr="00590648" w:rsidRDefault="00DD69FA">
      <w:pPr>
        <w:pStyle w:val="Yrkanden"/>
      </w:pPr>
      <w:r w:rsidRPr="00590648">
        <w:t>5. Riksdagen tillkännager för regeringen som sin mening behovet av ett nytt statligt finansierat utjämningssystem i enlighet med vad som anförs i m</w:t>
      </w:r>
      <w:r w:rsidRPr="00590648">
        <w:t>o</w:t>
      </w:r>
      <w:r w:rsidRPr="00590648">
        <w:t xml:space="preserve">tionen. </w:t>
      </w:r>
    </w:p>
    <w:p w:rsidR="00DD69FA" w:rsidRPr="00590648" w:rsidRDefault="00DD69FA">
      <w:pPr>
        <w:pStyle w:val="Yrkanden"/>
      </w:pPr>
      <w:r w:rsidRPr="00590648">
        <w:t>6. Riksdagen tillkännager för regeringen som sin mening vad i motionen anförs om tillgängligheten till sjukvård och behovet av en nationell vår</w:t>
      </w:r>
      <w:r w:rsidRPr="00590648">
        <w:t>d</w:t>
      </w:r>
      <w:r w:rsidRPr="00590648">
        <w:t xml:space="preserve">garanti. </w:t>
      </w:r>
    </w:p>
    <w:p w:rsidR="00DD69FA" w:rsidRPr="00590648" w:rsidRDefault="00DD69FA">
      <w:pPr>
        <w:pStyle w:val="Yrkanden"/>
      </w:pPr>
      <w:r w:rsidRPr="00590648">
        <w:t xml:space="preserve">7. Riksdagen tillkännager för regeringen som sin mening vad i motionen anförs om tandvården. </w:t>
      </w:r>
    </w:p>
    <w:p w:rsidR="00DD69FA" w:rsidRPr="00590648" w:rsidRDefault="00DD69FA">
      <w:pPr>
        <w:pStyle w:val="Yrkanden"/>
      </w:pPr>
      <w:r w:rsidRPr="00590648">
        <w:t>8. Riksdagen tillkännager för regeringen som sin mening vad i motionen anförs om äldreomsorgens kvalitet och behovet av valfrihet och av en n</w:t>
      </w:r>
      <w:r w:rsidRPr="00590648">
        <w:t>a</w:t>
      </w:r>
      <w:r w:rsidRPr="00590648">
        <w:t xml:space="preserve">tionell äldrepeng. </w:t>
      </w:r>
    </w:p>
    <w:p w:rsidR="00DD69FA" w:rsidRPr="00590648" w:rsidRDefault="00DD69FA">
      <w:pPr>
        <w:pStyle w:val="Yrkanden"/>
      </w:pPr>
      <w:r w:rsidRPr="00590648">
        <w:t xml:space="preserve">9. Riksdagen tillkännager för regeringen som sin mening vad i motionen anförs om handikappomsorgen. </w:t>
      </w:r>
    </w:p>
    <w:p w:rsidR="00DD69FA" w:rsidRPr="00590648" w:rsidRDefault="00DD69FA">
      <w:pPr>
        <w:pStyle w:val="Yrkanden"/>
      </w:pPr>
      <w:r w:rsidRPr="00590648">
        <w:t xml:space="preserve">10. Riksdagen tillkännager för regeringen som sin mening vad i motionen anförs om maxtaxan. </w:t>
      </w:r>
    </w:p>
    <w:p w:rsidR="00DD69FA" w:rsidRPr="00590648" w:rsidRDefault="00DD69FA">
      <w:pPr>
        <w:pStyle w:val="Yrkanden"/>
      </w:pPr>
      <w:r w:rsidRPr="00590648">
        <w:t xml:space="preserve">11. Riksdagen tillkännager för regeringen som sin mening vad i motionen anförs om kvaliteten i skolan. </w:t>
      </w:r>
    </w:p>
    <w:p w:rsidR="00DD69FA" w:rsidRPr="00590648" w:rsidRDefault="00DD69FA">
      <w:pPr>
        <w:pStyle w:val="Yrkanden"/>
      </w:pPr>
      <w:r w:rsidRPr="00590648">
        <w:t xml:space="preserve">12. Riksdagen tillkännager för regeringen som sin mening vad i motionen anförs om åtgärder för att motverka negativ segregation i invandrartäta områden. </w:t>
      </w:r>
    </w:p>
    <w:p w:rsidR="00DD69FA" w:rsidRPr="00590648" w:rsidRDefault="00DD69FA">
      <w:pPr>
        <w:pStyle w:val="Motioner"/>
      </w:pPr>
      <w:r w:rsidRPr="00590648">
        <w:t>2001/02:Fi46 av Per Landgren m.fl. (kd):</w:t>
      </w:r>
    </w:p>
    <w:p w:rsidR="00DD69FA" w:rsidRPr="00590648" w:rsidRDefault="00DD69FA">
      <w:pPr>
        <w:pStyle w:val="Yrkanden"/>
      </w:pPr>
      <w:r w:rsidRPr="00590648">
        <w:t xml:space="preserve">1.  Riksdagen begär att regeringen lägger fram förslag beträffande avveckling av den statliga fastighetsskatten och förslag om att kommunerna skall ta ut en fastighetsanknuten serviceavgift. </w:t>
      </w:r>
    </w:p>
    <w:p w:rsidR="00DD69FA" w:rsidRPr="00590648" w:rsidRDefault="00DD69FA">
      <w:pPr>
        <w:pStyle w:val="Yrkanden"/>
      </w:pPr>
      <w:r w:rsidRPr="00590648">
        <w:t xml:space="preserve">2. Riksdagen tillkännager för regeringen som sin mening vad i motionen anförs om kommunala försäljningar av bostadsbolag och att de inte skall motverkas av staten. </w:t>
      </w:r>
    </w:p>
    <w:p w:rsidR="00DD69FA" w:rsidRPr="00590648" w:rsidRDefault="00DD69FA">
      <w:pPr>
        <w:pStyle w:val="Yrkanden"/>
      </w:pPr>
      <w:r w:rsidRPr="00590648">
        <w:t>3. Riksdagen tillkännager för regeringen som sin mening vad i motionen anförs om att precisera, lagfästa och institutionalisera finansieringsprinc</w:t>
      </w:r>
      <w:r w:rsidRPr="00590648">
        <w:t>i</w:t>
      </w:r>
      <w:r w:rsidRPr="00590648">
        <w:t xml:space="preserve">pen. </w:t>
      </w:r>
    </w:p>
    <w:p w:rsidR="00DD69FA" w:rsidRPr="00590648" w:rsidRDefault="00DD69FA">
      <w:pPr>
        <w:pStyle w:val="Yrkanden"/>
      </w:pPr>
      <w:r w:rsidRPr="00590648">
        <w:t>4. Riksdagen tillkännager för regeringen som sin mening vad i motionen anförs om tilläggsdirektiv till utredningen om det kommunala utjämning</w:t>
      </w:r>
      <w:r w:rsidRPr="00590648">
        <w:t>s</w:t>
      </w:r>
      <w:r w:rsidRPr="00590648">
        <w:t xml:space="preserve">systemet eller tillsättning av en parlamentarisk utredning för att se över utjämningssystemet. </w:t>
      </w:r>
    </w:p>
    <w:p w:rsidR="00DD69FA" w:rsidRPr="00590648" w:rsidRDefault="00DD69FA">
      <w:pPr>
        <w:pStyle w:val="Yrkanden"/>
      </w:pPr>
      <w:r w:rsidRPr="00590648">
        <w:t xml:space="preserve">5. Riksdagen tillkännager för regeringen som sin mening vad i motionen anförs om kommunal upphandling och eget val. </w:t>
      </w:r>
    </w:p>
    <w:p w:rsidR="00DD69FA" w:rsidRPr="00590648" w:rsidRDefault="00DD69FA">
      <w:pPr>
        <w:pStyle w:val="Yrkanden"/>
      </w:pPr>
      <w:r w:rsidRPr="00590648">
        <w:t xml:space="preserve">6. Riksdagen tillkännager för regeringen som sin mening vad i motionen anförs om riktade bidrag. </w:t>
      </w:r>
    </w:p>
    <w:p w:rsidR="00DD69FA" w:rsidRPr="00590648" w:rsidRDefault="00DD69FA">
      <w:pPr>
        <w:pStyle w:val="Motioner"/>
      </w:pPr>
      <w:r w:rsidRPr="00590648">
        <w:t>2001/02:Fi47 av Rolf Kenneryd m.fl. (c):</w:t>
      </w:r>
    </w:p>
    <w:p w:rsidR="00DD69FA" w:rsidRPr="00590648" w:rsidRDefault="00DD69FA">
      <w:pPr>
        <w:pStyle w:val="Yrkanden"/>
      </w:pPr>
      <w:r w:rsidRPr="00590648">
        <w:t xml:space="preserve">1. Riksdagen tillkännager för regeringen som sin mening vad i motionen anförs om att förstärka den kommunala skattebasen. </w:t>
      </w:r>
    </w:p>
    <w:p w:rsidR="00DD69FA" w:rsidRPr="00590648" w:rsidRDefault="00DD69FA">
      <w:pPr>
        <w:pStyle w:val="Yrkanden"/>
      </w:pPr>
      <w:r w:rsidRPr="00590648">
        <w:t>2. Riksdagen tillkännager för regeringen som sin mening vad i motionen anförs om principerna för en översyn av det kommunala skatteutjämning</w:t>
      </w:r>
      <w:r w:rsidRPr="00590648">
        <w:t>s</w:t>
      </w:r>
      <w:r w:rsidRPr="00590648">
        <w:t xml:space="preserve">systemet. </w:t>
      </w:r>
    </w:p>
    <w:p w:rsidR="00DD69FA" w:rsidRPr="00590648" w:rsidRDefault="00DD69FA">
      <w:pPr>
        <w:pStyle w:val="Yrkanden"/>
      </w:pPr>
      <w:r w:rsidRPr="00590648">
        <w:t xml:space="preserve">3. Riksdagen tillkännager för regeringen som sin mening vad i motionen anförs om att statsbidrag till kommunerna skall ges som fria medel och inte specialdestineras. </w:t>
      </w:r>
    </w:p>
    <w:p w:rsidR="00DD69FA" w:rsidRPr="00590648" w:rsidRDefault="00DD69FA">
      <w:pPr>
        <w:pStyle w:val="Yrkanden"/>
      </w:pPr>
      <w:r w:rsidRPr="00590648">
        <w:t xml:space="preserve">4. Riksdagen tillkännager för regeringen som sin mening vad i motionen anförs om att finansieringsprincipen skall följas strikt. </w:t>
      </w:r>
    </w:p>
    <w:p w:rsidR="00DD69FA" w:rsidRPr="00590648" w:rsidRDefault="00DD69FA">
      <w:pPr>
        <w:pStyle w:val="Motioner"/>
      </w:pPr>
      <w:r w:rsidRPr="00590648">
        <w:t>2001/02:Fi48 av Karin Pilsäter m.fl. (fp):</w:t>
      </w:r>
    </w:p>
    <w:p w:rsidR="00DD69FA" w:rsidRPr="00590648" w:rsidRDefault="00DD69FA">
      <w:pPr>
        <w:pStyle w:val="Yrkanden"/>
      </w:pPr>
      <w:r w:rsidRPr="00590648">
        <w:t>1. Riksdagen tillkännager för regeringen som sin mening vad i motionen anförs om statens och kommunernas uppgifter vad gäller äldrevårdens u</w:t>
      </w:r>
      <w:r w:rsidRPr="00590648">
        <w:t>t</w:t>
      </w:r>
      <w:r w:rsidRPr="00590648">
        <w:t xml:space="preserve">veckling. </w:t>
      </w:r>
    </w:p>
    <w:p w:rsidR="00DD69FA" w:rsidRPr="00590648" w:rsidRDefault="00DD69FA">
      <w:pPr>
        <w:pStyle w:val="Yrkanden"/>
      </w:pPr>
      <w:r w:rsidRPr="00590648">
        <w:t>2. Riksdagen tillkännager för regeringen som sin mening vad i motionen anförs om statens och kommunernas uppgifter vad gäller tillgänglighetsr</w:t>
      </w:r>
      <w:r w:rsidRPr="00590648">
        <w:t>e</w:t>
      </w:r>
      <w:r w:rsidRPr="00590648">
        <w:t xml:space="preserve">form för funktionshindrade. </w:t>
      </w:r>
    </w:p>
    <w:p w:rsidR="00DD69FA" w:rsidRPr="00590648" w:rsidRDefault="00DD69FA">
      <w:pPr>
        <w:pStyle w:val="Yrkanden"/>
      </w:pPr>
      <w:r w:rsidRPr="00590648">
        <w:t>3. Riksdagen tillkännager för regeringen som sin mening vad i motionen anförs om de framtida principerna för statligt och kommunalt finansi</w:t>
      </w:r>
      <w:r w:rsidRPr="00590648">
        <w:t>e</w:t>
      </w:r>
      <w:r w:rsidRPr="00590648">
        <w:t xml:space="preserve">ringsansvar för skolväsendet. </w:t>
      </w:r>
    </w:p>
    <w:p w:rsidR="00DD69FA" w:rsidRPr="00590648" w:rsidRDefault="00DD69FA">
      <w:pPr>
        <w:pStyle w:val="Yrkanden"/>
      </w:pPr>
      <w:r w:rsidRPr="00590648">
        <w:t xml:space="preserve">4. Riksdagen tillkännager för regeringen som sin mening vad i motionen anförs om skolan och folkhälsoarbetet, såvitt avser droginformation. </w:t>
      </w:r>
    </w:p>
    <w:p w:rsidR="00DD69FA" w:rsidRPr="00590648" w:rsidRDefault="00DD69FA">
      <w:pPr>
        <w:pStyle w:val="Yrkanden"/>
      </w:pPr>
      <w:r w:rsidRPr="00590648">
        <w:t>5. Riksdagen tillkännager för regeringen som sin mening vad i motionen anförs om ansvarsfördelningen mellan stat och kommun såvitt gäller mis</w:t>
      </w:r>
      <w:r w:rsidRPr="00590648">
        <w:t>s</w:t>
      </w:r>
      <w:r w:rsidRPr="00590648">
        <w:t xml:space="preserve">brukarvården. </w:t>
      </w:r>
    </w:p>
    <w:p w:rsidR="00DD69FA" w:rsidRPr="00590648" w:rsidRDefault="00DD69FA">
      <w:pPr>
        <w:pStyle w:val="Yrkanden"/>
      </w:pPr>
      <w:r w:rsidRPr="00590648">
        <w:t xml:space="preserve">6. Riksdagen tillkännager för regeringen som sin mening vad i motionen anförs om utredningar beträffande kommunala aktiebolag. </w:t>
      </w:r>
    </w:p>
    <w:p w:rsidR="00DD69FA" w:rsidRPr="00590648" w:rsidRDefault="00DD69FA">
      <w:pPr>
        <w:pStyle w:val="Yrkanden"/>
      </w:pPr>
      <w:r w:rsidRPr="00590648">
        <w:t xml:space="preserve">7. Riksdagen tillkännager för regeringen som sin mening vad i motionen anförs om statistik beträffande sjukvårdens produktivitetsutveckling. </w:t>
      </w:r>
    </w:p>
    <w:p w:rsidR="00DD69FA" w:rsidRPr="00590648" w:rsidRDefault="00DD69FA">
      <w:pPr>
        <w:pStyle w:val="Yrkanden"/>
      </w:pPr>
      <w:r w:rsidRPr="00590648">
        <w:t xml:space="preserve">8. Riksdagen beslutar om hur vinster av kommunal skatteplanering genom koncernbidrag mellan bolag skall neutraliseras när statsbidrag betalas ut. </w:t>
      </w:r>
    </w:p>
    <w:p w:rsidR="00DD69FA" w:rsidRPr="00590648" w:rsidRDefault="00DD69FA">
      <w:pPr>
        <w:pStyle w:val="Yrkanden"/>
      </w:pPr>
      <w:r w:rsidRPr="00590648">
        <w:t>9. Riksdagen tillkännager för regeringen som sin mening att Skatteutjä</w:t>
      </w:r>
      <w:r w:rsidRPr="00590648">
        <w:t>m</w:t>
      </w:r>
      <w:r w:rsidRPr="00590648">
        <w:t>ningsutredningen bör ges nya direktiv för grundlig reformering av i</w:t>
      </w:r>
      <w:r w:rsidRPr="00590648">
        <w:t>n</w:t>
      </w:r>
      <w:r w:rsidRPr="00590648">
        <w:t>komst- och kostnadsutjämningssystemet i enlighet med motionens riktli</w:t>
      </w:r>
      <w:r w:rsidRPr="00590648">
        <w:t>n</w:t>
      </w:r>
      <w:r w:rsidRPr="00590648">
        <w:t xml:space="preserve">jer. </w:t>
      </w:r>
    </w:p>
    <w:p w:rsidR="00DD69FA" w:rsidRPr="00590648" w:rsidRDefault="00DD69FA">
      <w:pPr>
        <w:pStyle w:val="Yrkanden"/>
      </w:pPr>
      <w:r w:rsidRPr="00590648">
        <w:t>10. Riksdagen tillkännager för regeringen som sin mening att Skatteutjä</w:t>
      </w:r>
      <w:r w:rsidRPr="00590648">
        <w:t>m</w:t>
      </w:r>
      <w:r w:rsidRPr="00590648">
        <w:t>ningsutredningen bör ges direktiv att utreda förutsättningar för och kons</w:t>
      </w:r>
      <w:r w:rsidRPr="00590648">
        <w:t>e</w:t>
      </w:r>
      <w:r w:rsidRPr="00590648">
        <w:t xml:space="preserve">kvenser av att överföra utjämningssystemet i statlig finansiering. </w:t>
      </w:r>
    </w:p>
    <w:p w:rsidR="00DD69FA" w:rsidRPr="00590648" w:rsidRDefault="00DD69FA">
      <w:pPr>
        <w:pStyle w:val="Yrkanden"/>
      </w:pPr>
      <w:r w:rsidRPr="00590648">
        <w:t>11. Riksdagen tillkännager för regeringen som sin mening vad i motionen anförs om användningen av projektbidrag som byggsubventioner och b</w:t>
      </w:r>
      <w:r w:rsidRPr="00590648">
        <w:t>i</w:t>
      </w:r>
      <w:r w:rsidRPr="00590648">
        <w:t xml:space="preserve">drag till kommunalt miljöarbete. </w:t>
      </w:r>
    </w:p>
    <w:p w:rsidR="00DD69FA" w:rsidRPr="00590648" w:rsidRDefault="00DD69FA">
      <w:pPr>
        <w:pStyle w:val="Rubrik2"/>
      </w:pPr>
      <w:bookmarkStart w:id="47" w:name="_Toc10795511"/>
      <w:bookmarkEnd w:id="46"/>
      <w:r w:rsidRPr="00590648">
        <w:t>Motionsyrkande väckt med anledning av proposition 2001/02:100 2002 års ekonomiska vå</w:t>
      </w:r>
      <w:r w:rsidRPr="00590648">
        <w:t>r</w:t>
      </w:r>
      <w:r w:rsidRPr="00590648">
        <w:t>proposition</w:t>
      </w:r>
      <w:bookmarkEnd w:id="47"/>
    </w:p>
    <w:p w:rsidR="00DD69FA" w:rsidRPr="00590648" w:rsidRDefault="00DD69FA">
      <w:pPr>
        <w:pStyle w:val="Motioner"/>
      </w:pPr>
      <w:r w:rsidRPr="00590648">
        <w:t>2001/02:Fi42 av Bo Lundgren m.fl. (m):</w:t>
      </w:r>
    </w:p>
    <w:p w:rsidR="00DD69FA" w:rsidRPr="00590648" w:rsidRDefault="00DD69FA">
      <w:pPr>
        <w:pStyle w:val="Yrkanden"/>
      </w:pPr>
      <w:r w:rsidRPr="00590648">
        <w:t xml:space="preserve">16. Riksdagen begär att regeringen lägger fram förslag om förändringar i dagens utjämningssystem med verkan för 2002, vilka skall stimulera till tillväxt i hela landet, i enlighet med vad som anförs i motionen. </w:t>
      </w:r>
    </w:p>
    <w:p w:rsidR="00DD69FA" w:rsidRPr="00590648" w:rsidRDefault="00DD69FA"/>
    <w:p w:rsidR="00DD69FA" w:rsidRPr="00590648" w:rsidRDefault="00DD69FA">
      <w:pPr>
        <w:pStyle w:val="Normaltindrag"/>
        <w:sectPr w:rsidR="00000000" w:rsidRPr="0059064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D69FA" w:rsidRPr="00590648" w:rsidRDefault="00DD69FA">
      <w:pPr>
        <w:pStyle w:val="Bilaga"/>
      </w:pPr>
      <w:r w:rsidRPr="00590648">
        <w:t>BILAGA 2</w:t>
      </w:r>
    </w:p>
    <w:p w:rsidR="00DD69FA" w:rsidRPr="00590648" w:rsidRDefault="00590648">
      <w:pPr>
        <w:pStyle w:val="Rubrik1"/>
        <w:spacing w:after="480"/>
        <w:rPr>
          <w:noProof w:val="0"/>
        </w:rPr>
      </w:pPr>
      <w:bookmarkStart w:id="48" w:name="_Toc10537604"/>
      <w:bookmarkStart w:id="49" w:name="_Toc10795512"/>
      <w:r w:rsidRPr="00590648">
        <w:drawing>
          <wp:anchor distT="0" distB="0" distL="114300" distR="114300" simplePos="0" relativeHeight="251656192" behindDoc="0" locked="1" layoutInCell="0" allowOverlap="1">
            <wp:simplePos x="0" y="0"/>
            <wp:positionH relativeFrom="column">
              <wp:posOffset>-96520</wp:posOffset>
            </wp:positionH>
            <wp:positionV relativeFrom="paragraph">
              <wp:posOffset>832485</wp:posOffset>
            </wp:positionV>
            <wp:extent cx="4425950" cy="621792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425950" cy="621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9FA" w:rsidRPr="00590648">
        <w:rPr>
          <w:noProof w:val="0"/>
        </w:rPr>
        <w:t>Konstitutionsutskottets protokollsutdrag 2001/02:42</w:t>
      </w:r>
      <w:bookmarkEnd w:id="48"/>
      <w:bookmarkEnd w:id="49"/>
    </w:p>
    <w:p w:rsidR="00DD69FA" w:rsidRPr="00590648" w:rsidRDefault="00590648">
      <w:pPr>
        <w:pStyle w:val="Reservantfrslag"/>
      </w:pPr>
      <w:r w:rsidRPr="00590648">
        <w:rPr>
          <w:noProof/>
        </w:rPr>
        <w:drawing>
          <wp:anchor distT="0" distB="0" distL="114300" distR="114300" simplePos="0" relativeHeight="251657216" behindDoc="0" locked="1" layoutInCell="0" allowOverlap="1">
            <wp:simplePos x="0" y="0"/>
            <wp:positionH relativeFrom="column">
              <wp:posOffset>-848995</wp:posOffset>
            </wp:positionH>
            <wp:positionV relativeFrom="paragraph">
              <wp:posOffset>-27305</wp:posOffset>
            </wp:positionV>
            <wp:extent cx="4413250" cy="7223760"/>
            <wp:effectExtent l="0" t="0" r="0"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413250" cy="722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9FA" w:rsidRPr="00590648">
        <w:br w:type="page"/>
      </w:r>
      <w:r w:rsidRPr="00590648">
        <w:rPr>
          <w:noProof/>
        </w:rPr>
        <w:drawing>
          <wp:anchor distT="0" distB="0" distL="114300" distR="114300" simplePos="0" relativeHeight="251658240" behindDoc="0" locked="1" layoutInCell="0" allowOverlap="1">
            <wp:simplePos x="0" y="0"/>
            <wp:positionH relativeFrom="column">
              <wp:posOffset>86360</wp:posOffset>
            </wp:positionH>
            <wp:positionV relativeFrom="paragraph">
              <wp:posOffset>64135</wp:posOffset>
            </wp:positionV>
            <wp:extent cx="3912870" cy="4663440"/>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912870" cy="4663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9FA" w:rsidRPr="00590648" w:rsidRDefault="00DD69FA"/>
    <w:p w:rsidR="00DD69FA" w:rsidRPr="00590648" w:rsidRDefault="00DD69FA">
      <w:pPr>
        <w:pStyle w:val="Normaltindrag"/>
        <w:sectPr w:rsidR="00000000" w:rsidRPr="00590648">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pPr>
    </w:p>
    <w:p w:rsidR="00DD69FA" w:rsidRPr="00590648" w:rsidRDefault="00DD69FA">
      <w:pPr>
        <w:pStyle w:val="Bilaga"/>
      </w:pPr>
      <w:bookmarkStart w:id="50" w:name="_Toc10537605"/>
      <w:r w:rsidRPr="00590648">
        <w:t>BILAGA 3</w:t>
      </w:r>
    </w:p>
    <w:p w:rsidR="00DD69FA" w:rsidRPr="00590648" w:rsidRDefault="00DD69FA">
      <w:pPr>
        <w:pStyle w:val="Rubrik1"/>
        <w:spacing w:after="240"/>
        <w:rPr>
          <w:noProof w:val="0"/>
        </w:rPr>
      </w:pPr>
      <w:bookmarkStart w:id="51" w:name="_Toc10795513"/>
      <w:r w:rsidRPr="00590648">
        <w:rPr>
          <w:noProof w:val="0"/>
        </w:rPr>
        <w:t>Socialförsäkringsutskottets protokollsutdrag 2001/02:38</w:t>
      </w:r>
      <w:bookmarkEnd w:id="50"/>
      <w:bookmarkEnd w:id="51"/>
    </w:p>
    <w:p w:rsidR="00DD69FA" w:rsidRPr="00590648" w:rsidRDefault="00590648">
      <w:bookmarkStart w:id="52" w:name="_Toc10537606"/>
      <w:r w:rsidRPr="00590648">
        <w:rPr>
          <w:noProof/>
        </w:rPr>
        <w:drawing>
          <wp:anchor distT="0" distB="0" distL="114300" distR="114300" simplePos="0" relativeHeight="251659264" behindDoc="0" locked="1" layoutInCell="0" allowOverlap="1">
            <wp:simplePos x="0" y="0"/>
            <wp:positionH relativeFrom="column">
              <wp:posOffset>-574675</wp:posOffset>
            </wp:positionH>
            <wp:positionV relativeFrom="paragraph">
              <wp:posOffset>29845</wp:posOffset>
            </wp:positionV>
            <wp:extent cx="4189095" cy="6035040"/>
            <wp:effectExtent l="0" t="0" r="0" b="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89095" cy="603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9FA" w:rsidRPr="00590648" w:rsidRDefault="00DD69FA">
      <w:pPr>
        <w:pStyle w:val="Normaltindrag"/>
      </w:pPr>
    </w:p>
    <w:p w:rsidR="00DD69FA" w:rsidRPr="00590648" w:rsidRDefault="00DD69FA">
      <w:pPr>
        <w:pStyle w:val="Normaltindrag"/>
        <w:sectPr w:rsidR="00000000" w:rsidRPr="00590648">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pPr>
    </w:p>
    <w:p w:rsidR="00DD69FA" w:rsidRPr="00590648" w:rsidRDefault="00DD69FA">
      <w:pPr>
        <w:pStyle w:val="Bilaga"/>
      </w:pPr>
      <w:r w:rsidRPr="00590648">
        <w:t>BILAGA 4</w:t>
      </w:r>
    </w:p>
    <w:p w:rsidR="00DD69FA" w:rsidRPr="00590648" w:rsidRDefault="00DD69FA">
      <w:pPr>
        <w:pStyle w:val="Rubrik1"/>
        <w:spacing w:after="0"/>
        <w:rPr>
          <w:noProof w:val="0"/>
        </w:rPr>
      </w:pPr>
      <w:bookmarkStart w:id="53" w:name="_Toc10795514"/>
      <w:r w:rsidRPr="00590648">
        <w:rPr>
          <w:noProof w:val="0"/>
        </w:rPr>
        <w:t>Socialutskottets yttrande</w:t>
      </w:r>
      <w:bookmarkEnd w:id="53"/>
      <w:r w:rsidRPr="00590648">
        <w:rPr>
          <w:noProof w:val="0"/>
        </w:rPr>
        <w:t xml:space="preserve"> </w:t>
      </w:r>
    </w:p>
    <w:p w:rsidR="00DD69FA" w:rsidRPr="00590648" w:rsidRDefault="00DD69FA">
      <w:pPr>
        <w:pStyle w:val="R1"/>
        <w:spacing w:after="720" w:line="240" w:lineRule="auto"/>
      </w:pPr>
      <w:r w:rsidRPr="00590648">
        <w:t>2001/02:SoU6y</w:t>
      </w:r>
      <w:bookmarkEnd w:id="52"/>
    </w:p>
    <w:tbl>
      <w:tblPr>
        <w:tblW w:w="0" w:type="auto"/>
        <w:tblInd w:w="-70" w:type="dxa"/>
        <w:tblLayout w:type="fixed"/>
        <w:tblCellMar>
          <w:left w:w="70" w:type="dxa"/>
          <w:right w:w="70" w:type="dxa"/>
        </w:tblCellMar>
        <w:tblLook w:val="0000" w:firstRow="0" w:lastRow="0" w:firstColumn="0" w:lastColumn="0" w:noHBand="0" w:noVBand="0"/>
      </w:tblPr>
      <w:tblGrid>
        <w:gridCol w:w="3012"/>
        <w:gridCol w:w="3012"/>
      </w:tblGrid>
      <w:tr w:rsidR="00000000" w:rsidRPr="00590648">
        <w:tblPrEx>
          <w:tblCellMar>
            <w:top w:w="0" w:type="dxa"/>
            <w:bottom w:w="0" w:type="dxa"/>
          </w:tblCellMar>
        </w:tblPrEx>
        <w:trPr>
          <w:cantSplit/>
        </w:trPr>
        <w:tc>
          <w:tcPr>
            <w:tcW w:w="6024" w:type="dxa"/>
            <w:gridSpan w:val="2"/>
            <w:tcBorders>
              <w:bottom w:val="single" w:sz="4" w:space="0" w:color="auto"/>
            </w:tcBorders>
          </w:tcPr>
          <w:p w:rsidR="00DD69FA" w:rsidRPr="00590648" w:rsidRDefault="00DD69FA">
            <w:pPr>
              <w:pStyle w:val="DokumentRubrik"/>
              <w:rPr>
                <w:noProof w:val="0"/>
              </w:rPr>
            </w:pPr>
            <w:r w:rsidRPr="00590648">
              <w:rPr>
                <w:noProof w:val="0"/>
              </w:rPr>
              <w:t>Utvecklingen inom den kommunala sektorn</w:t>
            </w:r>
          </w:p>
        </w:tc>
      </w:tr>
      <w:tr w:rsidR="00000000" w:rsidRPr="00590648">
        <w:tblPrEx>
          <w:tblCellMar>
            <w:top w:w="0" w:type="dxa"/>
            <w:bottom w:w="0" w:type="dxa"/>
          </w:tblCellMar>
        </w:tblPrEx>
        <w:trPr>
          <w:cantSplit/>
          <w:trHeight w:hRule="exact" w:val="360"/>
        </w:trPr>
        <w:tc>
          <w:tcPr>
            <w:tcW w:w="3012" w:type="dxa"/>
          </w:tcPr>
          <w:p w:rsidR="00DD69FA" w:rsidRPr="00590648" w:rsidRDefault="00DD69FA"/>
        </w:tc>
        <w:tc>
          <w:tcPr>
            <w:tcW w:w="3012" w:type="dxa"/>
          </w:tcPr>
          <w:p w:rsidR="00DD69FA" w:rsidRPr="00590648" w:rsidRDefault="00DD69FA"/>
        </w:tc>
      </w:tr>
    </w:tbl>
    <w:p w:rsidR="00DD69FA" w:rsidRPr="00590648" w:rsidRDefault="00DD69FA">
      <w:pPr>
        <w:pStyle w:val="R1"/>
        <w:spacing w:before="140" w:after="250"/>
      </w:pPr>
      <w:r w:rsidRPr="00590648">
        <w:t>Till finansutskottet</w:t>
      </w:r>
    </w:p>
    <w:p w:rsidR="00DD69FA" w:rsidRPr="00590648" w:rsidRDefault="00DD69FA">
      <w:r w:rsidRPr="00590648">
        <w:t>Finansutskottet har den 18 april 2002 beslutat att bereda bl.a. socialutskottet tillfälle att yttra sig över regeringens skrivelse 2001/02:102 om utvecklingen inom den kommunala sektorn och de motioner som har väckts med anledning av skr</w:t>
      </w:r>
      <w:r w:rsidRPr="00590648">
        <w:t>i</w:t>
      </w:r>
      <w:r w:rsidRPr="00590648">
        <w:t xml:space="preserve">velsen och som berör utskottets beredningsområde. </w:t>
      </w:r>
    </w:p>
    <w:p w:rsidR="00DD69FA" w:rsidRPr="00590648" w:rsidRDefault="00DD69FA">
      <w:r w:rsidRPr="00590648">
        <w:t>Socialutskottet begränsar yttrandet till avsnitten 3 Hälso- och sjukvård, 4.1 Äldreomsorg, 4.2 Handikappomsorg och 4.3.5 Missbrukarvård samt moti</w:t>
      </w:r>
      <w:r w:rsidRPr="00590648">
        <w:t>o</w:t>
      </w:r>
      <w:r w:rsidRPr="00590648">
        <w:softHyphen/>
        <w:t xml:space="preserve">nerna Fi45 (m) yrkandena 6–9 och Fi48 (fp) yrkandena 1, 2, 5 och 7. </w:t>
      </w:r>
    </w:p>
    <w:p w:rsidR="00DD69FA" w:rsidRPr="00590648" w:rsidRDefault="00DD69FA">
      <w:r w:rsidRPr="00590648">
        <w:t>I skrivelsen lämnar regeringen en översiktlig redovisning av hur ekonomin och verksamheten i kommuner och landsting har utvecklats de senaste åren. Redovisningen av den ekonomiska utvecklingen innefattar i huvudsak u</w:t>
      </w:r>
      <w:r w:rsidRPr="00590648">
        <w:t>t</w:t>
      </w:r>
      <w:r w:rsidRPr="00590648">
        <w:softHyphen/>
        <w:t>vecklingen av kommunsektorns andel i samhällsekonomin och av sektorns finansiella sparande, resultatutvecklingen för kommuner och landsting samt kommunala koncerner, sysselsättningsutvecklingen, kommunala entrepren</w:t>
      </w:r>
      <w:r w:rsidRPr="00590648">
        <w:t>a</w:t>
      </w:r>
      <w:r w:rsidRPr="00590648">
        <w:softHyphen/>
        <w:t>der och köp av verksamhet samt effekter av det utjämningssystem som infö</w:t>
      </w:r>
      <w:r w:rsidRPr="00590648">
        <w:t>r</w:t>
      </w:r>
      <w:r w:rsidRPr="00590648">
        <w:softHyphen/>
        <w:t>des år 1996. Vidare presenteras hur kostnaderna fördelades mellan olika kommunala verksamheter 2000. Redovisningen av utvecklingen i den ko</w:t>
      </w:r>
      <w:r w:rsidRPr="00590648">
        <w:t>m</w:t>
      </w:r>
      <w:r w:rsidRPr="00590648">
        <w:softHyphen/>
        <w:t>munala verksamheten omfattar i första hand de obligatoriska verksamheterna skol</w:t>
      </w:r>
      <w:r w:rsidRPr="00590648">
        <w:t>a, vård och omsorg och syftar till att beskriva hur dessa utvecklas i fö</w:t>
      </w:r>
      <w:r w:rsidRPr="00590648">
        <w:t>r</w:t>
      </w:r>
      <w:r w:rsidRPr="00590648">
        <w:softHyphen/>
        <w:t xml:space="preserve">hållande till de nationella mål som riksdag och regering har formulerat. </w:t>
      </w:r>
    </w:p>
    <w:p w:rsidR="00DD69FA" w:rsidRPr="00590648" w:rsidRDefault="00DD69FA">
      <w:pPr>
        <w:pStyle w:val="Normaltindrag"/>
      </w:pPr>
      <w:r w:rsidRPr="00590648">
        <w:t>Redovisningen i den kommunala verksamheten avser i huvudsak förhål</w:t>
      </w:r>
      <w:r w:rsidRPr="00590648">
        <w:softHyphen/>
        <w:t>lan</w:t>
      </w:r>
      <w:r w:rsidRPr="00590648">
        <w:softHyphen/>
        <w:t>d</w:t>
      </w:r>
      <w:r w:rsidRPr="00590648">
        <w:t>e</w:t>
      </w:r>
      <w:r w:rsidRPr="00590648">
        <w:t xml:space="preserve">na t.o.m. verksamhetsåret 2000. </w:t>
      </w:r>
    </w:p>
    <w:p w:rsidR="00DD69FA" w:rsidRPr="00590648" w:rsidRDefault="00DD69FA">
      <w:pPr>
        <w:pStyle w:val="Normaltindrag"/>
      </w:pPr>
    </w:p>
    <w:p w:rsidR="00DD69FA" w:rsidRPr="00590648" w:rsidRDefault="00DD69FA"/>
    <w:p w:rsidR="00DD69FA" w:rsidRPr="00590648" w:rsidRDefault="00DD69FA">
      <w:pPr>
        <w:pStyle w:val="R1"/>
      </w:pPr>
      <w:r w:rsidRPr="00590648">
        <w:t>Socialutskottet</w:t>
      </w:r>
    </w:p>
    <w:p w:rsidR="00DD69FA" w:rsidRPr="00590648" w:rsidRDefault="00DD69FA">
      <w:pPr>
        <w:pStyle w:val="Rubrik2"/>
        <w:spacing w:before="0"/>
      </w:pPr>
      <w:bookmarkStart w:id="54" w:name="_Toc10795515"/>
      <w:r w:rsidRPr="00590648">
        <w:t>Hälso- och sjukvård</w:t>
      </w:r>
      <w:bookmarkEnd w:id="54"/>
    </w:p>
    <w:p w:rsidR="00DD69FA" w:rsidRPr="00590648" w:rsidRDefault="00DD69FA">
      <w:r w:rsidRPr="00590648">
        <w:t xml:space="preserve">I </w:t>
      </w:r>
      <w:r w:rsidRPr="00590648">
        <w:rPr>
          <w:i/>
        </w:rPr>
        <w:t xml:space="preserve">regeringens skrivelse </w:t>
      </w:r>
      <w:r w:rsidRPr="00590648">
        <w:t xml:space="preserve">konstateras i de sammanfattande slutsatserna avseende avsnitt 3 </w:t>
      </w:r>
      <w:r w:rsidRPr="00590648">
        <w:rPr>
          <w:i/>
        </w:rPr>
        <w:t xml:space="preserve">Hälso- och sjukvård </w:t>
      </w:r>
      <w:r w:rsidRPr="00590648">
        <w:t>följande.</w:t>
      </w:r>
    </w:p>
    <w:p w:rsidR="00DD69FA" w:rsidRPr="00590648" w:rsidRDefault="00DD69FA">
      <w:r w:rsidRPr="00590648">
        <w:t>Målet för hälso- och sjukvården är en god hälsa och vård på lika villkor för hela befolkningen. Den sammantagna bilden av för</w:t>
      </w:r>
      <w:r w:rsidRPr="00590648">
        <w:softHyphen/>
        <w:t>hållandena inom hälso- och sjukvården kännetecknas bland annat av en god medicinsk kvalitet, up</w:t>
      </w:r>
      <w:r w:rsidRPr="00590648">
        <w:t>p</w:t>
      </w:r>
      <w:r w:rsidRPr="00590648">
        <w:softHyphen/>
        <w:t>levda brister vad gäller tillgänglig</w:t>
      </w:r>
      <w:r w:rsidRPr="00590648">
        <w:softHyphen/>
        <w:t>heten och svårigheter att rekrytera och behålla personalen. Under 2001 legitimerades ett rekordstort antal läkare. Sedan 1996 har det skett en ökning med ca 20 500 årsarbetskrafter inom landstingens hälso- och sjukvård. Trots detta fort</w:t>
      </w:r>
      <w:r w:rsidRPr="00590648">
        <w:softHyphen/>
        <w:t>sätter mängden vakanser att vara stor.</w:t>
      </w:r>
    </w:p>
    <w:p w:rsidR="00DD69FA" w:rsidRPr="00590648" w:rsidRDefault="00DD69FA">
      <w:pPr>
        <w:pStyle w:val="Normaltindrag"/>
      </w:pPr>
      <w:r w:rsidRPr="00590648">
        <w:t xml:space="preserve">De totala kostnaderna för hälso- och sjukvårdsändamål uppgick 2000 till 163 miljarder kronor, vilket </w:t>
      </w:r>
      <w:r w:rsidRPr="00590648">
        <w:t>är en ökning med 5,8 % från föregående år. Kostnaderna för sjukvården per invånare varierar mellan de olika landstingen. Skillnader finns också avseende vård</w:t>
      </w:r>
      <w:r w:rsidRPr="00590648">
        <w:softHyphen/>
        <w:t>tidernas längd och vår</w:t>
      </w:r>
      <w:r w:rsidRPr="00590648">
        <w:t>d</w:t>
      </w:r>
      <w:r w:rsidRPr="00590648">
        <w:t>nivån.</w:t>
      </w:r>
    </w:p>
    <w:p w:rsidR="00DD69FA" w:rsidRPr="00590648" w:rsidRDefault="00DD69FA">
      <w:pPr>
        <w:pStyle w:val="Normaltindrag"/>
      </w:pPr>
      <w:r w:rsidRPr="00590648">
        <w:t>Tandhälsan blir allt bättre hos befolkningen. Under de senaste decennierna har förbättringarna varit störst vad gäller barn och ungdomar.</w:t>
      </w:r>
    </w:p>
    <w:p w:rsidR="00DD69FA" w:rsidRPr="00590648" w:rsidRDefault="00DD69FA">
      <w:pPr>
        <w:pStyle w:val="Normaltindrag"/>
      </w:pPr>
      <w:r w:rsidRPr="00590648">
        <w:t>Det skrivs ut en större mängd läkemedel till kvinnor, men kostnaden per förskrivet läkemedel är högre för män än för kvinnor. År 2001 upp</w:t>
      </w:r>
      <w:r w:rsidRPr="00590648">
        <w:softHyphen/>
        <w:t>gick kos</w:t>
      </w:r>
      <w:r w:rsidRPr="00590648">
        <w:t>t</w:t>
      </w:r>
      <w:r w:rsidRPr="00590648">
        <w:t>naderna för läkemedelsförmånen till knappt 17 miljarder kronor, en ökning med drygt 7 % jämfört med 2000.</w:t>
      </w:r>
    </w:p>
    <w:p w:rsidR="00DD69FA" w:rsidRPr="00590648" w:rsidRDefault="00DD69FA">
      <w:r w:rsidRPr="00590648">
        <w:t xml:space="preserve">I </w:t>
      </w:r>
      <w:r w:rsidRPr="00590648">
        <w:rPr>
          <w:i/>
        </w:rPr>
        <w:t xml:space="preserve">motion Fi45 av Gunnar Hökmark m.fl. (m) </w:t>
      </w:r>
      <w:r w:rsidRPr="00590648">
        <w:t>begärs</w:t>
      </w:r>
      <w:r w:rsidRPr="00590648">
        <w:rPr>
          <w:b/>
        </w:rPr>
        <w:t xml:space="preserve"> </w:t>
      </w:r>
      <w:r w:rsidRPr="00590648">
        <w:t>ett tillkännagivande</w:t>
      </w:r>
      <w:r w:rsidRPr="00590648">
        <w:rPr>
          <w:b/>
        </w:rPr>
        <w:t xml:space="preserve"> </w:t>
      </w:r>
      <w:r w:rsidRPr="00590648">
        <w:t xml:space="preserve">om tillgängligheten till sjukvård och behovet av en nationell vårdgaranti </w:t>
      </w:r>
      <w:r w:rsidRPr="00590648">
        <w:rPr>
          <w:i/>
        </w:rPr>
        <w:t>(yrkande 6)</w:t>
      </w:r>
      <w:r w:rsidRPr="00590648">
        <w:t>. Motionärerna anför att</w:t>
      </w:r>
      <w:r w:rsidRPr="00590648">
        <w:rPr>
          <w:snapToGrid w:val="0"/>
          <w:lang w:eastAsia="sv-SE"/>
        </w:rPr>
        <w:t xml:space="preserve"> den bristande tillgängligheten i första hand inte är en resursfråga utan en organisationsfråga och en fråga om mångfald, konku</w:t>
      </w:r>
      <w:r w:rsidRPr="00590648">
        <w:rPr>
          <w:snapToGrid w:val="0"/>
          <w:lang w:eastAsia="sv-SE"/>
        </w:rPr>
        <w:t>r</w:t>
      </w:r>
      <w:r w:rsidRPr="00590648">
        <w:rPr>
          <w:snapToGrid w:val="0"/>
          <w:lang w:eastAsia="sv-SE"/>
        </w:rPr>
        <w:softHyphen/>
        <w:t>rens och prestation, dvs. riktiga incitament för att bedriva god och effektiv sjukvård. D</w:t>
      </w:r>
      <w:r w:rsidRPr="00590648">
        <w:t>et är en fundamental rättighet att få vård av god kvalitet när man behöver den. Att patienterna kan ta med sig resurs</w:t>
      </w:r>
      <w:r w:rsidRPr="00590648">
        <w:t>erna till en annan vårdgi</w:t>
      </w:r>
      <w:r w:rsidRPr="00590648">
        <w:softHyphen/>
        <w:t>vare gör att vårdgarantin kan ses som ett första steg mot en obli</w:t>
      </w:r>
      <w:r w:rsidRPr="00590648">
        <w:softHyphen/>
        <w:t>gatorisk häls</w:t>
      </w:r>
      <w:r w:rsidRPr="00590648">
        <w:t>o</w:t>
      </w:r>
      <w:r w:rsidRPr="00590648">
        <w:t>försäkring. Vidare begärs i motionen ett till</w:t>
      </w:r>
      <w:r w:rsidRPr="00590648">
        <w:softHyphen/>
        <w:t>kännagivande om tandvår</w:t>
      </w:r>
      <w:r w:rsidRPr="00590648">
        <w:softHyphen/>
        <w:t xml:space="preserve">den </w:t>
      </w:r>
      <w:r w:rsidRPr="00590648">
        <w:rPr>
          <w:i/>
        </w:rPr>
        <w:t>(yrkande 7)</w:t>
      </w:r>
      <w:r w:rsidRPr="00590648">
        <w:t>. Motionärerna anför att d</w:t>
      </w:r>
      <w:r w:rsidRPr="00590648">
        <w:rPr>
          <w:snapToGrid w:val="0"/>
          <w:lang w:eastAsia="sv-SE"/>
        </w:rPr>
        <w:t>et finns ett stort behov av ett förbätt</w:t>
      </w:r>
      <w:r w:rsidRPr="00590648">
        <w:rPr>
          <w:snapToGrid w:val="0"/>
          <w:lang w:eastAsia="sv-SE"/>
        </w:rPr>
        <w:softHyphen/>
        <w:t>rat högkostnadsskydd i tandvården. Det högkostnads</w:t>
      </w:r>
      <w:r w:rsidRPr="00590648">
        <w:rPr>
          <w:snapToGrid w:val="0"/>
          <w:lang w:eastAsia="sv-SE"/>
        </w:rPr>
        <w:softHyphen/>
        <w:t>skydd för äldre över 65 år som regeringen inför är åldersdiskri</w:t>
      </w:r>
      <w:r w:rsidRPr="00590648">
        <w:rPr>
          <w:snapToGrid w:val="0"/>
          <w:lang w:eastAsia="sv-SE"/>
        </w:rPr>
        <w:softHyphen/>
        <w:t>minerande, urholkar kostnadsmedve</w:t>
      </w:r>
      <w:r w:rsidRPr="00590648">
        <w:rPr>
          <w:snapToGrid w:val="0"/>
          <w:lang w:eastAsia="sv-SE"/>
        </w:rPr>
        <w:softHyphen/>
        <w:t>tandet och är vilseledande. Motionärerna anför vidare att ett generöst hög</w:t>
      </w:r>
      <w:r w:rsidRPr="00590648">
        <w:rPr>
          <w:snapToGrid w:val="0"/>
          <w:lang w:eastAsia="sv-SE"/>
        </w:rPr>
        <w:softHyphen/>
        <w:t>kostnadsskydd för alla bör infö</w:t>
      </w:r>
      <w:r w:rsidRPr="00590648">
        <w:rPr>
          <w:snapToGrid w:val="0"/>
          <w:lang w:eastAsia="sv-SE"/>
        </w:rPr>
        <w:t>ras omedelbart. Skyddet skall omfatta alla med ett omfattande behov av kostsam tand</w:t>
      </w:r>
      <w:r w:rsidRPr="00590648">
        <w:rPr>
          <w:snapToGrid w:val="0"/>
          <w:lang w:eastAsia="sv-SE"/>
        </w:rPr>
        <w:softHyphen/>
        <w:t>vård och vara både enkelt och lättför</w:t>
      </w:r>
      <w:r w:rsidRPr="00590648">
        <w:rPr>
          <w:snapToGrid w:val="0"/>
          <w:lang w:eastAsia="sv-SE"/>
        </w:rPr>
        <w:softHyphen/>
        <w:t>ståeligt. En självrisk för enkla och van</w:t>
      </w:r>
      <w:r w:rsidRPr="00590648">
        <w:rPr>
          <w:snapToGrid w:val="0"/>
          <w:lang w:eastAsia="sv-SE"/>
        </w:rPr>
        <w:softHyphen/>
        <w:t>liga tandvårds</w:t>
      </w:r>
      <w:r w:rsidRPr="00590648">
        <w:rPr>
          <w:snapToGrid w:val="0"/>
          <w:lang w:eastAsia="sv-SE"/>
        </w:rPr>
        <w:softHyphen/>
        <w:t>arbeten gör vidare att de disponibla medlen kan användas ef</w:t>
      </w:r>
      <w:r w:rsidRPr="00590648">
        <w:rPr>
          <w:snapToGrid w:val="0"/>
          <w:lang w:eastAsia="sv-SE"/>
        </w:rPr>
        <w:softHyphen/>
        <w:t>fektivt till dem med stora behov.</w:t>
      </w:r>
    </w:p>
    <w:p w:rsidR="00DD69FA" w:rsidRPr="00590648" w:rsidRDefault="00DD69FA">
      <w:pPr>
        <w:rPr>
          <w:snapToGrid w:val="0"/>
          <w:lang w:eastAsia="sv-SE"/>
        </w:rPr>
      </w:pPr>
      <w:r w:rsidRPr="00590648">
        <w:t xml:space="preserve">I </w:t>
      </w:r>
      <w:r w:rsidRPr="00590648">
        <w:rPr>
          <w:i/>
        </w:rPr>
        <w:t xml:space="preserve">motion Fi48 av Karin Pilsäter m.fl. (fp) </w:t>
      </w:r>
      <w:r w:rsidRPr="00590648">
        <w:t>begärs ett tillkännagivande om stati</w:t>
      </w:r>
      <w:r w:rsidRPr="00590648">
        <w:softHyphen/>
        <w:t xml:space="preserve">stik beträffande sjukvårdens produktivitetsutveckling </w:t>
      </w:r>
      <w:r w:rsidRPr="00590648">
        <w:rPr>
          <w:i/>
        </w:rPr>
        <w:t>(yrkande 7)</w:t>
      </w:r>
      <w:r w:rsidRPr="00590648">
        <w:t>. Moti</w:t>
      </w:r>
      <w:r w:rsidRPr="00590648">
        <w:t>o</w:t>
      </w:r>
      <w:r w:rsidRPr="00590648">
        <w:t>nä</w:t>
      </w:r>
      <w:r w:rsidRPr="00590648">
        <w:softHyphen/>
        <w:t>rerna pekar på att d</w:t>
      </w:r>
      <w:r w:rsidRPr="00590648">
        <w:rPr>
          <w:snapToGrid w:val="0"/>
          <w:lang w:eastAsia="sv-SE"/>
        </w:rPr>
        <w:t>et är inte tillfredsställande att en för patienter och o</w:t>
      </w:r>
      <w:r w:rsidRPr="00590648">
        <w:rPr>
          <w:snapToGrid w:val="0"/>
          <w:lang w:eastAsia="sv-SE"/>
        </w:rPr>
        <w:t>f</w:t>
      </w:r>
      <w:r w:rsidRPr="00590648">
        <w:rPr>
          <w:snapToGrid w:val="0"/>
          <w:lang w:eastAsia="sv-SE"/>
        </w:rPr>
        <w:t>fent</w:t>
      </w:r>
      <w:r w:rsidRPr="00590648">
        <w:rPr>
          <w:snapToGrid w:val="0"/>
          <w:lang w:eastAsia="sv-SE"/>
        </w:rPr>
        <w:softHyphen/>
        <w:t>liga finanser så betydelsefull fråga som sjukvårdens produktivitet lämnas utanför arbetet med statistik och utvärdering. De metodproblem som vållas av förändringar i både sjukdomsmönster och medicinsk teknik bör man försöka övervinna, i stället för att ta dem till förevändning</w:t>
      </w:r>
      <w:r w:rsidRPr="00590648">
        <w:rPr>
          <w:snapToGrid w:val="0"/>
          <w:lang w:eastAsia="sv-SE"/>
        </w:rPr>
        <w:t xml:space="preserve"> för att låta riksdag och andra ansvariga nöja sig med ett bristfälligt underlag för de politiska b</w:t>
      </w:r>
      <w:r w:rsidRPr="00590648">
        <w:rPr>
          <w:snapToGrid w:val="0"/>
          <w:lang w:eastAsia="sv-SE"/>
        </w:rPr>
        <w:t>e</w:t>
      </w:r>
      <w:r w:rsidRPr="00590648">
        <w:rPr>
          <w:snapToGrid w:val="0"/>
          <w:lang w:eastAsia="sv-SE"/>
        </w:rPr>
        <w:t>döm</w:t>
      </w:r>
      <w:r w:rsidRPr="00590648">
        <w:rPr>
          <w:snapToGrid w:val="0"/>
          <w:lang w:eastAsia="sv-SE"/>
        </w:rPr>
        <w:softHyphen/>
        <w:t>ningarna. Motionärerna anser att regeringen tillsammans med Landsting</w:t>
      </w:r>
      <w:r w:rsidRPr="00590648">
        <w:rPr>
          <w:snapToGrid w:val="0"/>
          <w:lang w:eastAsia="sv-SE"/>
        </w:rPr>
        <w:t>s</w:t>
      </w:r>
      <w:r w:rsidRPr="00590648">
        <w:rPr>
          <w:snapToGrid w:val="0"/>
          <w:lang w:eastAsia="sv-SE"/>
        </w:rPr>
        <w:t>för</w:t>
      </w:r>
      <w:r w:rsidRPr="00590648">
        <w:rPr>
          <w:snapToGrid w:val="0"/>
          <w:lang w:eastAsia="sv-SE"/>
        </w:rPr>
        <w:softHyphen/>
        <w:t xml:space="preserve">bundet bör verka för att produktivitetsutvecklingen i vården från 1998 och framåt blir bättre belyst. </w:t>
      </w:r>
    </w:p>
    <w:p w:rsidR="00DD69FA" w:rsidRPr="00590648" w:rsidRDefault="00DD69FA">
      <w:pPr>
        <w:pStyle w:val="R3"/>
      </w:pPr>
      <w:r w:rsidRPr="00590648">
        <w:t xml:space="preserve">Bakgrund och pågående arbete </w:t>
      </w:r>
    </w:p>
    <w:p w:rsidR="00DD69FA" w:rsidRPr="00590648" w:rsidRDefault="00DD69FA">
      <w:pPr>
        <w:rPr>
          <w:snapToGrid w:val="0"/>
          <w:lang w:eastAsia="sv-SE"/>
        </w:rPr>
      </w:pPr>
      <w:r w:rsidRPr="00590648">
        <w:rPr>
          <w:snapToGrid w:val="0"/>
          <w:lang w:eastAsia="sv-SE"/>
        </w:rPr>
        <w:t xml:space="preserve">Från </w:t>
      </w:r>
      <w:r w:rsidRPr="00590648">
        <w:rPr>
          <w:i/>
          <w:snapToGrid w:val="0"/>
          <w:lang w:eastAsia="sv-SE"/>
        </w:rPr>
        <w:t>Landstingsförbundet</w:t>
      </w:r>
      <w:r w:rsidRPr="00590648">
        <w:rPr>
          <w:snapToGrid w:val="0"/>
          <w:lang w:eastAsia="sv-SE"/>
        </w:rPr>
        <w:t xml:space="preserve"> har inhämtats att anledningen till att några mä</w:t>
      </w:r>
      <w:r w:rsidRPr="00590648">
        <w:rPr>
          <w:snapToGrid w:val="0"/>
          <w:lang w:eastAsia="sv-SE"/>
        </w:rPr>
        <w:t>t</w:t>
      </w:r>
      <w:r w:rsidRPr="00590648">
        <w:rPr>
          <w:snapToGrid w:val="0"/>
          <w:lang w:eastAsia="sv-SE"/>
        </w:rPr>
        <w:softHyphen/>
        <w:t>ningar av hälso- och sjukvårdens produktivitet inte har redovisats sedan 1998 är att det statistiska underlaget brister. Prestationsutvecklingen inom sluten vård kan beskrivas på ett ganska rättvisande sätt genom att uppgifter om diagnos, ålder, operation m.m. registreras, så att det blir möjligt att ta hänsyn till variationen i vårdtyngd/resursåtgång. Det statistiska underlaget för b</w:t>
      </w:r>
      <w:r w:rsidRPr="00590648">
        <w:rPr>
          <w:snapToGrid w:val="0"/>
          <w:lang w:eastAsia="sv-SE"/>
        </w:rPr>
        <w:t>e</w:t>
      </w:r>
      <w:r w:rsidRPr="00590648">
        <w:rPr>
          <w:snapToGrid w:val="0"/>
          <w:lang w:eastAsia="sv-SE"/>
        </w:rPr>
        <w:softHyphen/>
        <w:t xml:space="preserve">skrivning av öppen vård och hemsjukvård </w:t>
      </w:r>
      <w:r w:rsidRPr="00590648">
        <w:rPr>
          <w:snapToGrid w:val="0"/>
          <w:color w:val="000000"/>
          <w:lang w:eastAsia="sv-SE"/>
        </w:rPr>
        <w:t>har däremot st</w:t>
      </w:r>
      <w:r w:rsidRPr="00590648">
        <w:rPr>
          <w:snapToGrid w:val="0"/>
          <w:color w:val="000000"/>
          <w:lang w:eastAsia="sv-SE"/>
        </w:rPr>
        <w:t>ora brister. Besök i dagsjukvård, exempelvis dagkirurgiska operationer och hemsjukvårdsbesök, registreras som vanliga mottagningsbe</w:t>
      </w:r>
      <w:r w:rsidRPr="00590648">
        <w:rPr>
          <w:snapToGrid w:val="0"/>
          <w:color w:val="000000"/>
          <w:lang w:eastAsia="sv-SE"/>
        </w:rPr>
        <w:softHyphen/>
        <w:t>sök, trots betydande skillnader i re</w:t>
      </w:r>
      <w:r w:rsidRPr="00590648">
        <w:rPr>
          <w:snapToGrid w:val="0"/>
          <w:color w:val="000000"/>
          <w:lang w:eastAsia="sv-SE"/>
        </w:rPr>
        <w:softHyphen/>
        <w:t>sursåtgång. Besök hos andra personalkate</w:t>
      </w:r>
      <w:r w:rsidRPr="00590648">
        <w:rPr>
          <w:snapToGrid w:val="0"/>
          <w:color w:val="000000"/>
          <w:lang w:eastAsia="sv-SE"/>
        </w:rPr>
        <w:softHyphen/>
        <w:t xml:space="preserve">gorier än läkare registreras vidare ofullständigt i många landsting. Att </w:t>
      </w:r>
      <w:r w:rsidRPr="00590648">
        <w:rPr>
          <w:snapToGrid w:val="0"/>
          <w:lang w:eastAsia="sv-SE"/>
        </w:rPr>
        <w:t>alltfler behandlingar sker inom öppen vård och inom hemsjukvård har fått till följd att mätningarna av produktivitet har blivit alltmer missvisande. Vidare har inhämtats att Landstingsförbundet tillsam</w:t>
      </w:r>
      <w:r w:rsidRPr="00590648">
        <w:rPr>
          <w:snapToGrid w:val="0"/>
          <w:lang w:eastAsia="sv-SE"/>
        </w:rPr>
        <w:softHyphen/>
        <w:t>mans med landstingen, för a</w:t>
      </w:r>
      <w:r w:rsidRPr="00590648">
        <w:rPr>
          <w:snapToGrid w:val="0"/>
          <w:lang w:eastAsia="sv-SE"/>
        </w:rPr>
        <w:t>tt bl.a. möjlig</w:t>
      </w:r>
      <w:r w:rsidRPr="00590648">
        <w:rPr>
          <w:snapToGrid w:val="0"/>
          <w:lang w:eastAsia="sv-SE"/>
        </w:rPr>
        <w:softHyphen/>
        <w:t>göra bättre produktivitet</w:t>
      </w:r>
      <w:r w:rsidRPr="00590648">
        <w:rPr>
          <w:snapToGrid w:val="0"/>
          <w:lang w:eastAsia="sv-SE"/>
        </w:rPr>
        <w:t>s</w:t>
      </w:r>
      <w:r w:rsidRPr="00590648">
        <w:rPr>
          <w:snapToGrid w:val="0"/>
          <w:lang w:eastAsia="sv-SE"/>
        </w:rPr>
        <w:softHyphen/>
        <w:t>mätningar, under senare år har genomfört ett omfattande utvecklings</w:t>
      </w:r>
      <w:r w:rsidRPr="00590648">
        <w:rPr>
          <w:snapToGrid w:val="0"/>
          <w:lang w:eastAsia="sv-SE"/>
        </w:rPr>
        <w:softHyphen/>
        <w:t>arbete för att få fram bättre hälso- och sjukvårdsstatistik. Från och med stati</w:t>
      </w:r>
      <w:r w:rsidRPr="00590648">
        <w:rPr>
          <w:snapToGrid w:val="0"/>
          <w:lang w:eastAsia="sv-SE"/>
        </w:rPr>
        <w:softHyphen/>
        <w:t>stikin</w:t>
      </w:r>
      <w:r w:rsidRPr="00590648">
        <w:rPr>
          <w:snapToGrid w:val="0"/>
          <w:lang w:eastAsia="sv-SE"/>
        </w:rPr>
        <w:softHyphen/>
        <w:t>samlingen från landstingen år 2002 höjs ambitionsnivån i landstingsstati</w:t>
      </w:r>
      <w:r w:rsidRPr="00590648">
        <w:rPr>
          <w:snapToGrid w:val="0"/>
          <w:lang w:eastAsia="sv-SE"/>
        </w:rPr>
        <w:softHyphen/>
        <w:t>stiken och prestationer och kostnader för bl.a. öppen vård och hemsjuk</w:t>
      </w:r>
      <w:r w:rsidRPr="00590648">
        <w:rPr>
          <w:snapToGrid w:val="0"/>
          <w:lang w:eastAsia="sv-SE"/>
        </w:rPr>
        <w:softHyphen/>
        <w:t>vård kommer att redovisas mer fullständigt. Landstingsförbundet räknar med att inom ett par år kunna göra produktivitetsmätningar med acce</w:t>
      </w:r>
      <w:r w:rsidRPr="00590648">
        <w:rPr>
          <w:snapToGrid w:val="0"/>
          <w:lang w:eastAsia="sv-SE"/>
        </w:rPr>
        <w:t>p</w:t>
      </w:r>
      <w:r w:rsidRPr="00590648">
        <w:rPr>
          <w:snapToGrid w:val="0"/>
          <w:lang w:eastAsia="sv-SE"/>
        </w:rPr>
        <w:t>tabel kvali</w:t>
      </w:r>
      <w:r w:rsidRPr="00590648">
        <w:rPr>
          <w:snapToGrid w:val="0"/>
          <w:lang w:eastAsia="sv-SE"/>
        </w:rPr>
        <w:softHyphen/>
        <w:t>tet.</w:t>
      </w:r>
    </w:p>
    <w:p w:rsidR="00DD69FA" w:rsidRPr="00590648" w:rsidRDefault="00DD69FA">
      <w:pPr>
        <w:pStyle w:val="Rubrik3"/>
        <w:rPr>
          <w:noProof w:val="0"/>
        </w:rPr>
      </w:pPr>
      <w:bookmarkStart w:id="55" w:name="_Toc10795516"/>
      <w:r w:rsidRPr="00590648">
        <w:rPr>
          <w:noProof w:val="0"/>
        </w:rPr>
        <w:t>Socialutskotte</w:t>
      </w:r>
      <w:r w:rsidRPr="00590648">
        <w:rPr>
          <w:noProof w:val="0"/>
        </w:rPr>
        <w:t>ts ställningstagande</w:t>
      </w:r>
      <w:bookmarkEnd w:id="55"/>
      <w:r w:rsidRPr="00590648">
        <w:rPr>
          <w:noProof w:val="0"/>
        </w:rPr>
        <w:t xml:space="preserve"> </w:t>
      </w:r>
    </w:p>
    <w:p w:rsidR="00DD69FA" w:rsidRPr="00590648" w:rsidRDefault="00DD69FA">
      <w:r w:rsidRPr="00590648">
        <w:t>Motionsyrkanden om tillgänglighet och vårdgaranti har nyligen behandlats och avstyrkts i betänkande 2001/02:SoU13 (s. 16–28 och s. 40–41), vilket debatterades i riksdagens kammare i går, den 15 maj. I betän</w:t>
      </w:r>
      <w:r w:rsidRPr="00590648">
        <w:softHyphen/>
        <w:t>kande 2001/02:SoU14 behandlades och avstyrktes bl.a. motioner rörande utfor</w:t>
      </w:r>
      <w:r w:rsidRPr="00590648">
        <w:t>m</w:t>
      </w:r>
      <w:r w:rsidRPr="00590648">
        <w:t>ningen av ett högkostnadsskydd inom tandvården (s. 8–11, rskr. 2001/02:206). Socialutskottet har inte ändrat uppfattning i dessa frågor och föreslår därför att finansutskottet avstyrker bifall till motion Fi45 (m) yrka</w:t>
      </w:r>
      <w:r w:rsidRPr="00590648">
        <w:t>n</w:t>
      </w:r>
      <w:r w:rsidRPr="00590648">
        <w:softHyphen/>
        <w:t xml:space="preserve">dena 6 och 7.  </w:t>
      </w:r>
    </w:p>
    <w:p w:rsidR="00DD69FA" w:rsidRPr="00590648" w:rsidRDefault="00DD69FA">
      <w:pPr>
        <w:pStyle w:val="Normaltindrag"/>
      </w:pPr>
      <w:r w:rsidRPr="00590648">
        <w:t>Socialutskottet delar motionärernas uppfattning i motion Fi48 (fp) yrkande 7 att statistik beträffande produktivitetsutvecklingen inom sjukvården är väsent</w:t>
      </w:r>
      <w:r w:rsidRPr="00590648">
        <w:softHyphen/>
        <w:t xml:space="preserve">lig. Enligt uppgift har, av bl.a. strukturella och organisatoriska skäl, mätningarna av produktivitet blivit alltmer missvisande. För att möjliggöra bättre produktivitetsmätningar har därför Landstingsförbundet tillsammans med landstingen genomfört ett omfattande utvecklingsarbete för att få fram bättre hälso- och sjukvårdsstatistik. Landstingsförbundet räknar med att inom ett par år kunna </w:t>
      </w:r>
      <w:r w:rsidRPr="00590648">
        <w:rPr>
          <w:snapToGrid w:val="0"/>
          <w:lang w:eastAsia="sv-SE"/>
        </w:rPr>
        <w:t>göra produktivitetsmätningar med acceptabel kvali</w:t>
      </w:r>
      <w:r w:rsidRPr="00590648">
        <w:rPr>
          <w:snapToGrid w:val="0"/>
          <w:lang w:eastAsia="sv-SE"/>
        </w:rPr>
        <w:softHyphen/>
        <w:t xml:space="preserve">tet. </w:t>
      </w:r>
      <w:r w:rsidRPr="00590648">
        <w:t>Socia</w:t>
      </w:r>
      <w:r w:rsidRPr="00590648">
        <w:t>l</w:t>
      </w:r>
      <w:r w:rsidRPr="00590648">
        <w:t>ut</w:t>
      </w:r>
      <w:r w:rsidRPr="00590648">
        <w:softHyphen/>
        <w:t>skottet anser inte att något initiativ från riksdagens</w:t>
      </w:r>
      <w:r w:rsidRPr="00590648">
        <w:t xml:space="preserve"> sida behövs och föreslår därför att finansutskottet avstyrker bifall till motionsyrka</w:t>
      </w:r>
      <w:r w:rsidRPr="00590648">
        <w:t>n</w:t>
      </w:r>
      <w:r w:rsidRPr="00590648">
        <w:t xml:space="preserve">det. </w:t>
      </w:r>
    </w:p>
    <w:p w:rsidR="00DD69FA" w:rsidRPr="00590648" w:rsidRDefault="00DD69FA">
      <w:pPr>
        <w:pStyle w:val="Rubrik2"/>
      </w:pPr>
      <w:bookmarkStart w:id="56" w:name="_Toc10795517"/>
      <w:r w:rsidRPr="00590648">
        <w:t>Äldreomsorg</w:t>
      </w:r>
      <w:bookmarkEnd w:id="56"/>
    </w:p>
    <w:p w:rsidR="00DD69FA" w:rsidRPr="00590648" w:rsidRDefault="00DD69FA">
      <w:r w:rsidRPr="00590648">
        <w:t xml:space="preserve">I </w:t>
      </w:r>
      <w:r w:rsidRPr="00590648">
        <w:rPr>
          <w:i/>
        </w:rPr>
        <w:t xml:space="preserve">regeringens skrivelse </w:t>
      </w:r>
      <w:r w:rsidRPr="00590648">
        <w:t xml:space="preserve">konstateras i de sammanfattande slutsatserna avseende avsnitt 4.1 </w:t>
      </w:r>
      <w:r w:rsidRPr="00590648">
        <w:rPr>
          <w:i/>
        </w:rPr>
        <w:t xml:space="preserve">Äldreomsorg </w:t>
      </w:r>
      <w:r w:rsidRPr="00590648">
        <w:t>följande.</w:t>
      </w:r>
    </w:p>
    <w:p w:rsidR="00DD69FA" w:rsidRPr="00590648" w:rsidRDefault="00DD69FA">
      <w:r w:rsidRPr="00590648">
        <w:t>Andelen äldre som får kommunal äldreomsorg, i ordinärt eller särskilt bo</w:t>
      </w:r>
      <w:r w:rsidRPr="00590648">
        <w:softHyphen/>
        <w:t>ende, har varit i stort sett oförändrad under de senaste åren. De utökade resu</w:t>
      </w:r>
      <w:r w:rsidRPr="00590648">
        <w:t>r</w:t>
      </w:r>
      <w:r w:rsidRPr="00590648">
        <w:softHyphen/>
        <w:t>serna som tillkommit verksamheter inom vård och omsorg har under senare år främst gått till äldre med omfattande vårdbehov. Hemtjänstens ”volym”, dvs. antal timmar vård och omsorg, har ökat. Resurstillskottet syns därför inte i ett ökande antal eller en ökande andel äldre personer med kommunal vård och omsorg.</w:t>
      </w:r>
    </w:p>
    <w:p w:rsidR="00DD69FA" w:rsidRPr="00590648" w:rsidRDefault="00DD69FA">
      <w:pPr>
        <w:pStyle w:val="Normaltindrag"/>
      </w:pPr>
      <w:r w:rsidRPr="00590648">
        <w:t>I många av landets kommuner råder platsbrist inom särskilda boende</w:t>
      </w:r>
      <w:r w:rsidRPr="00590648">
        <w:softHyphen/>
        <w:t>for</w:t>
      </w:r>
      <w:r w:rsidRPr="00590648">
        <w:softHyphen/>
        <w:t>mer. Detta leder till långa väntetider för många äldre som fått beslut om plats i särskilt boende.</w:t>
      </w:r>
    </w:p>
    <w:p w:rsidR="00DD69FA" w:rsidRPr="00590648" w:rsidRDefault="00DD69FA">
      <w:pPr>
        <w:pStyle w:val="Normaltindrag"/>
      </w:pPr>
      <w:r w:rsidRPr="00590648">
        <w:t>Det pågår ett omfattande utvecklingsarbete inom den kommunala äldre</w:t>
      </w:r>
      <w:r w:rsidRPr="00590648">
        <w:softHyphen/>
        <w:t>om</w:t>
      </w:r>
      <w:r w:rsidRPr="00590648">
        <w:softHyphen/>
        <w:t>sorgen. Bland annat arbetar många kommuner med att utveckla system för kvalitetssäkring och kvalitetsutveckling och att förbättra stödet till anhö</w:t>
      </w:r>
      <w:r w:rsidRPr="00590648">
        <w:softHyphen/>
        <w:t>r</w:t>
      </w:r>
      <w:r w:rsidRPr="00590648">
        <w:t>i</w:t>
      </w:r>
      <w:r w:rsidRPr="00590648">
        <w:t xml:space="preserve">ga. </w:t>
      </w:r>
    </w:p>
    <w:p w:rsidR="00DD69FA" w:rsidRPr="00590648" w:rsidRDefault="00DD69FA">
      <w:pPr>
        <w:pStyle w:val="Normaltindrag"/>
      </w:pPr>
      <w:r w:rsidRPr="00590648">
        <w:t>Personalen inom äldreomsorgen har under senare år ökat, men det finns ett fort</w:t>
      </w:r>
      <w:r w:rsidRPr="00590648">
        <w:softHyphen/>
        <w:t>satt stort rekryteringsbehov. Flertalet av landets kommuner har stora r</w:t>
      </w:r>
      <w:r w:rsidRPr="00590648">
        <w:t>e</w:t>
      </w:r>
      <w:r w:rsidRPr="00590648">
        <w:t>kryteringspr</w:t>
      </w:r>
      <w:r w:rsidRPr="00590648">
        <w:t>o</w:t>
      </w:r>
      <w:r w:rsidRPr="00590648">
        <w:t xml:space="preserve">blem. </w:t>
      </w:r>
    </w:p>
    <w:p w:rsidR="00DD69FA" w:rsidRPr="00590648" w:rsidRDefault="00DD69FA">
      <w:pPr>
        <w:pStyle w:val="Normaltindrag"/>
      </w:pPr>
      <w:r w:rsidRPr="00590648">
        <w:t>Äldreomsorg där driften överlåtits till privata entreprenörer fortsätter att öka. År 2000 erhöll 9,4 % av äldreomsorgstagarna hjälp från privata vårdg</w:t>
      </w:r>
      <w:r w:rsidRPr="00590648">
        <w:t>i</w:t>
      </w:r>
      <w:r w:rsidRPr="00590648">
        <w:t>vare.</w:t>
      </w:r>
    </w:p>
    <w:p w:rsidR="00DD69FA" w:rsidRPr="00590648" w:rsidRDefault="00DD69FA">
      <w:pPr>
        <w:pStyle w:val="Normaltindrag"/>
      </w:pPr>
      <w:r w:rsidRPr="00590648">
        <w:t>År 2000 uppgick kommunernas kostnader för äldreomsorg till drygt 67 miljarder kronor.</w:t>
      </w:r>
    </w:p>
    <w:p w:rsidR="00DD69FA" w:rsidRPr="00590648" w:rsidRDefault="00DD69FA">
      <w:r w:rsidRPr="00590648">
        <w:t>I</w:t>
      </w:r>
      <w:r w:rsidRPr="00590648">
        <w:rPr>
          <w:i/>
        </w:rPr>
        <w:t xml:space="preserve"> motion Fi45 av Gunnar Hökmark m.fl. (m) </w:t>
      </w:r>
      <w:r w:rsidRPr="00590648">
        <w:t>begärs</w:t>
      </w:r>
      <w:r w:rsidRPr="00590648">
        <w:rPr>
          <w:b/>
        </w:rPr>
        <w:t xml:space="preserve"> </w:t>
      </w:r>
      <w:r w:rsidRPr="00590648">
        <w:t>ett tillkännagivande</w:t>
      </w:r>
      <w:r w:rsidRPr="00590648">
        <w:rPr>
          <w:b/>
        </w:rPr>
        <w:t xml:space="preserve"> </w:t>
      </w:r>
      <w:r w:rsidRPr="00590648">
        <w:t>om äldreomsorgens kvalitet och behovet av valfrihet och av en nationell äldr</w:t>
      </w:r>
      <w:r w:rsidRPr="00590648">
        <w:t>e</w:t>
      </w:r>
      <w:r w:rsidRPr="00590648">
        <w:softHyphen/>
        <w:t xml:space="preserve">peng </w:t>
      </w:r>
      <w:r w:rsidRPr="00590648">
        <w:rPr>
          <w:i/>
        </w:rPr>
        <w:t>(yrkande 8)</w:t>
      </w:r>
      <w:r w:rsidRPr="00590648">
        <w:t xml:space="preserve">. Motionärerna anför att </w:t>
      </w:r>
      <w:r w:rsidRPr="00590648">
        <w:rPr>
          <w:snapToGrid w:val="0"/>
          <w:lang w:eastAsia="sv-SE"/>
        </w:rPr>
        <w:t xml:space="preserve">det på äldreomsorgens område finns ett stort behov av en förstärkt statlig tillsyn. En fristående statlig myndighet skall ansvara för godkännande och kvalitet inom all vård och omsorg. Vidare anför motionärerna att </w:t>
      </w:r>
      <w:r w:rsidRPr="00590648">
        <w:t xml:space="preserve">den största kvalitetsfaktorn och garantin för god vård är att man själv som äldre har rätt och möjlighet att </w:t>
      </w:r>
      <w:r w:rsidRPr="00590648">
        <w:t>välja den vårdgivare som man är nöjd med och att man samtidigt skall kunna välja bort den vård man inte är nöjd med. Med en äldrepeng kan man flytta vart man vill i landet utan ny bistånds</w:t>
      </w:r>
      <w:r w:rsidRPr="00590648">
        <w:softHyphen/>
        <w:t>ansökan, och vårdgivaren kommer att ersättas med den kostnad som omsorgen om den äldre kostar. Därvid garanteras såväl valfrihet och mångfald som kval</w:t>
      </w:r>
      <w:r w:rsidRPr="00590648">
        <w:t>i</w:t>
      </w:r>
      <w:r w:rsidRPr="00590648">
        <w:t>tet.</w:t>
      </w:r>
    </w:p>
    <w:p w:rsidR="00DD69FA" w:rsidRPr="00590648" w:rsidRDefault="00DD69FA">
      <w:pPr>
        <w:rPr>
          <w:snapToGrid w:val="0"/>
          <w:lang w:eastAsia="sv-SE"/>
        </w:rPr>
      </w:pPr>
      <w:r w:rsidRPr="00590648">
        <w:t xml:space="preserve">I </w:t>
      </w:r>
      <w:r w:rsidRPr="00590648">
        <w:rPr>
          <w:i/>
        </w:rPr>
        <w:t xml:space="preserve">motion Fi48 av Karin Pilsäter m.fl. (fp) </w:t>
      </w:r>
      <w:r w:rsidRPr="00590648">
        <w:t>begärs ett tillkännagivande om st</w:t>
      </w:r>
      <w:r w:rsidRPr="00590648">
        <w:t>a</w:t>
      </w:r>
      <w:r w:rsidRPr="00590648">
        <w:softHyphen/>
        <w:t xml:space="preserve">tens och kommunernas uppgifter vad gäller äldrevårdens utveckling </w:t>
      </w:r>
      <w:r w:rsidRPr="00590648">
        <w:rPr>
          <w:i/>
        </w:rPr>
        <w:t>(yrkande 1)</w:t>
      </w:r>
      <w:r w:rsidRPr="00590648">
        <w:t>. Motionärerna anför att även om äldreomsorgen är ett i huvudsak ko</w:t>
      </w:r>
      <w:r w:rsidRPr="00590648">
        <w:t>m</w:t>
      </w:r>
      <w:r w:rsidRPr="00590648">
        <w:softHyphen/>
        <w:t xml:space="preserve">munalt ansvarsområde bör </w:t>
      </w:r>
      <w:r w:rsidRPr="00590648">
        <w:rPr>
          <w:snapToGrid w:val="0"/>
          <w:lang w:eastAsia="sv-SE"/>
        </w:rPr>
        <w:t>staten och kommunerna samverka för att utveckla och kvalitetssäkra äldreomsorgen för framtiden. De närmaste åren bör staten med stimulansbidrag och utvecklingspengar främja utvecklingsarbetet. M</w:t>
      </w:r>
      <w:r w:rsidRPr="00590648">
        <w:rPr>
          <w:snapToGrid w:val="0"/>
          <w:lang w:eastAsia="sv-SE"/>
        </w:rPr>
        <w:t>o</w:t>
      </w:r>
      <w:r w:rsidRPr="00590648">
        <w:rPr>
          <w:snapToGrid w:val="0"/>
          <w:lang w:eastAsia="sv-SE"/>
        </w:rPr>
        <w:softHyphen/>
        <w:t>tionärerna anför vidare att de statliga stimulansbidragen bör medverk</w:t>
      </w:r>
      <w:r w:rsidRPr="00590648">
        <w:rPr>
          <w:snapToGrid w:val="0"/>
          <w:lang w:eastAsia="sv-SE"/>
        </w:rPr>
        <w:t>a till att omsorgsgaranti, individuell valfrihet mellan olika utförare (s.k. äldrepeng) samt kommunala äldreombudsmän införs på bred front i äldrevården.</w:t>
      </w:r>
    </w:p>
    <w:p w:rsidR="00DD69FA" w:rsidRPr="00590648" w:rsidRDefault="00DD69FA">
      <w:pPr>
        <w:pStyle w:val="Rubrik3"/>
        <w:rPr>
          <w:noProof w:val="0"/>
        </w:rPr>
      </w:pPr>
      <w:bookmarkStart w:id="57" w:name="_Toc10795518"/>
      <w:r w:rsidRPr="00590648">
        <w:rPr>
          <w:noProof w:val="0"/>
        </w:rPr>
        <w:t>Socialutskottets ställningstagande</w:t>
      </w:r>
      <w:bookmarkEnd w:id="57"/>
    </w:p>
    <w:p w:rsidR="00DD69FA" w:rsidRPr="00590648" w:rsidRDefault="00DD69FA">
      <w:r w:rsidRPr="00590648">
        <w:t>Motionsyrkanden gällande den framtida utformningen och finansieringen av äldreomsorgen har nyligen behandlats och avstyrkts i betänkande 2001/02: SoU12 (s. 7–21, prot. nr 2001/02:97). Utskottet har inte ändrat inställning i dessa frågor. Socialutskottet anser att finansutskottet bör avstyrka bifall till motionerna Fi45 (m) yrkande 8 och Fi48 (fp) yrkande 1.</w:t>
      </w:r>
    </w:p>
    <w:p w:rsidR="00DD69FA" w:rsidRPr="00590648" w:rsidRDefault="00DD69FA">
      <w:pPr>
        <w:pStyle w:val="Rubrik3"/>
        <w:rPr>
          <w:noProof w:val="0"/>
        </w:rPr>
      </w:pPr>
      <w:bookmarkStart w:id="58" w:name="_Toc10795519"/>
      <w:r w:rsidRPr="00590648">
        <w:rPr>
          <w:noProof w:val="0"/>
        </w:rPr>
        <w:t>Handikappomsorg</w:t>
      </w:r>
      <w:bookmarkEnd w:id="58"/>
    </w:p>
    <w:p w:rsidR="00DD69FA" w:rsidRPr="00590648" w:rsidRDefault="00DD69FA">
      <w:r w:rsidRPr="00590648">
        <w:t xml:space="preserve">I </w:t>
      </w:r>
      <w:r w:rsidRPr="00590648">
        <w:rPr>
          <w:i/>
        </w:rPr>
        <w:t xml:space="preserve">regeringens skrivelse </w:t>
      </w:r>
      <w:r w:rsidRPr="00590648">
        <w:t xml:space="preserve">konstateras i de sammanfattande slutsatserna avseende avsnitt 4.2 </w:t>
      </w:r>
      <w:r w:rsidRPr="00590648">
        <w:rPr>
          <w:i/>
        </w:rPr>
        <w:t xml:space="preserve">Handikappomsorg </w:t>
      </w:r>
      <w:r w:rsidRPr="00590648">
        <w:t>följande.</w:t>
      </w:r>
    </w:p>
    <w:p w:rsidR="00DD69FA" w:rsidRPr="00590648" w:rsidRDefault="00DD69FA">
      <w:r w:rsidRPr="00590648">
        <w:t>Hälften av kommunerna saknar fortfarande ett handikappolitiskt pro</w:t>
      </w:r>
      <w:r w:rsidRPr="00590648">
        <w:softHyphen/>
        <w:t xml:space="preserve">gram. Enligt den nationella handlingsplanen för handikappolitiken bör arbetet med att skapa ett tillgängligt samhälle prioriteras. Liksom tidigare brister det dock fortfarande i detta avseende, särskilt för barn med funktionshinder. </w:t>
      </w:r>
    </w:p>
    <w:p w:rsidR="00DD69FA" w:rsidRPr="00590648" w:rsidRDefault="00DD69FA">
      <w:pPr>
        <w:pStyle w:val="Normaltindrag"/>
      </w:pPr>
      <w:r w:rsidRPr="00590648">
        <w:t>Antalet klagomål inom området omsorg om personer med funktions</w:t>
      </w:r>
      <w:r w:rsidRPr="00590648">
        <w:softHyphen/>
        <w:t>hinder har ökat mer än inom andra sociala tillsynsområden. Resultatet av läns</w:t>
      </w:r>
      <w:r w:rsidRPr="00590648">
        <w:softHyphen/>
        <w:t>styrel</w:t>
      </w:r>
      <w:r w:rsidRPr="00590648">
        <w:softHyphen/>
        <w:t>sernas tillsyn visar att verksamheten för personer med funk</w:t>
      </w:r>
      <w:r w:rsidRPr="00590648">
        <w:softHyphen/>
        <w:t>tions</w:t>
      </w:r>
      <w:r w:rsidRPr="00590648">
        <w:softHyphen/>
        <w:t>hinder beh</w:t>
      </w:r>
      <w:r w:rsidRPr="00590648">
        <w:t>ö</w:t>
      </w:r>
      <w:r w:rsidRPr="00590648">
        <w:t>ver förbättras för att tillgodose den enskildes rätts</w:t>
      </w:r>
      <w:r w:rsidRPr="00590648">
        <w:softHyphen/>
        <w:t>säker</w:t>
      </w:r>
      <w:r w:rsidRPr="00590648">
        <w:softHyphen/>
        <w:t>het och verk</w:t>
      </w:r>
      <w:r w:rsidRPr="00590648">
        <w:softHyphen/>
        <w:t>samhetens laglighet. Antalet icke verkställda domar och icke verk</w:t>
      </w:r>
      <w:r w:rsidRPr="00590648">
        <w:softHyphen/>
        <w:t>ställda kommunala beslut ligger på samma nivå som året innan. Svårig</w:t>
      </w:r>
      <w:r w:rsidRPr="00590648">
        <w:softHyphen/>
        <w:t>heterna att rekrytera pe</w:t>
      </w:r>
      <w:r w:rsidRPr="00590648">
        <w:t>r</w:t>
      </w:r>
      <w:r w:rsidRPr="00590648">
        <w:t>sonal består. Det är fortsatt brist på bostäder med särskild service och utbyg</w:t>
      </w:r>
      <w:r w:rsidRPr="00590648">
        <w:t>g</w:t>
      </w:r>
      <w:r w:rsidRPr="00590648">
        <w:t>naden sker inte i den takt som behövs</w:t>
      </w:r>
      <w:r w:rsidRPr="00590648">
        <w:t>. Kommunernas intresse att starta ver</w:t>
      </w:r>
      <w:r w:rsidRPr="00590648">
        <w:t>k</w:t>
      </w:r>
      <w:r w:rsidRPr="00590648">
        <w:t>samheter med person</w:t>
      </w:r>
      <w:r w:rsidRPr="00590648">
        <w:softHyphen/>
        <w:t>liga om</w:t>
      </w:r>
      <w:r w:rsidRPr="00590648">
        <w:softHyphen/>
        <w:t>bud blev större än förväntat.</w:t>
      </w:r>
    </w:p>
    <w:p w:rsidR="00DD69FA" w:rsidRPr="00590648" w:rsidRDefault="00DD69FA">
      <w:pPr>
        <w:pStyle w:val="Normaltindrag"/>
      </w:pPr>
      <w:r w:rsidRPr="00590648">
        <w:t>Antalet personer yngre än 65 som var beviljade hemtjänst är i stort sett oför</w:t>
      </w:r>
      <w:r w:rsidRPr="00590648">
        <w:softHyphen/>
        <w:t>ändrat, men antalet hjälptimmar har ökat med ca 5 %. Antalet personer med funktionshinder yngre än 65 år som bodde permanent i bostad med sä</w:t>
      </w:r>
      <w:r w:rsidRPr="00590648">
        <w:t>r</w:t>
      </w:r>
      <w:r w:rsidRPr="00590648">
        <w:t>skild service är i stort sett oförändrat jämfört med tidigare år.</w:t>
      </w:r>
    </w:p>
    <w:p w:rsidR="00DD69FA" w:rsidRPr="00590648" w:rsidRDefault="00DD69FA">
      <w:pPr>
        <w:pStyle w:val="Normaltindrag"/>
      </w:pPr>
      <w:r w:rsidRPr="00590648">
        <w:t>Det totala antalet personer med LSS-insatser har ökat med 2 %. Den insats som ökat mest är ledsagarservice, medan insatsen råd och stöd har minskat. Andelen personer med psykiska funktionshinder som hade in</w:t>
      </w:r>
      <w:r w:rsidRPr="00590648">
        <w:softHyphen/>
        <w:t>satser enligt LSS av kommunen har ökat med ca 9 %. Nästan en tredje</w:t>
      </w:r>
      <w:r w:rsidRPr="00590648">
        <w:softHyphen/>
        <w:t>del av alla insatser gällde barn och ungdomar.</w:t>
      </w:r>
    </w:p>
    <w:p w:rsidR="00DD69FA" w:rsidRPr="00590648" w:rsidRDefault="00DD69FA">
      <w:pPr>
        <w:pStyle w:val="Normaltindrag"/>
      </w:pPr>
      <w:r w:rsidRPr="00590648">
        <w:t>Kommunernas kostnader för insatser till funktionshindrade har ökat med 11 %. Den mest kostnadskrävande insatsen är personlig assi</w:t>
      </w:r>
      <w:r w:rsidRPr="00590648">
        <w:softHyphen/>
        <w:t>stans enligt lagen om stöd och service till vissa funktionshindrade (LSS) och lagen om ass</w:t>
      </w:r>
      <w:r w:rsidRPr="00590648">
        <w:t>i</w:t>
      </w:r>
      <w:r w:rsidRPr="00590648">
        <w:t>stansersättning (LASS).</w:t>
      </w:r>
    </w:p>
    <w:p w:rsidR="00DD69FA" w:rsidRPr="00590648" w:rsidRDefault="00DD69FA">
      <w:r w:rsidRPr="00590648">
        <w:t>I</w:t>
      </w:r>
      <w:r w:rsidRPr="00590648">
        <w:rPr>
          <w:i/>
        </w:rPr>
        <w:t xml:space="preserve"> motion Fi45 av Gunnar Hökmark m.fl. (m) </w:t>
      </w:r>
      <w:r w:rsidRPr="00590648">
        <w:t>begärs</w:t>
      </w:r>
      <w:r w:rsidRPr="00590648">
        <w:rPr>
          <w:b/>
        </w:rPr>
        <w:t xml:space="preserve"> </w:t>
      </w:r>
      <w:r w:rsidRPr="00590648">
        <w:t>ett tillkännagivande</w:t>
      </w:r>
      <w:r w:rsidRPr="00590648">
        <w:rPr>
          <w:b/>
        </w:rPr>
        <w:t xml:space="preserve"> </w:t>
      </w:r>
      <w:r w:rsidRPr="00590648">
        <w:t xml:space="preserve">om handikappomsorgen </w:t>
      </w:r>
      <w:r w:rsidRPr="00590648">
        <w:rPr>
          <w:i/>
        </w:rPr>
        <w:t>(yrkande 9)</w:t>
      </w:r>
      <w:r w:rsidRPr="00590648">
        <w:t>. Motionärerna anför att stödet till funktion</w:t>
      </w:r>
      <w:r w:rsidRPr="00590648">
        <w:t>s</w:t>
      </w:r>
      <w:r w:rsidRPr="00590648">
        <w:softHyphen/>
        <w:t>hindrade inte ger det utrymme för individuella lösningar som borde finnas. Stödet till funktionshindrade skall vara flexibelt och ge den enskilde stor valfrihet. Staten bör ta det grundläggande ansvaret för att alla funktionshin</w:t>
      </w:r>
      <w:r w:rsidRPr="00590648">
        <w:t>d</w:t>
      </w:r>
      <w:r w:rsidRPr="00590648">
        <w:softHyphen/>
        <w:t>rade – oavsett i vilken kommun de bor – skall ha samma rätt till den frihet och det oberoende som rätten till personlig assistans inne</w:t>
      </w:r>
      <w:r w:rsidRPr="00590648">
        <w:t>bär. Motionärerna anför vidare att de olika formerna av stöd till funktionshindrade och arbetshand</w:t>
      </w:r>
      <w:r w:rsidRPr="00590648">
        <w:t>i</w:t>
      </w:r>
      <w:r w:rsidRPr="00590648">
        <w:softHyphen/>
        <w:t>kappade inte alltid är samordnade. En hjälpmedelsgaranti bör införas och hjälpmedelsverksamheten avmonopoliseras. Det ekonomiska ansvaret för assistansersättningen bör enligt motionärerna återgå till staten. Schablonis</w:t>
      </w:r>
      <w:r w:rsidRPr="00590648">
        <w:t>e</w:t>
      </w:r>
      <w:r w:rsidRPr="00590648">
        <w:softHyphen/>
        <w:t xml:space="preserve">ringen av ersättningen bör slopas, och reglerna kring ersättningen bör återgå till vad som gällde före den 1 september 1997. </w:t>
      </w:r>
    </w:p>
    <w:p w:rsidR="00DD69FA" w:rsidRPr="00590648" w:rsidRDefault="00DD69FA">
      <w:pPr>
        <w:rPr>
          <w:snapToGrid w:val="0"/>
          <w:lang w:eastAsia="sv-SE"/>
        </w:rPr>
      </w:pPr>
      <w:r w:rsidRPr="00590648">
        <w:t xml:space="preserve">I </w:t>
      </w:r>
      <w:r w:rsidRPr="00590648">
        <w:rPr>
          <w:i/>
        </w:rPr>
        <w:t>motion Fi48 av Karin Pilsäter m.fl. (fp)</w:t>
      </w:r>
      <w:r w:rsidRPr="00590648">
        <w:t xml:space="preserve"> begärs ett tillkännagivande om sta</w:t>
      </w:r>
      <w:r w:rsidRPr="00590648">
        <w:softHyphen/>
        <w:t>tens och kommunens uppgifter vad gäller en tillgänglighetsreform för fun</w:t>
      </w:r>
      <w:r w:rsidRPr="00590648">
        <w:t>k</w:t>
      </w:r>
      <w:r w:rsidRPr="00590648">
        <w:t>tions</w:t>
      </w:r>
      <w:r w:rsidRPr="00590648">
        <w:softHyphen/>
        <w:t>hind</w:t>
      </w:r>
      <w:r w:rsidRPr="00590648">
        <w:softHyphen/>
        <w:t xml:space="preserve">rade </w:t>
      </w:r>
      <w:r w:rsidRPr="00590648">
        <w:rPr>
          <w:i/>
        </w:rPr>
        <w:t>(yrkande 2</w:t>
      </w:r>
      <w:r w:rsidRPr="00590648">
        <w:t>). Motionärerna pekar på att n</w:t>
      </w:r>
      <w:r w:rsidRPr="00590648">
        <w:rPr>
          <w:snapToGrid w:val="0"/>
          <w:color w:val="000000"/>
          <w:lang w:eastAsia="sv-SE"/>
        </w:rPr>
        <w:t>är det gäller funktion</w:t>
      </w:r>
      <w:r w:rsidRPr="00590648">
        <w:rPr>
          <w:snapToGrid w:val="0"/>
          <w:color w:val="000000"/>
          <w:lang w:eastAsia="sv-SE"/>
        </w:rPr>
        <w:t>s</w:t>
      </w:r>
      <w:r w:rsidRPr="00590648">
        <w:rPr>
          <w:snapToGrid w:val="0"/>
          <w:color w:val="000000"/>
          <w:lang w:eastAsia="sv-SE"/>
        </w:rPr>
        <w:t>hind</w:t>
      </w:r>
      <w:r w:rsidRPr="00590648">
        <w:rPr>
          <w:snapToGrid w:val="0"/>
          <w:color w:val="000000"/>
          <w:lang w:eastAsia="sv-SE"/>
        </w:rPr>
        <w:softHyphen/>
        <w:t>rade finns det flera stora frågor som berör de ekonomiska relationerna mellan stat och kommuner. De mest betydelsefulla reformbehoven är att återupprätta 90-talets handikappreform och att de närmaste åren genomföra en genomgri</w:t>
      </w:r>
      <w:r w:rsidRPr="00590648">
        <w:rPr>
          <w:snapToGrid w:val="0"/>
          <w:color w:val="000000"/>
          <w:lang w:eastAsia="sv-SE"/>
        </w:rPr>
        <w:softHyphen/>
        <w:t>pande tillgänglighetsreform, där ansvaret för åtgärd</w:t>
      </w:r>
      <w:r w:rsidRPr="00590648">
        <w:rPr>
          <w:snapToGrid w:val="0"/>
          <w:color w:val="000000"/>
          <w:lang w:eastAsia="sv-SE"/>
        </w:rPr>
        <w:t>erna skall ligga lokalt men där staten skall vara pådrivande med stimulansbidrag och riktlinjer.</w:t>
      </w:r>
    </w:p>
    <w:p w:rsidR="00DD69FA" w:rsidRPr="00590648" w:rsidRDefault="00DD69FA">
      <w:pPr>
        <w:pStyle w:val="Rubrik3"/>
        <w:rPr>
          <w:noProof w:val="0"/>
        </w:rPr>
      </w:pPr>
      <w:bookmarkStart w:id="59" w:name="_Toc10795520"/>
      <w:r w:rsidRPr="00590648">
        <w:rPr>
          <w:noProof w:val="0"/>
        </w:rPr>
        <w:t>Socialutskottets ställningstagande</w:t>
      </w:r>
      <w:bookmarkEnd w:id="59"/>
    </w:p>
    <w:p w:rsidR="00DD69FA" w:rsidRPr="00590648" w:rsidRDefault="00DD69FA">
      <w:r w:rsidRPr="00590648">
        <w:t>Motionsyrkanden rörande mål och inriktning för handikappolitiken samt hjälpmedel har senast behandlats och avstyrkts i betänkande 2001/02:SoU7 (s. 6–16, prot. nr 2001/02:73). Vidare behandlade och avstyrkte utskottet i betänkande 2001/02:SoU1 motionsyrkanden om assistansersättning (s. 56–60, 83–84 och 106–108). I samma betänkande behandlades motionsyrkanden om en tillgänglighetsreform (s. 61–62 och 86, rskr. 2001/02:94 och 95). Utskottet har inte ändrat inställning i dessa frågor. Socialutskottet anser att</w:t>
      </w:r>
      <w:r w:rsidRPr="00590648">
        <w:t xml:space="preserve"> finansu</w:t>
      </w:r>
      <w:r w:rsidRPr="00590648">
        <w:t>t</w:t>
      </w:r>
      <w:r w:rsidRPr="00590648">
        <w:softHyphen/>
        <w:t xml:space="preserve">skottet bör avstyrka bifall till motionerna Fi45 (m) yrkande 9 och Fi48 (fp) yrkande 2. </w:t>
      </w:r>
    </w:p>
    <w:p w:rsidR="00DD69FA" w:rsidRPr="00590648" w:rsidRDefault="00DD69FA">
      <w:pPr>
        <w:pStyle w:val="Rubrik2"/>
      </w:pPr>
      <w:bookmarkStart w:id="60" w:name="_Toc10795521"/>
      <w:r w:rsidRPr="00590648">
        <w:t>Missbrukarvård</w:t>
      </w:r>
      <w:bookmarkEnd w:id="60"/>
    </w:p>
    <w:p w:rsidR="00DD69FA" w:rsidRPr="00590648" w:rsidRDefault="00DD69FA">
      <w:r w:rsidRPr="00590648">
        <w:t xml:space="preserve">I </w:t>
      </w:r>
      <w:r w:rsidRPr="00590648">
        <w:rPr>
          <w:i/>
        </w:rPr>
        <w:t xml:space="preserve">regeringens skrivelse </w:t>
      </w:r>
      <w:r w:rsidRPr="00590648">
        <w:t xml:space="preserve">konstateras i de sammanfattande slutsatserna avseende avsnitt 4.3.5 </w:t>
      </w:r>
      <w:r w:rsidRPr="00590648">
        <w:rPr>
          <w:i/>
        </w:rPr>
        <w:t xml:space="preserve">Missbrukarvård </w:t>
      </w:r>
      <w:r w:rsidRPr="00590648">
        <w:t>följande.</w:t>
      </w:r>
    </w:p>
    <w:p w:rsidR="00DD69FA" w:rsidRPr="00590648" w:rsidRDefault="00DD69FA">
      <w:r w:rsidRPr="00590648">
        <w:t>Missbrukarvården har genomgått stora förändringar sedan början av 1990-talet. Tvångsvården har minskat kraftigt, samtidigt som öppen</w:t>
      </w:r>
      <w:r w:rsidRPr="00590648">
        <w:softHyphen/>
        <w:t>vården har kommit att spela en allt större roll. Drygt 80 % av samt</w:t>
      </w:r>
      <w:r w:rsidRPr="00590648">
        <w:softHyphen/>
        <w:t>liga vårdinsatser den 1 november 2000 ägde rum i öppenvården. Andelen var densamma året innan.</w:t>
      </w:r>
    </w:p>
    <w:p w:rsidR="00DD69FA" w:rsidRPr="00590648" w:rsidRDefault="00DD69FA">
      <w:r w:rsidRPr="00590648">
        <w:t xml:space="preserve">I </w:t>
      </w:r>
      <w:r w:rsidRPr="00590648">
        <w:rPr>
          <w:i/>
        </w:rPr>
        <w:t>motion Fi48 av Karin Pilsäter m.fl. (fp)</w:t>
      </w:r>
      <w:r w:rsidRPr="00590648">
        <w:t xml:space="preserve"> begärs ett tillkännagivande om a</w:t>
      </w:r>
      <w:r w:rsidRPr="00590648">
        <w:t>n</w:t>
      </w:r>
      <w:r w:rsidRPr="00590648">
        <w:softHyphen/>
        <w:t xml:space="preserve">svarsfördelningen mellan stat och kommun såvitt gäller missbrukarvården </w:t>
      </w:r>
      <w:r w:rsidRPr="00590648">
        <w:rPr>
          <w:i/>
        </w:rPr>
        <w:t>(yrkande 5</w:t>
      </w:r>
      <w:r w:rsidRPr="00590648">
        <w:t>). Motionärerna anför att det ekonomiska ansvaret för missbruka</w:t>
      </w:r>
      <w:r w:rsidRPr="00590648">
        <w:t>r</w:t>
      </w:r>
      <w:r w:rsidRPr="00590648">
        <w:softHyphen/>
        <w:t>vården alltjämt bör ligga hos kommunerna. Då staten ansvarar för narkotik</w:t>
      </w:r>
      <w:r w:rsidRPr="00590648">
        <w:t>a</w:t>
      </w:r>
      <w:r w:rsidRPr="00590648">
        <w:softHyphen/>
        <w:t>politiken med dess inslag av tvång, bör den också ta ett visst ekonomiskt ansvar och då när det gäller tvångsvården. Kommunernas och statens ansvar för missbrukarvården bör regleras så att kommunerna tvingas redovis</w:t>
      </w:r>
      <w:r w:rsidRPr="00590648">
        <w:t>a de åtgärder som vidtagits för var och en av de missbrukare som kan bli aktuella för tvångsvård. Enligt motionärerna bör, efter en avstäm</w:t>
      </w:r>
      <w:r w:rsidRPr="00590648">
        <w:softHyphen/>
        <w:t>ning av att kom</w:t>
      </w:r>
      <w:r w:rsidRPr="00590648">
        <w:softHyphen/>
        <w:t>munen följt alla socialtjänstlagens bestämmelser, staten garantera de huvud</w:t>
      </w:r>
      <w:r w:rsidRPr="00590648">
        <w:softHyphen/>
        <w:t>sakliga kostn</w:t>
      </w:r>
      <w:r w:rsidRPr="00590648">
        <w:t>a</w:t>
      </w:r>
      <w:r w:rsidRPr="00590648">
        <w:t>derna för tvångsvården.</w:t>
      </w:r>
    </w:p>
    <w:p w:rsidR="00DD69FA" w:rsidRPr="00590648" w:rsidRDefault="00DD69FA">
      <w:pPr>
        <w:pStyle w:val="Rubrik3"/>
        <w:rPr>
          <w:noProof w:val="0"/>
        </w:rPr>
      </w:pPr>
      <w:bookmarkStart w:id="61" w:name="_Toc10795522"/>
      <w:r w:rsidRPr="00590648">
        <w:rPr>
          <w:noProof w:val="0"/>
        </w:rPr>
        <w:t>Socialutskottets ställningstagande</w:t>
      </w:r>
      <w:bookmarkEnd w:id="61"/>
    </w:p>
    <w:p w:rsidR="00DD69FA" w:rsidRPr="00590648" w:rsidRDefault="00DD69FA">
      <w:r w:rsidRPr="00590648">
        <w:t xml:space="preserve">Ett motionsyrkande med innebörden att </w:t>
      </w:r>
      <w:r w:rsidRPr="00590648">
        <w:rPr>
          <w:snapToGrid w:val="0"/>
          <w:color w:val="000000"/>
          <w:lang w:eastAsia="sv-SE"/>
        </w:rPr>
        <w:t>staten bör ta det ekonomiska huvu</w:t>
      </w:r>
      <w:r w:rsidRPr="00590648">
        <w:rPr>
          <w:snapToGrid w:val="0"/>
          <w:color w:val="000000"/>
          <w:lang w:eastAsia="sv-SE"/>
        </w:rPr>
        <w:t>d</w:t>
      </w:r>
      <w:r w:rsidRPr="00590648">
        <w:rPr>
          <w:snapToGrid w:val="0"/>
          <w:color w:val="000000"/>
          <w:lang w:eastAsia="sv-SE"/>
        </w:rPr>
        <w:t>ansva</w:t>
      </w:r>
      <w:r w:rsidRPr="00590648">
        <w:rPr>
          <w:snapToGrid w:val="0"/>
          <w:color w:val="000000"/>
          <w:lang w:eastAsia="sv-SE"/>
        </w:rPr>
        <w:softHyphen/>
        <w:t xml:space="preserve">ret för LVM-vården av narkotikamissbrukare har nyligen behandlats och avstyrkts i betänkande 2001/02:SoU15 (s. 34 och 37, rskr. 2001/02:193). </w:t>
      </w:r>
      <w:r w:rsidRPr="00590648">
        <w:t>Utskottet har inte ändrat inställning i denna fråga. Socialutskottet anser att finansutskottet bör avstyrka bifall till motion Fi48 (fp) yrkande 5.</w:t>
      </w:r>
    </w:p>
    <w:p w:rsidR="00DD69FA" w:rsidRPr="00590648" w:rsidRDefault="00DD69FA">
      <w:pPr>
        <w:pStyle w:val="Normaltindrag"/>
        <w:ind w:firstLine="0"/>
      </w:pPr>
    </w:p>
    <w:p w:rsidR="00DD69FA" w:rsidRPr="00590648" w:rsidRDefault="00DD69FA">
      <w:pPr>
        <w:pStyle w:val="Utskriftsdatum"/>
      </w:pPr>
      <w:r w:rsidRPr="00590648">
        <w:t>Stockholm den 16 maj 2002</w:t>
      </w:r>
    </w:p>
    <w:p w:rsidR="00DD69FA" w:rsidRPr="00590648" w:rsidRDefault="00DD69FA">
      <w:pPr>
        <w:pStyle w:val="Deltagare"/>
        <w:keepLines w:val="0"/>
        <w:spacing w:before="62" w:line="250" w:lineRule="atLeast"/>
        <w:rPr>
          <w:noProof w:val="0"/>
        </w:rPr>
      </w:pPr>
      <w:r w:rsidRPr="00590648">
        <w:rPr>
          <w:noProof w:val="0"/>
        </w:rPr>
        <w:t>På socialutskottets vägnar</w:t>
      </w:r>
    </w:p>
    <w:p w:rsidR="00DD69FA" w:rsidRPr="00590648" w:rsidRDefault="00DD69FA">
      <w:pPr>
        <w:pStyle w:val="Ordfranden"/>
        <w:rPr>
          <w:noProof w:val="0"/>
        </w:rPr>
      </w:pPr>
      <w:r w:rsidRPr="00590648">
        <w:rPr>
          <w:noProof w:val="0"/>
        </w:rPr>
        <w:t xml:space="preserve">Ingrid Burman </w:t>
      </w:r>
    </w:p>
    <w:p w:rsidR="00DD69FA" w:rsidRPr="00590648" w:rsidRDefault="00DD69FA">
      <w:pPr>
        <w:pStyle w:val="Deltagare"/>
        <w:rPr>
          <w:noProof w:val="0"/>
        </w:rPr>
      </w:pPr>
      <w:r w:rsidRPr="00590648">
        <w:rPr>
          <w:noProof w:val="0"/>
        </w:rPr>
        <w:t>Följande ledamöter har deltagit i beslutet: Ingrid Burman (v), Chris Heister (m), Susanne Eberstein (s), Margareta Israelsson (s), Conny Öhman (s), Chatrine Pålsson (kd), Leif Carlson (m), Lars U Granberg (s), Hans Hjortzberg-Nordlund (m), Elisebeht Markström (s), Catherine Persson (s), Rolf Olsson (v), Lars Gustafsson (kd), Cristina Husmark Pehrsson (m), Kenneth Johansson (c), Kerstin Heinemann (fp) och Lotta N Hedström (mp).</w:t>
      </w:r>
    </w:p>
    <w:p w:rsidR="00DD69FA" w:rsidRPr="00590648" w:rsidRDefault="00DD69FA">
      <w:pPr>
        <w:pStyle w:val="Normaltindrag"/>
      </w:pPr>
    </w:p>
    <w:p w:rsidR="00DD69FA" w:rsidRPr="00590648" w:rsidRDefault="00DD69FA">
      <w:pPr>
        <w:pStyle w:val="R1"/>
      </w:pPr>
      <w:r w:rsidRPr="00590648">
        <w:br w:type="page"/>
      </w:r>
      <w:bookmarkStart w:id="62" w:name="_Toc8116949"/>
      <w:r w:rsidRPr="00590648">
        <w:t>Avvikande mening</w:t>
      </w:r>
      <w:bookmarkEnd w:id="62"/>
      <w:r w:rsidRPr="00590648">
        <w:t>ar</w:t>
      </w:r>
    </w:p>
    <w:p w:rsidR="00DD69FA" w:rsidRPr="00590648" w:rsidRDefault="00DD69FA">
      <w:pPr>
        <w:pStyle w:val="R2"/>
        <w:spacing w:before="0"/>
      </w:pPr>
      <w:r w:rsidRPr="00590648">
        <w:t>1.  Tillgänglighet och vårdgaranti</w:t>
      </w:r>
    </w:p>
    <w:p w:rsidR="00DD69FA" w:rsidRPr="00590648" w:rsidRDefault="00DD69FA">
      <w:r w:rsidRPr="00590648">
        <w:t>Chris Heister (m), Chatrine Pålsson (kd), Leif Carlson (m), Hans Hjort</w:t>
      </w:r>
      <w:r w:rsidRPr="00590648">
        <w:t>z</w:t>
      </w:r>
      <w:r w:rsidRPr="00590648">
        <w:t>berg-Nordlund (m), Lars Gustafsson (kd), Cristina Husmark Pehrsson (m), Ke</w:t>
      </w:r>
      <w:r w:rsidRPr="00590648">
        <w:t>n</w:t>
      </w:r>
      <w:r w:rsidRPr="00590648">
        <w:t xml:space="preserve">neth Johansson (c) och Kerstin Heinemann (fp) anför: </w:t>
      </w:r>
    </w:p>
    <w:p w:rsidR="00DD69FA" w:rsidRPr="00590648" w:rsidRDefault="00DD69FA">
      <w:pPr>
        <w:rPr>
          <w:snapToGrid w:val="0"/>
          <w:lang w:eastAsia="sv-SE"/>
        </w:rPr>
      </w:pPr>
      <w:r w:rsidRPr="00590648">
        <w:rPr>
          <w:snapToGrid w:val="0"/>
          <w:lang w:eastAsia="sv-SE"/>
        </w:rPr>
        <w:t>Den bristande tillgängligheten är inte i första hand en resursfråga utan en organisationsfråga och en fråga om mångfald, konkur</w:t>
      </w:r>
      <w:r w:rsidRPr="00590648">
        <w:rPr>
          <w:snapToGrid w:val="0"/>
          <w:lang w:eastAsia="sv-SE"/>
        </w:rPr>
        <w:softHyphen/>
        <w:t>rens och prestation, dvs. riktiga incitament för att bedriva god och effektiv sjukvård. Vi anser att d</w:t>
      </w:r>
      <w:r w:rsidRPr="00590648">
        <w:t xml:space="preserve">et är en fundamental rättighet att få vård av god kvalitet när man behöver den. </w:t>
      </w:r>
      <w:r w:rsidRPr="00590648">
        <w:rPr>
          <w:snapToGrid w:val="0"/>
          <w:color w:val="000000"/>
          <w:lang w:eastAsia="sv-SE"/>
        </w:rPr>
        <w:t>Vi vill därför omedelbart införa en nationell vårdgaranti som innebär att ingen skall behöva vänta längre än tre månader på operation eller behandling. Kl</w:t>
      </w:r>
      <w:r w:rsidRPr="00590648">
        <w:rPr>
          <w:snapToGrid w:val="0"/>
          <w:color w:val="000000"/>
          <w:lang w:eastAsia="sv-SE"/>
        </w:rPr>
        <w:t>a</w:t>
      </w:r>
      <w:r w:rsidRPr="00590648">
        <w:rPr>
          <w:snapToGrid w:val="0"/>
          <w:color w:val="000000"/>
          <w:lang w:eastAsia="sv-SE"/>
        </w:rPr>
        <w:t>rar inte det egna landstinget av att ge vård inom den tiden, skall man kunna få vården utförd hos ett annat landsting eller hos en privat vårdgivare. Vårdg</w:t>
      </w:r>
      <w:r w:rsidRPr="00590648">
        <w:rPr>
          <w:snapToGrid w:val="0"/>
          <w:color w:val="000000"/>
          <w:lang w:eastAsia="sv-SE"/>
        </w:rPr>
        <w:t>a</w:t>
      </w:r>
      <w:r w:rsidRPr="00590648">
        <w:rPr>
          <w:snapToGrid w:val="0"/>
          <w:color w:val="000000"/>
          <w:lang w:eastAsia="sv-SE"/>
        </w:rPr>
        <w:t xml:space="preserve">rantin kan enligt </w:t>
      </w:r>
      <w:r w:rsidRPr="00590648">
        <w:rPr>
          <w:snapToGrid w:val="0"/>
          <w:color w:val="000000"/>
          <w:lang w:eastAsia="sv-SE"/>
        </w:rPr>
        <w:t>vår uppfattning bidra till att riva gränser mellan landstingen och mellan olika sjukhus på ett sätt som förbättrar resursutnyttjandet. Med en vårdgaranti synliggör man för landstingen och för de enskilda sjukhusen och klinikerna en del av de kostnader som köerna i vården för med sig. Genom att inte ta emot patienter går sjukhusen och den aktuella kliniken miste om pen</w:t>
      </w:r>
      <w:r w:rsidRPr="00590648">
        <w:rPr>
          <w:snapToGrid w:val="0"/>
          <w:color w:val="000000"/>
          <w:lang w:eastAsia="sv-SE"/>
        </w:rPr>
        <w:t>g</w:t>
      </w:r>
      <w:r w:rsidRPr="00590648">
        <w:rPr>
          <w:snapToGrid w:val="0"/>
          <w:color w:val="000000"/>
          <w:lang w:eastAsia="sv-SE"/>
        </w:rPr>
        <w:t>ar och uppmuntras att förändra verksamheten så att köer inte uppstår. Vi hänvisar vidare till vår reservation nr. 14 i betänkande 2001/02:SoU</w:t>
      </w:r>
      <w:r w:rsidRPr="00590648">
        <w:rPr>
          <w:snapToGrid w:val="0"/>
          <w:color w:val="000000"/>
          <w:lang w:eastAsia="sv-SE"/>
        </w:rPr>
        <w:t>13 Hälso- och sjukvårdsfrågor m.m. Finansutskottet bör med bifall till motion Fi45 (m) yrkande 6 tillkännage för regeringen vad vi här har a</w:t>
      </w:r>
      <w:r w:rsidRPr="00590648">
        <w:rPr>
          <w:snapToGrid w:val="0"/>
          <w:color w:val="000000"/>
          <w:lang w:eastAsia="sv-SE"/>
        </w:rPr>
        <w:t>n</w:t>
      </w:r>
      <w:r w:rsidRPr="00590648">
        <w:rPr>
          <w:snapToGrid w:val="0"/>
          <w:color w:val="000000"/>
          <w:lang w:eastAsia="sv-SE"/>
        </w:rPr>
        <w:t>fört.</w:t>
      </w:r>
    </w:p>
    <w:p w:rsidR="00DD69FA" w:rsidRPr="00590648" w:rsidRDefault="00DD69FA">
      <w:pPr>
        <w:pStyle w:val="R2"/>
        <w:rPr>
          <w:snapToGrid w:val="0"/>
          <w:lang w:eastAsia="sv-SE"/>
        </w:rPr>
      </w:pPr>
      <w:r w:rsidRPr="00590648">
        <w:rPr>
          <w:snapToGrid w:val="0"/>
          <w:lang w:eastAsia="sv-SE"/>
        </w:rPr>
        <w:t>2.  Högkostnadsskydd i tandvården</w:t>
      </w:r>
    </w:p>
    <w:p w:rsidR="00DD69FA" w:rsidRPr="00590648" w:rsidRDefault="00DD69FA">
      <w:pPr>
        <w:rPr>
          <w:snapToGrid w:val="0"/>
          <w:lang w:eastAsia="sv-SE"/>
        </w:rPr>
      </w:pPr>
      <w:r w:rsidRPr="00590648">
        <w:t>Chris Heister, Leif Carlson, Hans Hjortzberg-Nordlund, och Cristina Hu</w:t>
      </w:r>
      <w:r w:rsidRPr="00590648">
        <w:t>s</w:t>
      </w:r>
      <w:r w:rsidRPr="00590648">
        <w:t>mark Pehrsson (alla m) anför:</w:t>
      </w:r>
    </w:p>
    <w:p w:rsidR="00DD69FA" w:rsidRPr="00590648" w:rsidRDefault="00DD69FA">
      <w:pPr>
        <w:rPr>
          <w:snapToGrid w:val="0"/>
          <w:lang w:eastAsia="sv-SE"/>
        </w:rPr>
      </w:pPr>
      <w:r w:rsidRPr="00590648">
        <w:t>D</w:t>
      </w:r>
      <w:r w:rsidRPr="00590648">
        <w:rPr>
          <w:snapToGrid w:val="0"/>
          <w:lang w:eastAsia="sv-SE"/>
        </w:rPr>
        <w:t>et finns ett stort behov av ett förbätt</w:t>
      </w:r>
      <w:r w:rsidRPr="00590648">
        <w:rPr>
          <w:snapToGrid w:val="0"/>
          <w:lang w:eastAsia="sv-SE"/>
        </w:rPr>
        <w:softHyphen/>
        <w:t>rat högkostnadsskydd i tandvården. Vi anser att det högkostnads</w:t>
      </w:r>
      <w:r w:rsidRPr="00590648">
        <w:rPr>
          <w:snapToGrid w:val="0"/>
          <w:lang w:eastAsia="sv-SE"/>
        </w:rPr>
        <w:softHyphen/>
        <w:t>skydd för äldre över 65 år som regeringen inför är åldersdiskri</w:t>
      </w:r>
      <w:r w:rsidRPr="00590648">
        <w:rPr>
          <w:snapToGrid w:val="0"/>
          <w:lang w:eastAsia="sv-SE"/>
        </w:rPr>
        <w:softHyphen/>
        <w:t>minerande, urholkar kostnadsmedve</w:t>
      </w:r>
      <w:r w:rsidRPr="00590648">
        <w:rPr>
          <w:snapToGrid w:val="0"/>
          <w:lang w:eastAsia="sv-SE"/>
        </w:rPr>
        <w:softHyphen/>
        <w:t>tandet och är vilseledande. Ett generöst hög</w:t>
      </w:r>
      <w:r w:rsidRPr="00590648">
        <w:rPr>
          <w:snapToGrid w:val="0"/>
          <w:lang w:eastAsia="sv-SE"/>
        </w:rPr>
        <w:softHyphen/>
        <w:t>kostnadsskydd för alla bör införas omedelbart. Skyddet skall omfatta alla med ett omfattande behov av kostsam tand</w:t>
      </w:r>
      <w:r w:rsidRPr="00590648">
        <w:rPr>
          <w:snapToGrid w:val="0"/>
          <w:lang w:eastAsia="sv-SE"/>
        </w:rPr>
        <w:softHyphen/>
        <w:t>vård och vara både enkelt och lättför</w:t>
      </w:r>
      <w:r w:rsidRPr="00590648">
        <w:rPr>
          <w:snapToGrid w:val="0"/>
          <w:lang w:eastAsia="sv-SE"/>
        </w:rPr>
        <w:softHyphen/>
        <w:t>ståeligt. En självrisk för enkla och van</w:t>
      </w:r>
      <w:r w:rsidRPr="00590648">
        <w:rPr>
          <w:snapToGrid w:val="0"/>
          <w:lang w:eastAsia="sv-SE"/>
        </w:rPr>
        <w:softHyphen/>
        <w:t>liga tandvårds</w:t>
      </w:r>
      <w:r w:rsidRPr="00590648">
        <w:rPr>
          <w:snapToGrid w:val="0"/>
          <w:lang w:eastAsia="sv-SE"/>
        </w:rPr>
        <w:softHyphen/>
        <w:t>arbeten gör att de disponibla medlen kan användas ef</w:t>
      </w:r>
      <w:r w:rsidRPr="00590648">
        <w:rPr>
          <w:snapToGrid w:val="0"/>
          <w:lang w:eastAsia="sv-SE"/>
        </w:rPr>
        <w:softHyphen/>
        <w:t>fek</w:t>
      </w:r>
      <w:r w:rsidRPr="00590648">
        <w:rPr>
          <w:snapToGrid w:val="0"/>
          <w:lang w:eastAsia="sv-SE"/>
        </w:rPr>
        <w:t>tivt till dem med stora behov.</w:t>
      </w:r>
      <w:r w:rsidRPr="00590648">
        <w:rPr>
          <w:snapToGrid w:val="0"/>
          <w:color w:val="000000"/>
          <w:lang w:eastAsia="sv-SE"/>
        </w:rPr>
        <w:t xml:space="preserve"> Finansutskottet bör därför med bifall till motion Fi45 (m) yrkande 7 tillkä</w:t>
      </w:r>
      <w:r w:rsidRPr="00590648">
        <w:rPr>
          <w:snapToGrid w:val="0"/>
          <w:color w:val="000000"/>
          <w:lang w:eastAsia="sv-SE"/>
        </w:rPr>
        <w:t>n</w:t>
      </w:r>
      <w:r w:rsidRPr="00590648">
        <w:rPr>
          <w:snapToGrid w:val="0"/>
          <w:color w:val="000000"/>
          <w:lang w:eastAsia="sv-SE"/>
        </w:rPr>
        <w:t>nage för regeringen vad vi här har anfört.</w:t>
      </w:r>
    </w:p>
    <w:p w:rsidR="00DD69FA" w:rsidRPr="00590648" w:rsidRDefault="00DD69FA">
      <w:pPr>
        <w:pStyle w:val="Normaltindrag"/>
      </w:pPr>
    </w:p>
    <w:p w:rsidR="00DD69FA" w:rsidRPr="00590648" w:rsidRDefault="00DD69FA">
      <w:pPr>
        <w:pStyle w:val="Normaltindrag"/>
      </w:pPr>
    </w:p>
    <w:p w:rsidR="00DD69FA" w:rsidRPr="00590648" w:rsidRDefault="00DD69FA">
      <w:pPr>
        <w:pStyle w:val="R2"/>
      </w:pPr>
      <w:r w:rsidRPr="00590648">
        <w:t>3.  Sjukvårdens produktivitetsutveckling</w:t>
      </w:r>
    </w:p>
    <w:p w:rsidR="00DD69FA" w:rsidRPr="00590648" w:rsidRDefault="00DD69FA">
      <w:r w:rsidRPr="00590648">
        <w:t>Kerstin Heinemann (fp) anför:</w:t>
      </w:r>
    </w:p>
    <w:p w:rsidR="00DD69FA" w:rsidRPr="00590648" w:rsidRDefault="00DD69FA">
      <w:pPr>
        <w:rPr>
          <w:snapToGrid w:val="0"/>
          <w:lang w:eastAsia="sv-SE"/>
        </w:rPr>
      </w:pPr>
      <w:r w:rsidRPr="00590648">
        <w:t>Jag anser att d</w:t>
      </w:r>
      <w:r w:rsidRPr="00590648">
        <w:rPr>
          <w:snapToGrid w:val="0"/>
          <w:lang w:eastAsia="sv-SE"/>
        </w:rPr>
        <w:t>et är otillfredsställande att en för patienter och offent</w:t>
      </w:r>
      <w:r w:rsidRPr="00590648">
        <w:rPr>
          <w:snapToGrid w:val="0"/>
          <w:lang w:eastAsia="sv-SE"/>
        </w:rPr>
        <w:softHyphen/>
        <w:t>liga fina</w:t>
      </w:r>
      <w:r w:rsidRPr="00590648">
        <w:rPr>
          <w:snapToGrid w:val="0"/>
          <w:lang w:eastAsia="sv-SE"/>
        </w:rPr>
        <w:t>n</w:t>
      </w:r>
      <w:r w:rsidRPr="00590648">
        <w:rPr>
          <w:snapToGrid w:val="0"/>
          <w:lang w:eastAsia="sv-SE"/>
        </w:rPr>
        <w:t>ser så betydelsefull fråga som sjukvårdens produktivitet lämnas utanför arb</w:t>
      </w:r>
      <w:r w:rsidRPr="00590648">
        <w:rPr>
          <w:snapToGrid w:val="0"/>
          <w:lang w:eastAsia="sv-SE"/>
        </w:rPr>
        <w:t>e</w:t>
      </w:r>
      <w:r w:rsidRPr="00590648">
        <w:rPr>
          <w:snapToGrid w:val="0"/>
          <w:lang w:eastAsia="sv-SE"/>
        </w:rPr>
        <w:t>tet med statistik och utvärdering. De metodproblem som vållas av förändrin</w:t>
      </w:r>
      <w:r w:rsidRPr="00590648">
        <w:rPr>
          <w:snapToGrid w:val="0"/>
          <w:lang w:eastAsia="sv-SE"/>
        </w:rPr>
        <w:t>g</w:t>
      </w:r>
      <w:r w:rsidRPr="00590648">
        <w:rPr>
          <w:snapToGrid w:val="0"/>
          <w:lang w:eastAsia="sv-SE"/>
        </w:rPr>
        <w:t>ar i både sjukdomsmönster och medicinsk teknik bör man försöka övervinna, i stället för att ta dem till förevändning för att låta riksdag och andra ansvariga nöja sig med ett bristfälligt underlag för de politiska bedöm</w:t>
      </w:r>
      <w:r w:rsidRPr="00590648">
        <w:rPr>
          <w:snapToGrid w:val="0"/>
          <w:lang w:eastAsia="sv-SE"/>
        </w:rPr>
        <w:softHyphen/>
        <w:t>ningarna. Jag anser att regeringen tillsammans med Landstingsför</w:t>
      </w:r>
      <w:r w:rsidRPr="00590648">
        <w:rPr>
          <w:snapToGrid w:val="0"/>
          <w:lang w:eastAsia="sv-SE"/>
        </w:rPr>
        <w:softHyphen/>
        <w:t>bundet b</w:t>
      </w:r>
      <w:r w:rsidRPr="00590648">
        <w:rPr>
          <w:snapToGrid w:val="0"/>
          <w:lang w:eastAsia="sv-SE"/>
        </w:rPr>
        <w:t xml:space="preserve">ör verka för att produktivitetsutvecklingen i vården från 1998 och framåt blir bättre belyst. </w:t>
      </w:r>
      <w:r w:rsidRPr="00590648">
        <w:rPr>
          <w:snapToGrid w:val="0"/>
          <w:color w:val="000000"/>
          <w:lang w:eastAsia="sv-SE"/>
        </w:rPr>
        <w:t>Finansutskottet bör därför med bifall till motion Fi48 (fp) yrkande 7 tillkä</w:t>
      </w:r>
      <w:r w:rsidRPr="00590648">
        <w:rPr>
          <w:snapToGrid w:val="0"/>
          <w:color w:val="000000"/>
          <w:lang w:eastAsia="sv-SE"/>
        </w:rPr>
        <w:t>n</w:t>
      </w:r>
      <w:r w:rsidRPr="00590648">
        <w:rPr>
          <w:snapToGrid w:val="0"/>
          <w:color w:val="000000"/>
          <w:lang w:eastAsia="sv-SE"/>
        </w:rPr>
        <w:t>nage för regeringen vad jag här har anfört.</w:t>
      </w:r>
    </w:p>
    <w:p w:rsidR="00DD69FA" w:rsidRPr="00590648" w:rsidRDefault="00DD69FA">
      <w:pPr>
        <w:pStyle w:val="R2"/>
      </w:pPr>
      <w:r w:rsidRPr="00590648">
        <w:t>4. Äldreomsorg</w:t>
      </w:r>
    </w:p>
    <w:p w:rsidR="00DD69FA" w:rsidRPr="00590648" w:rsidRDefault="00DD69FA">
      <w:r w:rsidRPr="00590648">
        <w:t>Chris Heister, Leif Carlson, Hans Hjortzberg-Nordlund och Cristina Husmark Pehrsson (alla m) anför:</w:t>
      </w:r>
    </w:p>
    <w:p w:rsidR="00DD69FA" w:rsidRPr="00590648" w:rsidRDefault="00DD69FA">
      <w:pPr>
        <w:rPr>
          <w:snapToGrid w:val="0"/>
          <w:lang w:eastAsia="sv-SE"/>
        </w:rPr>
      </w:pPr>
      <w:r w:rsidRPr="00590648">
        <w:rPr>
          <w:snapToGrid w:val="0"/>
          <w:color w:val="000000"/>
          <w:lang w:eastAsia="sv-SE"/>
        </w:rPr>
        <w:t>Äldre människors möjlighet att leva och bo självständigt liksom respekten för äldre personers självbestämmande och integritet är fortsatt bristfällig. Vi anser inte heller att rättssäkerheten inom äldreomsorgen är tillfredsställande. D</w:t>
      </w:r>
      <w:r w:rsidRPr="00590648">
        <w:rPr>
          <w:snapToGrid w:val="0"/>
          <w:lang w:eastAsia="sv-SE"/>
        </w:rPr>
        <w:t xml:space="preserve">et finns på äldreomsorgens område ett stort behov av en förstärkt statlig tillsyn. Den uppgift som i dag faller på kommunerna – att övervaka sin egen verksamhet såväl som de privata entreprenörerna – fungerar uppenbarligen inte. I stället bör en fristående statlig myndighet träda in i kommunens ställe och ansvara för godkännande och kvalitet inom vård och omsorg. </w:t>
      </w:r>
    </w:p>
    <w:p w:rsidR="00DD69FA" w:rsidRPr="00590648" w:rsidRDefault="00DD69FA">
      <w:pPr>
        <w:pStyle w:val="Normaltindrag"/>
        <w:rPr>
          <w:snapToGrid w:val="0"/>
          <w:lang w:eastAsia="sv-SE"/>
        </w:rPr>
      </w:pPr>
      <w:r w:rsidRPr="00590648">
        <w:rPr>
          <w:snapToGrid w:val="0"/>
          <w:lang w:eastAsia="sv-SE"/>
        </w:rPr>
        <w:t>Även med en väl fungerande tillsyn är den största kvalitetsfaktorn och g</w:t>
      </w:r>
      <w:r w:rsidRPr="00590648">
        <w:rPr>
          <w:snapToGrid w:val="0"/>
          <w:lang w:eastAsia="sv-SE"/>
        </w:rPr>
        <w:t>a</w:t>
      </w:r>
      <w:r w:rsidRPr="00590648">
        <w:rPr>
          <w:snapToGrid w:val="0"/>
          <w:lang w:eastAsia="sv-SE"/>
        </w:rPr>
        <w:t>rantin för god vård ändå den som innebär att man själv som äldre har rätt och möjlighet att välja vårdgivare och att också kunna välja bort den vård man inte är nöjd med. Med den nationella äldrepeng vi förespråkar k</w:t>
      </w:r>
      <w:r w:rsidRPr="00590648">
        <w:rPr>
          <w:snapToGrid w:val="0"/>
          <w:color w:val="000000"/>
          <w:lang w:eastAsia="sv-SE"/>
        </w:rPr>
        <w:t>ommer äldre att kunna flytta vart de vill i landet utan en ny biståndsansökan. Vidare ko</w:t>
      </w:r>
      <w:r w:rsidRPr="00590648">
        <w:rPr>
          <w:snapToGrid w:val="0"/>
          <w:color w:val="000000"/>
          <w:lang w:eastAsia="sv-SE"/>
        </w:rPr>
        <w:t>m</w:t>
      </w:r>
      <w:r w:rsidRPr="00590648">
        <w:rPr>
          <w:snapToGrid w:val="0"/>
          <w:color w:val="000000"/>
          <w:lang w:eastAsia="sv-SE"/>
        </w:rPr>
        <w:t xml:space="preserve">mer vårdgivaren att ersättas med den kostnad som omsorgen om den äldre kostar. Därmed garanteras valfrihet, mångfald och kvalitet. </w:t>
      </w:r>
      <w:r w:rsidRPr="00590648">
        <w:rPr>
          <w:snapToGrid w:val="0"/>
          <w:lang w:eastAsia="sv-SE"/>
        </w:rPr>
        <w:t>Finansutskottet bör därför med bifall till motion Fi45 (m) yrkande 8 tillkä</w:t>
      </w:r>
      <w:r w:rsidRPr="00590648">
        <w:rPr>
          <w:snapToGrid w:val="0"/>
          <w:lang w:eastAsia="sv-SE"/>
        </w:rPr>
        <w:t>nnage för regerin</w:t>
      </w:r>
      <w:r w:rsidRPr="00590648">
        <w:rPr>
          <w:snapToGrid w:val="0"/>
          <w:lang w:eastAsia="sv-SE"/>
        </w:rPr>
        <w:t>g</w:t>
      </w:r>
      <w:r w:rsidRPr="00590648">
        <w:rPr>
          <w:snapToGrid w:val="0"/>
          <w:lang w:eastAsia="sv-SE"/>
        </w:rPr>
        <w:t xml:space="preserve">en vad vi här har anfört. </w:t>
      </w:r>
    </w:p>
    <w:p w:rsidR="00DD69FA" w:rsidRPr="00590648" w:rsidRDefault="00DD69FA">
      <w:pPr>
        <w:pStyle w:val="R2"/>
      </w:pPr>
      <w:r w:rsidRPr="00590648">
        <w:t>5. Äldreomsorg</w:t>
      </w:r>
    </w:p>
    <w:p w:rsidR="00DD69FA" w:rsidRPr="00590648" w:rsidRDefault="00DD69FA">
      <w:r w:rsidRPr="00590648">
        <w:t>Kerstin Heinemann (fp) anför:</w:t>
      </w:r>
    </w:p>
    <w:p w:rsidR="00DD69FA" w:rsidRPr="00590648" w:rsidRDefault="00DD69FA">
      <w:pPr>
        <w:rPr>
          <w:snapToGrid w:val="0"/>
          <w:lang w:eastAsia="sv-SE"/>
        </w:rPr>
      </w:pPr>
      <w:r w:rsidRPr="00590648">
        <w:t>Jag anser, även om äldreomsorgen är ett i huvudsak kom</w:t>
      </w:r>
      <w:r w:rsidRPr="00590648">
        <w:softHyphen/>
        <w:t>munalt ansvarsomr</w:t>
      </w:r>
      <w:r w:rsidRPr="00590648">
        <w:t>å</w:t>
      </w:r>
      <w:r w:rsidRPr="00590648">
        <w:t xml:space="preserve">de, att </w:t>
      </w:r>
      <w:r w:rsidRPr="00590648">
        <w:rPr>
          <w:snapToGrid w:val="0"/>
          <w:lang w:eastAsia="sv-SE"/>
        </w:rPr>
        <w:t>staten och kommunerna bör samverka för att utveckla och kvalitetssä</w:t>
      </w:r>
      <w:r w:rsidRPr="00590648">
        <w:rPr>
          <w:snapToGrid w:val="0"/>
          <w:lang w:eastAsia="sv-SE"/>
        </w:rPr>
        <w:t>k</w:t>
      </w:r>
      <w:r w:rsidRPr="00590648">
        <w:rPr>
          <w:snapToGrid w:val="0"/>
          <w:lang w:eastAsia="sv-SE"/>
        </w:rPr>
        <w:t>ra äldreomsorgen för framtiden. De närmaste åren bör staten med stimulan</w:t>
      </w:r>
      <w:r w:rsidRPr="00590648">
        <w:rPr>
          <w:snapToGrid w:val="0"/>
          <w:lang w:eastAsia="sv-SE"/>
        </w:rPr>
        <w:t>s</w:t>
      </w:r>
      <w:r w:rsidRPr="00590648">
        <w:rPr>
          <w:snapToGrid w:val="0"/>
          <w:lang w:eastAsia="sv-SE"/>
        </w:rPr>
        <w:t>bidrag och utvecklingspengar främja utvecklingsarbetet. Jag anser vidare att de statliga stimulansbidragen bör medverka till att omsorgsgaranti, individuell valfrihet mellan olika utförare (s.k. äldrepeng) samt kommunala äldreo</w:t>
      </w:r>
      <w:r w:rsidRPr="00590648">
        <w:rPr>
          <w:snapToGrid w:val="0"/>
          <w:lang w:eastAsia="sv-SE"/>
        </w:rPr>
        <w:t>m</w:t>
      </w:r>
      <w:r w:rsidRPr="00590648">
        <w:rPr>
          <w:snapToGrid w:val="0"/>
          <w:lang w:eastAsia="sv-SE"/>
        </w:rPr>
        <w:t>budsmän införs på bred front i äldrevården. O</w:t>
      </w:r>
      <w:r w:rsidRPr="00590648">
        <w:rPr>
          <w:snapToGrid w:val="0"/>
          <w:color w:val="000000"/>
          <w:lang w:eastAsia="sv-SE"/>
        </w:rPr>
        <w:t>msorgsgarantin bör vara ett system på kommunal nivå för kvalitetssäkrin</w:t>
      </w:r>
      <w:r w:rsidRPr="00590648">
        <w:rPr>
          <w:snapToGrid w:val="0"/>
          <w:color w:val="000000"/>
          <w:lang w:eastAsia="sv-SE"/>
        </w:rPr>
        <w:t>g och stöd för personalen i att upprätthålla god vård. Omsorgsgarantin skall vidare klart ange vad åtagandet är när det gäller rätt till bland annat värdigt omhändertagande, fungerande hemtjänst och färdtjänst, medicinsk kompetens i äldrevården, hjälpmedel i rätt tid, fung</w:t>
      </w:r>
      <w:r w:rsidRPr="00590648">
        <w:rPr>
          <w:snapToGrid w:val="0"/>
          <w:color w:val="000000"/>
          <w:lang w:eastAsia="sv-SE"/>
        </w:rPr>
        <w:t>e</w:t>
      </w:r>
      <w:r w:rsidRPr="00590648">
        <w:rPr>
          <w:snapToGrid w:val="0"/>
          <w:color w:val="000000"/>
          <w:lang w:eastAsia="sv-SE"/>
        </w:rPr>
        <w:t>rande trygghetslarm m.m.</w:t>
      </w:r>
    </w:p>
    <w:p w:rsidR="00DD69FA" w:rsidRPr="00590648" w:rsidRDefault="00DD69FA">
      <w:pPr>
        <w:pStyle w:val="Normaltindrag"/>
        <w:rPr>
          <w:snapToGrid w:val="0"/>
          <w:lang w:eastAsia="sv-SE"/>
        </w:rPr>
      </w:pPr>
      <w:r w:rsidRPr="00590648">
        <w:t>Enligt min uppfattning skall omsorgsgarantin också innehålla en rätt att bo i eget rum för alla som inte vill dela rum i särskilt boende.</w:t>
      </w:r>
      <w:r w:rsidRPr="00590648">
        <w:rPr>
          <w:snapToGrid w:val="0"/>
          <w:lang w:eastAsia="sv-SE"/>
        </w:rPr>
        <w:t xml:space="preserve"> Finansutskottet bör därför med bifall till motion Fi48 (fp) yrkande 1 tillkännage för regeringen vad jag här har anfört. </w:t>
      </w:r>
    </w:p>
    <w:p w:rsidR="00DD69FA" w:rsidRPr="00590648" w:rsidRDefault="00DD69FA">
      <w:pPr>
        <w:pStyle w:val="R2"/>
      </w:pPr>
      <w:r w:rsidRPr="00590648">
        <w:t xml:space="preserve">6. Handikappomsorg </w:t>
      </w:r>
    </w:p>
    <w:p w:rsidR="00DD69FA" w:rsidRPr="00590648" w:rsidRDefault="00DD69FA">
      <w:r w:rsidRPr="00590648">
        <w:t>Chris Heister, Leif Carlson, Hans Hjortzberg-Nordlund och Cristina Husmark Pehrsson (alla m) anför:</w:t>
      </w:r>
    </w:p>
    <w:p w:rsidR="00DD69FA" w:rsidRPr="00590648" w:rsidRDefault="00DD69FA">
      <w:pPr>
        <w:rPr>
          <w:snapToGrid w:val="0"/>
          <w:lang w:eastAsia="sv-SE"/>
        </w:rPr>
      </w:pPr>
      <w:r w:rsidRPr="00590648">
        <w:rPr>
          <w:snapToGrid w:val="0"/>
          <w:lang w:eastAsia="sv-SE"/>
        </w:rPr>
        <w:t>Enligt vår uppfattning präglas fortfarande synen på funktionshindrades liv</w:t>
      </w:r>
      <w:r w:rsidRPr="00590648">
        <w:rPr>
          <w:snapToGrid w:val="0"/>
          <w:lang w:eastAsia="sv-SE"/>
        </w:rPr>
        <w:t>s</w:t>
      </w:r>
      <w:r w:rsidRPr="00590648">
        <w:rPr>
          <w:snapToGrid w:val="0"/>
          <w:lang w:eastAsia="sv-SE"/>
        </w:rPr>
        <w:t>situation i alltför hög utsträckning av ett synsätt där den enskilde funktion</w:t>
      </w:r>
      <w:r w:rsidRPr="00590648">
        <w:rPr>
          <w:snapToGrid w:val="0"/>
          <w:lang w:eastAsia="sv-SE"/>
        </w:rPr>
        <w:t>s</w:t>
      </w:r>
      <w:r w:rsidRPr="00590648">
        <w:rPr>
          <w:snapToGrid w:val="0"/>
          <w:lang w:eastAsia="sv-SE"/>
        </w:rPr>
        <w:t>hindrade förväntas att anpassa sig efter den form av insatser som erbjuds. Vår utgångspunkt är den motsatta: Stödet till funktionshindrade skall vara flex</w:t>
      </w:r>
      <w:r w:rsidRPr="00590648">
        <w:rPr>
          <w:snapToGrid w:val="0"/>
          <w:lang w:eastAsia="sv-SE"/>
        </w:rPr>
        <w:t>i</w:t>
      </w:r>
      <w:r w:rsidRPr="00590648">
        <w:rPr>
          <w:snapToGrid w:val="0"/>
          <w:lang w:eastAsia="sv-SE"/>
        </w:rPr>
        <w:t>belt och ge den enskilde stor valfrihet. Av det skälet har vi bl.a. föreslagit ett särskilt bostadsstöd för att funktionshindrade skall kunna bo kvar i sina sä</w:t>
      </w:r>
      <w:r w:rsidRPr="00590648">
        <w:rPr>
          <w:snapToGrid w:val="0"/>
          <w:lang w:eastAsia="sv-SE"/>
        </w:rPr>
        <w:t>r</w:t>
      </w:r>
      <w:r w:rsidRPr="00590648">
        <w:rPr>
          <w:snapToGrid w:val="0"/>
          <w:lang w:eastAsia="sv-SE"/>
        </w:rPr>
        <w:t>skilt anpassade bostäder. Vi har också föreslagit ett särskilt stimulansbidrag till kommunerna för insatser för psykis</w:t>
      </w:r>
      <w:r w:rsidRPr="00590648">
        <w:rPr>
          <w:snapToGrid w:val="0"/>
          <w:lang w:eastAsia="sv-SE"/>
        </w:rPr>
        <w:t>kt funktionshindrade. Vi vill att stödet till insatser i skolan skall avregleras och göras mer individanpassat. Vi har vidare motsatt oss nedläggningen av bl.a. specialskolor för multihandikapp</w:t>
      </w:r>
      <w:r w:rsidRPr="00590648">
        <w:rPr>
          <w:snapToGrid w:val="0"/>
          <w:lang w:eastAsia="sv-SE"/>
        </w:rPr>
        <w:t>a</w:t>
      </w:r>
      <w:r w:rsidRPr="00590648">
        <w:rPr>
          <w:snapToGrid w:val="0"/>
          <w:lang w:eastAsia="sv-SE"/>
        </w:rPr>
        <w:t>de barn.</w:t>
      </w:r>
    </w:p>
    <w:p w:rsidR="00DD69FA" w:rsidRPr="00590648" w:rsidRDefault="00DD69FA">
      <w:pPr>
        <w:pStyle w:val="Normaltindrag"/>
        <w:rPr>
          <w:snapToGrid w:val="0"/>
          <w:lang w:eastAsia="sv-SE"/>
        </w:rPr>
      </w:pPr>
      <w:r w:rsidRPr="00590648">
        <w:rPr>
          <w:snapToGrid w:val="0"/>
          <w:lang w:eastAsia="sv-SE"/>
        </w:rPr>
        <w:t xml:space="preserve">En viktig utgångspunkt för handikappolitiken bör enligt vår uppfattning vara att staten tar det grundläggande ansvaret för att alla funktionshindrade, oavsett i vilken kommun de bor, skall ha samma rätt till den frihet och det oberoende som rätten till personlig assistans innebär. </w:t>
      </w:r>
    </w:p>
    <w:p w:rsidR="00DD69FA" w:rsidRPr="00590648" w:rsidRDefault="00DD69FA">
      <w:pPr>
        <w:pStyle w:val="Normaltindrag"/>
        <w:rPr>
          <w:snapToGrid w:val="0"/>
          <w:lang w:eastAsia="sv-SE"/>
        </w:rPr>
      </w:pPr>
      <w:r w:rsidRPr="00590648">
        <w:rPr>
          <w:snapToGrid w:val="0"/>
          <w:lang w:eastAsia="sv-SE"/>
        </w:rPr>
        <w:t xml:space="preserve">Det delade ansvaret för stöd till funktionshindrade och arbetshandikappade medför att satsningarna inte alltid är samordnade. För många människor som är i behov av stöd leder splittringen dessutom till att man måste ha kontakt med många tjänstemän på många olika myndigheter. </w:t>
      </w:r>
    </w:p>
    <w:p w:rsidR="00DD69FA" w:rsidRPr="00590648" w:rsidRDefault="00DD69FA">
      <w:pPr>
        <w:pStyle w:val="Normaltindrag"/>
        <w:rPr>
          <w:snapToGrid w:val="0"/>
          <w:lang w:eastAsia="sv-SE"/>
        </w:rPr>
      </w:pPr>
      <w:r w:rsidRPr="00590648">
        <w:rPr>
          <w:snapToGrid w:val="0"/>
          <w:lang w:eastAsia="sv-SE"/>
        </w:rPr>
        <w:t>Regeringen har tillsatt en kommitté som skall utreda frågan om en ko</w:t>
      </w:r>
      <w:r w:rsidRPr="00590648">
        <w:rPr>
          <w:snapToGrid w:val="0"/>
          <w:lang w:eastAsia="sv-SE"/>
        </w:rPr>
        <w:t>m</w:t>
      </w:r>
      <w:r w:rsidRPr="00590648">
        <w:rPr>
          <w:snapToGrid w:val="0"/>
          <w:lang w:eastAsia="sv-SE"/>
        </w:rPr>
        <w:t>munal utjämning för kostnader avseende LSS i ett längre tidsperspektiv. Vi har föreslagit att det ekonomiska ansvaret för assistansersättningen återgår till staten. Vi anser vidare att schabloniseringen av ersättningen skall slopas och att reglerna kring ersättningen i princip skall återgå till vad som gällde före den 1 september 1997, samt att rätten till personlig assistans under skoltid och vid vistelse på dagcenter etc. skall återinföras. Dessutom anser vi att frågan om en mer flexibel utformning av rä</w:t>
      </w:r>
      <w:r w:rsidRPr="00590648">
        <w:rPr>
          <w:snapToGrid w:val="0"/>
          <w:lang w:eastAsia="sv-SE"/>
        </w:rPr>
        <w:t>tten till personlig assistans skall utredas.</w:t>
      </w:r>
    </w:p>
    <w:p w:rsidR="00DD69FA" w:rsidRPr="00590648" w:rsidRDefault="00DD69FA">
      <w:pPr>
        <w:pStyle w:val="Normaltindrag"/>
        <w:rPr>
          <w:snapToGrid w:val="0"/>
          <w:lang w:eastAsia="sv-SE"/>
        </w:rPr>
      </w:pPr>
      <w:r w:rsidRPr="00590648">
        <w:rPr>
          <w:snapToGrid w:val="0"/>
          <w:lang w:eastAsia="sv-SE"/>
        </w:rPr>
        <w:t>Vi föreslår också att en hjälpmedelsgaranti införs. En hjälpmedelsgaranti skulle öka valfriheten för den enskilde och därutöver främja utbudet av olika former av hjälpmedel. I dagsläget finns inte en marknad för hjälpmedel, efte</w:t>
      </w:r>
      <w:r w:rsidRPr="00590648">
        <w:rPr>
          <w:snapToGrid w:val="0"/>
          <w:lang w:eastAsia="sv-SE"/>
        </w:rPr>
        <w:t>r</w:t>
      </w:r>
      <w:r w:rsidRPr="00590648">
        <w:rPr>
          <w:snapToGrid w:val="0"/>
          <w:lang w:eastAsia="sv-SE"/>
        </w:rPr>
        <w:t>som landstinget ofta är den enda köparen. En avmonopolisering av hjälpm</w:t>
      </w:r>
      <w:r w:rsidRPr="00590648">
        <w:rPr>
          <w:snapToGrid w:val="0"/>
          <w:lang w:eastAsia="sv-SE"/>
        </w:rPr>
        <w:t>e</w:t>
      </w:r>
      <w:r w:rsidRPr="00590648">
        <w:rPr>
          <w:snapToGrid w:val="0"/>
          <w:lang w:eastAsia="sv-SE"/>
        </w:rPr>
        <w:t>delsverksamheten och införandet av en hjälpmedelsgaranti skulle stimulera utvecklingen av fler, bättre och billigare hjälpmedel, samtidigt som den skulle påskynda introduktionen av dessa på marknaden. Inledningsvis bör en hjäl</w:t>
      </w:r>
      <w:r w:rsidRPr="00590648">
        <w:rPr>
          <w:snapToGrid w:val="0"/>
          <w:lang w:eastAsia="sv-SE"/>
        </w:rPr>
        <w:t>p</w:t>
      </w:r>
      <w:r w:rsidRPr="00590648">
        <w:rPr>
          <w:snapToGrid w:val="0"/>
          <w:lang w:eastAsia="sv-SE"/>
        </w:rPr>
        <w:t xml:space="preserve">medelsgaranti omfatta de resurser som finns anvisade under bilstödet till handikappade och texttelefoner. </w:t>
      </w:r>
      <w:r w:rsidRPr="00590648">
        <w:rPr>
          <w:snapToGrid w:val="0"/>
          <w:color w:val="000000"/>
          <w:lang w:eastAsia="sv-SE"/>
        </w:rPr>
        <w:t>Finansutskottet bör därför med bifall till motion Fi45 (m) yrkande 9 tillkännage för regeringen vad vi här</w:t>
      </w:r>
      <w:r w:rsidRPr="00590648">
        <w:rPr>
          <w:snapToGrid w:val="0"/>
          <w:color w:val="000000"/>
          <w:lang w:eastAsia="sv-SE"/>
        </w:rPr>
        <w:t xml:space="preserve"> har anfört. </w:t>
      </w:r>
    </w:p>
    <w:p w:rsidR="00DD69FA" w:rsidRPr="00590648" w:rsidRDefault="00DD69FA">
      <w:pPr>
        <w:pStyle w:val="R2"/>
      </w:pPr>
      <w:r w:rsidRPr="00590648">
        <w:t xml:space="preserve">7. Handikappomsorg </w:t>
      </w:r>
    </w:p>
    <w:p w:rsidR="00DD69FA" w:rsidRPr="00590648" w:rsidRDefault="00DD69FA">
      <w:r w:rsidRPr="00590648">
        <w:t>Kerstin Heinemann (fp) anför:</w:t>
      </w:r>
    </w:p>
    <w:p w:rsidR="00DD69FA" w:rsidRPr="00590648" w:rsidRDefault="00DD69FA">
      <w:pPr>
        <w:rPr>
          <w:snapToGrid w:val="0"/>
        </w:rPr>
      </w:pPr>
      <w:r w:rsidRPr="00590648">
        <w:t>N</w:t>
      </w:r>
      <w:r w:rsidRPr="00590648">
        <w:rPr>
          <w:snapToGrid w:val="0"/>
        </w:rPr>
        <w:t>är det gäller funktionshind</w:t>
      </w:r>
      <w:r w:rsidRPr="00590648">
        <w:rPr>
          <w:snapToGrid w:val="0"/>
        </w:rPr>
        <w:softHyphen/>
        <w:t>rade finns det flera stora frågor som berör de ekonomiska relationerna mellan stat och kommuner. De mest betydelsefulla reformbehoven är att återupprätta 90-talets handikappreform och att de nä</w:t>
      </w:r>
      <w:r w:rsidRPr="00590648">
        <w:rPr>
          <w:snapToGrid w:val="0"/>
        </w:rPr>
        <w:t>r</w:t>
      </w:r>
      <w:r w:rsidRPr="00590648">
        <w:rPr>
          <w:snapToGrid w:val="0"/>
        </w:rPr>
        <w:t>maste åren genomföra en genomgri</w:t>
      </w:r>
      <w:r w:rsidRPr="00590648">
        <w:rPr>
          <w:snapToGrid w:val="0"/>
        </w:rPr>
        <w:softHyphen/>
        <w:t>pande tillgänglighetsreform, där ansvaret för åtgärderna skall ligga lokalt men där staten skall vara pådrivande med stimulansbidrag och riktlinjer. Statens nettokostnad för att upphäva de i</w:t>
      </w:r>
      <w:r w:rsidRPr="00590648">
        <w:rPr>
          <w:snapToGrid w:val="0"/>
        </w:rPr>
        <w:t>n</w:t>
      </w:r>
      <w:r w:rsidRPr="00590648">
        <w:rPr>
          <w:snapToGrid w:val="0"/>
        </w:rPr>
        <w:t xml:space="preserve">skränkningar som gjordes 1996 har beräknats till 300 miljoner per </w:t>
      </w:r>
      <w:r w:rsidRPr="00590648">
        <w:rPr>
          <w:snapToGrid w:val="0"/>
        </w:rPr>
        <w:t>år. Jag anser att det är viktigt att detta behov beaktas i budgetarbetet för 2003 och åren därefter. Detsamma gäller den genomgripande tillgänglighetsreformen, där jag liksom tidigare förordar en engångssatsning på sammanlagt 5 milja</w:t>
      </w:r>
      <w:r w:rsidRPr="00590648">
        <w:rPr>
          <w:snapToGrid w:val="0"/>
        </w:rPr>
        <w:t>r</w:t>
      </w:r>
      <w:r w:rsidRPr="00590648">
        <w:rPr>
          <w:snapToGrid w:val="0"/>
        </w:rPr>
        <w:t>der kronor, fördelad över de närmaste åren. Kostnadsbedömningen är de</w:t>
      </w:r>
      <w:r w:rsidRPr="00590648">
        <w:rPr>
          <w:snapToGrid w:val="0"/>
        </w:rPr>
        <w:t>n</w:t>
      </w:r>
      <w:r w:rsidRPr="00590648">
        <w:rPr>
          <w:snapToGrid w:val="0"/>
        </w:rPr>
        <w:t xml:space="preserve">samma som Boverket gjort. Denna satsning bör komma i gång under 2003. </w:t>
      </w:r>
      <w:r w:rsidRPr="00590648">
        <w:rPr>
          <w:snapToGrid w:val="0"/>
          <w:lang w:eastAsia="sv-SE"/>
        </w:rPr>
        <w:t>Finansutskottet bör därför med bifall till motion Fi48 (fp) yrkande 2 tillkä</w:t>
      </w:r>
      <w:r w:rsidRPr="00590648">
        <w:rPr>
          <w:snapToGrid w:val="0"/>
          <w:lang w:eastAsia="sv-SE"/>
        </w:rPr>
        <w:t>n</w:t>
      </w:r>
      <w:r w:rsidRPr="00590648">
        <w:rPr>
          <w:snapToGrid w:val="0"/>
          <w:lang w:eastAsia="sv-SE"/>
        </w:rPr>
        <w:t>nage för regeringen vad jag här har anfört.</w:t>
      </w:r>
    </w:p>
    <w:p w:rsidR="00DD69FA" w:rsidRPr="00590648" w:rsidRDefault="00DD69FA">
      <w:pPr>
        <w:pStyle w:val="R2"/>
      </w:pPr>
      <w:r w:rsidRPr="00590648">
        <w:t>8. Missbrukarvård</w:t>
      </w:r>
    </w:p>
    <w:p w:rsidR="00DD69FA" w:rsidRPr="00590648" w:rsidRDefault="00DD69FA">
      <w:r w:rsidRPr="00590648">
        <w:t>Kerstin Heinemann (fp) anför:</w:t>
      </w:r>
    </w:p>
    <w:p w:rsidR="00DD69FA" w:rsidRPr="00590648" w:rsidRDefault="00DD69FA">
      <w:pPr>
        <w:rPr>
          <w:snapToGrid w:val="0"/>
          <w:lang w:eastAsia="sv-SE"/>
        </w:rPr>
      </w:pPr>
      <w:r w:rsidRPr="00590648">
        <w:t>Jag anser att det ekonomiska ansvaret för den frivilliga missbrukarvården alltjämt bör ligga hos kommunerna. Eftersom staten ansvarar för narkotik</w:t>
      </w:r>
      <w:r w:rsidRPr="00590648">
        <w:t>a</w:t>
      </w:r>
      <w:r w:rsidRPr="00590648">
        <w:t>politiken med dess inslag av tvång bör staten emellertid, enligt min mening, ta ett visst ekonomiskt ansvar för tvångsvården. Efter det att en kommun redov</w:t>
      </w:r>
      <w:r w:rsidRPr="00590648">
        <w:t>i</w:t>
      </w:r>
      <w:r w:rsidRPr="00590648">
        <w:t>sat vilka åtgärder som vidtagits för en missbrukare och visat att den följt bestämmelserna i socialtjänstlagen bör staten garantera de huvudsakliga kos</w:t>
      </w:r>
      <w:r w:rsidRPr="00590648">
        <w:t>t</w:t>
      </w:r>
      <w:r w:rsidRPr="00590648">
        <w:t xml:space="preserve">naderna för tvångsvården. </w:t>
      </w:r>
      <w:r w:rsidRPr="00590648">
        <w:rPr>
          <w:snapToGrid w:val="0"/>
          <w:lang w:eastAsia="sv-SE"/>
        </w:rPr>
        <w:t>Finansutskottet bör därför med bifall till motion Fi48 (fp) yrkande 5 tillkännage för regeringen vad jag här har anfört.</w:t>
      </w:r>
    </w:p>
    <w:p w:rsidR="00DD69FA" w:rsidRPr="00590648" w:rsidRDefault="00DD69FA"/>
    <w:p w:rsidR="00DD69FA" w:rsidRPr="00590648" w:rsidRDefault="00DD69FA"/>
    <w:p w:rsidR="00DD69FA" w:rsidRPr="00590648" w:rsidRDefault="00DD69FA">
      <w:pPr>
        <w:pStyle w:val="Normaltindrag"/>
        <w:ind w:firstLine="0"/>
      </w:pPr>
    </w:p>
    <w:p w:rsidR="00DD69FA" w:rsidRPr="00590648" w:rsidRDefault="00DD69FA">
      <w:pPr>
        <w:pStyle w:val="Normaltindrag"/>
        <w:sectPr w:rsidR="00000000" w:rsidRPr="00590648">
          <w:headerReference w:type="even" r:id="rId72"/>
          <w:headerReference w:type="default" r:id="rId73"/>
          <w:footerReference w:type="even" r:id="rId74"/>
          <w:footerReference w:type="default" r:id="rId75"/>
          <w:headerReference w:type="first" r:id="rId76"/>
          <w:footerReference w:type="first" r:id="rId77"/>
          <w:pgSz w:w="11906" w:h="16838" w:code="9"/>
          <w:pgMar w:top="907" w:right="4649" w:bottom="4508" w:left="1304" w:header="340" w:footer="227" w:gutter="0"/>
          <w:cols w:space="720"/>
          <w:titlePg/>
        </w:sectPr>
      </w:pPr>
    </w:p>
    <w:p w:rsidR="00DD69FA" w:rsidRPr="00590648" w:rsidRDefault="00DD69FA">
      <w:pPr>
        <w:pStyle w:val="Bilaga"/>
      </w:pPr>
      <w:r w:rsidRPr="00590648">
        <w:t>BILAGA 5</w:t>
      </w:r>
    </w:p>
    <w:p w:rsidR="00DD69FA" w:rsidRPr="00590648" w:rsidRDefault="00DD69FA">
      <w:pPr>
        <w:pStyle w:val="Rubrik1"/>
        <w:spacing w:after="0"/>
        <w:rPr>
          <w:noProof w:val="0"/>
        </w:rPr>
      </w:pPr>
      <w:bookmarkStart w:id="63" w:name="_Toc10795523"/>
      <w:r w:rsidRPr="00590648">
        <w:rPr>
          <w:noProof w:val="0"/>
        </w:rPr>
        <w:t>Utbildningsutskottets yttrande</w:t>
      </w:r>
      <w:bookmarkEnd w:id="63"/>
      <w:r w:rsidRPr="00590648">
        <w:rPr>
          <w:noProof w:val="0"/>
        </w:rPr>
        <w:t xml:space="preserve"> </w:t>
      </w:r>
    </w:p>
    <w:p w:rsidR="00DD69FA" w:rsidRPr="00590648" w:rsidRDefault="00DD69FA">
      <w:pPr>
        <w:pStyle w:val="R1"/>
        <w:spacing w:after="720"/>
      </w:pPr>
      <w:r w:rsidRPr="00590648">
        <w:t>2001/02:UbU3y</w:t>
      </w:r>
    </w:p>
    <w:tbl>
      <w:tblPr>
        <w:tblW w:w="0" w:type="auto"/>
        <w:tblInd w:w="-113" w:type="dxa"/>
        <w:tblLayout w:type="fixed"/>
        <w:tblCellMar>
          <w:left w:w="113" w:type="dxa"/>
          <w:right w:w="113" w:type="dxa"/>
        </w:tblCellMar>
        <w:tblLook w:val="0000" w:firstRow="0" w:lastRow="0" w:firstColumn="0" w:lastColumn="0" w:noHBand="0" w:noVBand="0"/>
      </w:tblPr>
      <w:tblGrid>
        <w:gridCol w:w="29"/>
        <w:gridCol w:w="6095"/>
      </w:tblGrid>
      <w:tr w:rsidR="00000000" w:rsidRPr="00590648">
        <w:tblPrEx>
          <w:tblCellMar>
            <w:top w:w="0" w:type="dxa"/>
            <w:bottom w:w="0" w:type="dxa"/>
          </w:tblCellMar>
        </w:tblPrEx>
        <w:tc>
          <w:tcPr>
            <w:tcW w:w="6124" w:type="dxa"/>
            <w:gridSpan w:val="2"/>
            <w:tcBorders>
              <w:bottom w:val="single" w:sz="4" w:space="0" w:color="auto"/>
            </w:tcBorders>
          </w:tcPr>
          <w:p w:rsidR="00DD69FA" w:rsidRPr="00590648" w:rsidRDefault="00DD69FA">
            <w:pPr>
              <w:pStyle w:val="DokumentRubrik"/>
              <w:rPr>
                <w:noProof w:val="0"/>
              </w:rPr>
            </w:pPr>
            <w:r w:rsidRPr="00590648">
              <w:rPr>
                <w:noProof w:val="0"/>
              </w:rPr>
              <w:t>Utvecklingen inom den kommunala sektorn</w:t>
            </w:r>
          </w:p>
        </w:tc>
      </w:tr>
      <w:tr w:rsidR="00000000" w:rsidRPr="00590648">
        <w:tblPrEx>
          <w:tblCellMar>
            <w:top w:w="0" w:type="dxa"/>
            <w:left w:w="70" w:type="dxa"/>
            <w:bottom w:w="0" w:type="dxa"/>
            <w:right w:w="70" w:type="dxa"/>
          </w:tblCellMar>
        </w:tblPrEx>
        <w:trPr>
          <w:gridBefore w:val="1"/>
          <w:wBefore w:w="29" w:type="dxa"/>
          <w:trHeight w:hRule="exact" w:val="360"/>
        </w:trPr>
        <w:tc>
          <w:tcPr>
            <w:tcW w:w="6095" w:type="dxa"/>
          </w:tcPr>
          <w:p w:rsidR="00DD69FA" w:rsidRPr="00590648" w:rsidRDefault="00DD69FA"/>
        </w:tc>
      </w:tr>
    </w:tbl>
    <w:p w:rsidR="00DD69FA" w:rsidRPr="00590648" w:rsidRDefault="00DD69FA">
      <w:pPr>
        <w:pStyle w:val="R1"/>
        <w:spacing w:before="140" w:after="250"/>
      </w:pPr>
      <w:r w:rsidRPr="00590648">
        <w:t>Till finansutskottet</w:t>
      </w:r>
    </w:p>
    <w:p w:rsidR="00DD69FA" w:rsidRPr="00590648" w:rsidRDefault="00DD69FA">
      <w:r w:rsidRPr="00590648">
        <w:t>Finansutskottet har den 18 april 2002 beslutat att bereda bl.a. utbildningsu</w:t>
      </w:r>
      <w:r w:rsidRPr="00590648">
        <w:t>t</w:t>
      </w:r>
      <w:r w:rsidRPr="00590648">
        <w:t xml:space="preserve">skottet tillfälle att avge yttrande över regeringens skrivelse 2001/02:102 </w:t>
      </w:r>
      <w:r w:rsidRPr="00590648">
        <w:rPr>
          <w:i/>
        </w:rPr>
        <w:t>U</w:t>
      </w:r>
      <w:r w:rsidRPr="00590648">
        <w:rPr>
          <w:i/>
        </w:rPr>
        <w:t>t</w:t>
      </w:r>
      <w:r w:rsidRPr="00590648">
        <w:rPr>
          <w:i/>
        </w:rPr>
        <w:t>vecklingen inom den kommunala sektorn</w:t>
      </w:r>
      <w:r w:rsidRPr="00590648">
        <w:t xml:space="preserve"> jämte motioner i de delar som berör utbildningsutskottets beredningsområde. </w:t>
      </w:r>
    </w:p>
    <w:p w:rsidR="00DD69FA" w:rsidRPr="00590648" w:rsidRDefault="00DD69FA">
      <w:pPr>
        <w:pStyle w:val="Normaltindrag"/>
      </w:pPr>
      <w:r w:rsidRPr="00590648">
        <w:t xml:space="preserve">Utbildningsutskottet behandlar i det följande, mot bakgrund av relevanta delar av regeringens skrivelse, motionerna 2001/02:Fi45 (m) yrkandena </w:t>
      </w:r>
      <w:r w:rsidRPr="00590648">
        <w:br/>
        <w:t>10–12 och 2001/02:Fi48 (fp) yrka</w:t>
      </w:r>
      <w:r w:rsidRPr="00590648">
        <w:t>n</w:t>
      </w:r>
      <w:r w:rsidRPr="00590648">
        <w:t>dena 3–4.</w:t>
      </w:r>
    </w:p>
    <w:p w:rsidR="00DD69FA" w:rsidRPr="00590648" w:rsidRDefault="00DD69FA">
      <w:pPr>
        <w:pStyle w:val="R2"/>
        <w:spacing w:before="250"/>
      </w:pPr>
      <w:r w:rsidRPr="00590648">
        <w:br w:type="page"/>
        <w:t>Förskola och barnomsorg</w:t>
      </w:r>
    </w:p>
    <w:p w:rsidR="00DD69FA" w:rsidRPr="00590648" w:rsidRDefault="00DD69FA">
      <w:pPr>
        <w:pStyle w:val="R3"/>
        <w:spacing w:before="235"/>
      </w:pPr>
      <w:r w:rsidRPr="00590648">
        <w:t>Skrivelsen</w:t>
      </w:r>
    </w:p>
    <w:p w:rsidR="00DD69FA" w:rsidRPr="00590648" w:rsidRDefault="00DD69FA">
      <w:r w:rsidRPr="00590648">
        <w:t>Regeringen redogör i skrivelsen för förhållanden inom förskola och barno</w:t>
      </w:r>
      <w:r w:rsidRPr="00590648">
        <w:t>m</w:t>
      </w:r>
      <w:r w:rsidRPr="00590648">
        <w:t>sorg varvid man bl.a. redovisar att behovstäckningen inom förskolan i de flesta fall är god, även om vissa kommuner uppger att de har svårigheter med den framtida beredskapen. Regeringen pekar på att kostnaden per barn i ver</w:t>
      </w:r>
      <w:r w:rsidRPr="00590648">
        <w:t>k</w:t>
      </w:r>
      <w:r w:rsidRPr="00590648">
        <w:t>samheterna varierar stort mellan olika delar av landet. I många kommuner har man försökt styra barnens närvaro till vissa tider och minimera den totala omsorgstiden. Skilda regler i de kommunala taxesystemen har inneburit stora skillnader i barnomsorgskostnader för familjerna. Uppgifte</w:t>
      </w:r>
      <w:r w:rsidRPr="00590648">
        <w:t>rna i skrivelsen härrör från förhållandena fram till och med 2001. Regeringen framhåller att från och med 2002 infördes maxtaxa inom förskoleverksamheten och sko</w:t>
      </w:r>
      <w:r w:rsidRPr="00590648">
        <w:t>l</w:t>
      </w:r>
      <w:r w:rsidRPr="00590648">
        <w:t>barnomsorgen i alla kommuner utom två och att maxtaxan innebär ett a</w:t>
      </w:r>
      <w:r w:rsidRPr="00590648">
        <w:t>v</w:t>
      </w:r>
      <w:r w:rsidRPr="00590648">
        <w:t>giftstak i verksa</w:t>
      </w:r>
      <w:r w:rsidRPr="00590648">
        <w:t>m</w:t>
      </w:r>
      <w:r w:rsidRPr="00590648">
        <w:t>heterna.</w:t>
      </w:r>
    </w:p>
    <w:p w:rsidR="00DD69FA" w:rsidRPr="00590648" w:rsidRDefault="00DD69FA">
      <w:pPr>
        <w:pStyle w:val="R3"/>
      </w:pPr>
      <w:r w:rsidRPr="00590648">
        <w:t>Motionen</w:t>
      </w:r>
    </w:p>
    <w:p w:rsidR="00DD69FA" w:rsidRPr="00590648" w:rsidRDefault="00DD69FA">
      <w:r w:rsidRPr="00590648">
        <w:t>Moderaterna invänder i motion 2001/02:Fi45 (m) yrkande 10 mot genomf</w:t>
      </w:r>
      <w:r w:rsidRPr="00590648">
        <w:t>ö</w:t>
      </w:r>
      <w:r w:rsidRPr="00590648">
        <w:t>randet av reformen om maxtaxa. Man anser bl.a. att reformen är underfinans</w:t>
      </w:r>
      <w:r w:rsidRPr="00590648">
        <w:t>i</w:t>
      </w:r>
      <w:r w:rsidRPr="00590648">
        <w:t>erad och att den innebär att offentlig barnomsorg gynnas. En bredare reform som haft inriktningen på att ge alla barnfamiljer ökade möjligheter att välja kommunal barnomsorg, andra former av barnomsorg eller att själva söka sina lösningar, hade varit bättre. Maxtaxan gynnar ensidigt dem som efterfrågar samhälleligt finansierad barnomsorg. Moderaterna framhåller också att i och med införandet av maxtaxan begränsas eller minskar möjli</w:t>
      </w:r>
      <w:r w:rsidRPr="00590648">
        <w:t xml:space="preserve">gheten att påverka barnens vistelsetid. Effekten av reformen har blivit att barnens vistelsetid ökat och kvaliteten i barnomsorgen påverkats negativt. </w:t>
      </w:r>
    </w:p>
    <w:p w:rsidR="00DD69FA" w:rsidRPr="00590648" w:rsidRDefault="00DD69FA">
      <w:pPr>
        <w:pStyle w:val="R3"/>
      </w:pPr>
      <w:r w:rsidRPr="00590648">
        <w:t>Utskottets bedömning</w:t>
      </w:r>
    </w:p>
    <w:p w:rsidR="00DD69FA" w:rsidRPr="00590648" w:rsidRDefault="00DD69FA">
      <w:r w:rsidRPr="00590648">
        <w:t>Utskottet vill erinra om att i samband med riksdagens beslut om maxtaxans införande 2002 beslutades också om att dels avsätta 3,4 miljarder kronor för att täcka det totala kommunala intäktsbortfallet av maxtaxan, dels bereda kommunerna som inför maxtaxa möjligheten att få del av årliga medel på 500 miljoner kronor för kvalitetssäkring av verksamheten. Medlen skall användas för personalförstärkningar och kompetensutveckling av personal. Utskottet anser att det är för tidigt att uttala sig om reformens effek</w:t>
      </w:r>
      <w:r w:rsidRPr="00590648">
        <w:t>ter vad gäller antalet barn och vistelsetider. De studier som hittills genomförts ger ingen tydlig bild. Den 1 mars 2003 kommer Skolverket att presentera sin uppföljning av maxtaxan och de övriga reformerna inom barnomsorgen, dvs. förskolever</w:t>
      </w:r>
      <w:r w:rsidRPr="00590648">
        <w:t>k</w:t>
      </w:r>
      <w:r w:rsidRPr="00590648">
        <w:t>samhet för arbetslösas och föräldraledigas barn. Rapporten kommer att inn</w:t>
      </w:r>
      <w:r w:rsidRPr="00590648">
        <w:t>e</w:t>
      </w:r>
      <w:r w:rsidRPr="00590648">
        <w:t>hålla en redovisning av kvantitativa, kvalitativa och ekonomiska effekter av förändringarna inom barnomsorgen. Det är enligt utskottets uppfattning för tidigt att spekulera i fråga om konsekvense</w:t>
      </w:r>
      <w:r w:rsidRPr="00590648">
        <w:t>rna av maxtaxan. Utskottet vill också peka på tidigare behandling av maxtaxans effekter, senast i betänkande 2001/02:UbU10 (s. 16). Med hänvisning till ovanstående anser utskottet att finansutskottet bör avstyrka motionsyrka</w:t>
      </w:r>
      <w:r w:rsidRPr="00590648">
        <w:t>n</w:t>
      </w:r>
      <w:r w:rsidRPr="00590648">
        <w:t xml:space="preserve">det. </w:t>
      </w:r>
    </w:p>
    <w:p w:rsidR="00DD69FA" w:rsidRPr="00590648" w:rsidRDefault="00DD69FA">
      <w:pPr>
        <w:pStyle w:val="R2"/>
      </w:pPr>
      <w:r w:rsidRPr="00590648">
        <w:t>Skolans finansiering och resultat</w:t>
      </w:r>
    </w:p>
    <w:p w:rsidR="00DD69FA" w:rsidRPr="00590648" w:rsidRDefault="00DD69FA">
      <w:pPr>
        <w:pStyle w:val="R3"/>
        <w:spacing w:before="235"/>
      </w:pPr>
      <w:r w:rsidRPr="00590648">
        <w:t>Skrivelsen</w:t>
      </w:r>
    </w:p>
    <w:p w:rsidR="00DD69FA" w:rsidRPr="00590648" w:rsidRDefault="00DD69FA">
      <w:r w:rsidRPr="00590648">
        <w:t>I skrivelsen redovisar regeringen resultaten från grund- och gymnasieskolan vad avser andelen elever som uppnår behörighet till gymnasieskolan respekt</w:t>
      </w:r>
      <w:r w:rsidRPr="00590648">
        <w:t>i</w:t>
      </w:r>
      <w:r w:rsidRPr="00590648">
        <w:t>ve till högskolan. Andelen behöriga till gymnasieskolans nationella program av det totala antalet elever som avslutade år 9 våren 2001 är i stort sett ofö</w:t>
      </w:r>
      <w:r w:rsidRPr="00590648">
        <w:t>r</w:t>
      </w:r>
      <w:r w:rsidRPr="00590648">
        <w:t>ändrad jämfört med året innan. Däremot har andelen elever som inte uppnått målen i ett eller flera ämnen ökat något från 24,3 till 25,7 %. Våren 2001 lämnade 79,2 % av eleverna i år 3 gymnasieskolan med slutbetyg, en mins</w:t>
      </w:r>
      <w:r w:rsidRPr="00590648">
        <w:t>k</w:t>
      </w:r>
      <w:r w:rsidRPr="00590648">
        <w:t>ning med 3,5 procentenheter sedan läsåret 1999/2000. Av alla elever med slutbetyg hade 84,6 % behörighet för universitets- och högskol</w:t>
      </w:r>
      <w:r w:rsidRPr="00590648">
        <w:t>estudier, en ökning sedan föregående läsår med 4,3 procentenheter. Störst var ökningen på programmen med yrkesämnen, i genomsnitt 6,7 procentenheter. Knappt 92 % av alla elever gick på något av de 17 nationella programmen eller ett specia</w:t>
      </w:r>
      <w:r w:rsidRPr="00590648">
        <w:t>l</w:t>
      </w:r>
      <w:r w:rsidRPr="00590648">
        <w:t>utformat program. Av eleverna i år 1 gick knappt 15 % på det individuella programmet. Regeringen pekar också på Skolverkets attitydundersökning som visar att de flesta elever trivs och känner sig trygga i skolan men att alltfler elever i såväl grundskolan som gymnasieskola</w:t>
      </w:r>
      <w:r w:rsidRPr="00590648">
        <w:t xml:space="preserve">n också känner sig allt mer stressade. </w:t>
      </w:r>
    </w:p>
    <w:p w:rsidR="00DD69FA" w:rsidRPr="00590648" w:rsidRDefault="00DD69FA">
      <w:pPr>
        <w:pStyle w:val="Rubrik3"/>
        <w:rPr>
          <w:noProof w:val="0"/>
        </w:rPr>
      </w:pPr>
      <w:bookmarkStart w:id="64" w:name="_Toc10795524"/>
      <w:r w:rsidRPr="00590648">
        <w:rPr>
          <w:noProof w:val="0"/>
        </w:rPr>
        <w:t>Motioner</w:t>
      </w:r>
      <w:bookmarkEnd w:id="64"/>
    </w:p>
    <w:p w:rsidR="00DD69FA" w:rsidRPr="00590648" w:rsidRDefault="00DD69FA">
      <w:r w:rsidRPr="00590648">
        <w:t>Folkpartiet hävdar i motion 2001/02:Fi48 (fp) yrkande 3 att det behövs bet</w:t>
      </w:r>
      <w:r w:rsidRPr="00590648">
        <w:t>y</w:t>
      </w:r>
      <w:r w:rsidRPr="00590648">
        <w:t>dande förändringar av ansvarsfördelningen mellan stat och kommun när det gäller det ekonomiska ansvaret för skolan. Ett tecken på att kommunerna inte klarar av skolan är enligt Folkpartiet att hela 27 % av eleverna inte får slu</w:t>
      </w:r>
      <w:r w:rsidRPr="00590648">
        <w:t>t</w:t>
      </w:r>
      <w:r w:rsidRPr="00590648">
        <w:t>betyg på gymnasiet. Vidare har kommunaliseringen av skolan inneburit att utbildningen inte är likvärdig över landet utan skillnaderna mellan komm</w:t>
      </w:r>
      <w:r w:rsidRPr="00590648">
        <w:t>u</w:t>
      </w:r>
      <w:r w:rsidRPr="00590648">
        <w:t>nerna är stora. Folkpartiet anser att staten måste stå för finansieringen av skolan och att en nationell skolpeng skall införas. Skolpeng</w:t>
      </w:r>
      <w:r w:rsidRPr="00590648">
        <w:t>en skall utbetalas till den skola som eleven väljer och variera utifrån elevens behov och skolans förutsät</w:t>
      </w:r>
      <w:r w:rsidRPr="00590648">
        <w:t>t</w:t>
      </w:r>
      <w:r w:rsidRPr="00590648">
        <w:t xml:space="preserve">ningar. </w:t>
      </w:r>
    </w:p>
    <w:p w:rsidR="00DD69FA" w:rsidRPr="00590648" w:rsidRDefault="00DD69FA">
      <w:pPr>
        <w:pStyle w:val="Normaltindrag"/>
      </w:pPr>
      <w:r w:rsidRPr="00590648">
        <w:t>I motion 2001/02:Fi45 (m) yrkande 11 begär Moderaterna ett tillkännag</w:t>
      </w:r>
      <w:r w:rsidRPr="00590648">
        <w:t>i</w:t>
      </w:r>
      <w:r w:rsidRPr="00590648">
        <w:t>vande om kvaliteten i skolan. Enligt Moderaterna finns det anledning att känna oro inför utvecklingen i grundskolan. Andelen elever som inte uppnått målen i grundskolan har ökat mellan 2001 och 2002. I Pisa-undersökningen hamnar Sverige enligt OECD på 26 plats av 31 när det gäller ordning och reda i skolan och enligt Moderaterna är det illavarslande att elevernas arbet</w:t>
      </w:r>
      <w:r w:rsidRPr="00590648">
        <w:t>s</w:t>
      </w:r>
      <w:r w:rsidRPr="00590648">
        <w:t>miljö är så dålig. Man pekar också på att 30 % av kommunerna inte upprättat kvalitetsredovisning. Av dessa var det dessutom bara 67 % som s</w:t>
      </w:r>
      <w:r w:rsidRPr="00590648">
        <w:t>varade mot förordningens krav. Vidare hävdar Moderaterna att det från såväl regeringens sida som från politiker och tjänstemän i kommunerna finns ett motstånd mot att friskolor etablerar sig. Erfarenheterna av friskolor är dock genomgående goda och etableringen av friskolor borde tvärtom stimuleras. När en friskola etablerar sig i en kommun kan man konstatera att den kommunala skolan påverkats positivt. Moderaterna hänvisar också till skollagens regler om att likvärdiga villkor skall gälla för skolan i Sver</w:t>
      </w:r>
      <w:r w:rsidRPr="00590648">
        <w:t xml:space="preserve">ige och invänder att kostnaderna för grundskolan varierar kraftigt mellan enskilda kommuner. </w:t>
      </w:r>
    </w:p>
    <w:p w:rsidR="00DD69FA" w:rsidRPr="00590648" w:rsidRDefault="00DD69FA">
      <w:pPr>
        <w:pStyle w:val="Normaltindrag"/>
      </w:pPr>
      <w:r w:rsidRPr="00590648">
        <w:t>Moderaterna anser att det finns anledning att känna oro även när det gäller gymnasieskolan. Cirka 20 % av eleverna lämnade gymnasieskolan våren 2001 utan slutbetyg. Av de elever som fick slutbetyg från gymnasieskolan hade 84,6 % grundläggande behörighet för universitets- och högskolestudier. Ett av problemen är enligt Moderaterna den teoretisering som skett av gy</w:t>
      </w:r>
      <w:r w:rsidRPr="00590648">
        <w:t>m</w:t>
      </w:r>
      <w:r w:rsidRPr="00590648">
        <w:t>nasieskolan i och med att alla elever skall ha högskolebehörighet. Detta ut</w:t>
      </w:r>
      <w:r w:rsidRPr="00590648">
        <w:t>e</w:t>
      </w:r>
      <w:r w:rsidRPr="00590648">
        <w:t>stänger många elever med ”praktisk” begåvning samtidigt som det likriktar utvecklingen av gymnasi</w:t>
      </w:r>
      <w:r w:rsidRPr="00590648">
        <w:t>e</w:t>
      </w:r>
      <w:r w:rsidRPr="00590648">
        <w:t>skolan.</w:t>
      </w:r>
    </w:p>
    <w:p w:rsidR="00DD69FA" w:rsidRPr="00590648" w:rsidRDefault="00DD69FA">
      <w:pPr>
        <w:pStyle w:val="R3"/>
      </w:pPr>
      <w:r w:rsidRPr="00590648">
        <w:t>Utskottets bedömning</w:t>
      </w:r>
    </w:p>
    <w:p w:rsidR="00DD69FA" w:rsidRPr="00590648" w:rsidRDefault="00DD69FA">
      <w:r w:rsidRPr="00590648">
        <w:t>Utskottet anser att rådande ansvarsfördelning mellan stat, kommun och skola är adekvat. Enligt gällande styrsystem skall riksdagen främst fatta beslut om övergripande och nationella frågor. Bäst lämpade att fatta beslut som berör lokala förhållanden och enskilda skolor är de som närmast berörs, dvs. ko</w:t>
      </w:r>
      <w:r w:rsidRPr="00590648">
        <w:t>m</w:t>
      </w:r>
      <w:r w:rsidRPr="00590648">
        <w:t>munen respektive skolorna själva. När det gäller frågan om införandet av skolpeng har utskottet vid ett flertal tillfällen behandlat och avstyrkt detta. Riksdagen har varje gång avslagit yrkandena, senast i samband med behan</w:t>
      </w:r>
      <w:r w:rsidRPr="00590648">
        <w:t>d</w:t>
      </w:r>
      <w:r w:rsidRPr="00590648">
        <w:t>lingen av betänkande 2001/02:UbU10 (s. 25). Utskottet har ingen annan uppfattning nu. Införandet av en nationell skolpeng ger enligt utskottets up</w:t>
      </w:r>
      <w:r w:rsidRPr="00590648">
        <w:t>p</w:t>
      </w:r>
      <w:r w:rsidRPr="00590648">
        <w:t>fattning inte de grundläggande förutsättningarna för att kraven på en likvärdig skola av hög kvalitet för alla elever skall kunna uppfyllas</w:t>
      </w:r>
      <w:r w:rsidRPr="00590648">
        <w:t>. Resurser till sk</w:t>
      </w:r>
      <w:r w:rsidRPr="00590648">
        <w:t>o</w:t>
      </w:r>
      <w:r w:rsidRPr="00590648">
        <w:t>lans verksamhet skall enligt utskottets uppfattning fördelas med utgångspunkt i behov som enskilda elever, olika grupper av elever och skolor faktiskt har. Det är därför inte rimligt att införa en central resursfördelning. Utskottet vill, liksom vid tidigare behandling av frågan, betona att skolans verksamhet måste vara utformad så att den genom stöd och stimulans ger varje elev mö</w:t>
      </w:r>
      <w:r w:rsidRPr="00590648">
        <w:t>j</w:t>
      </w:r>
      <w:r w:rsidRPr="00590648">
        <w:t>lighet att nå målen och i övrigt utvecklas efter sina förutsät</w:t>
      </w:r>
      <w:r w:rsidRPr="00590648">
        <w:t>t</w:t>
      </w:r>
      <w:r w:rsidRPr="00590648">
        <w:t>ningar.</w:t>
      </w:r>
    </w:p>
    <w:p w:rsidR="00DD69FA" w:rsidRPr="00590648" w:rsidRDefault="00DD69FA">
      <w:pPr>
        <w:pStyle w:val="Normaltindrag"/>
      </w:pPr>
      <w:r w:rsidRPr="00590648">
        <w:t xml:space="preserve">När det gäller skolans resultat vill </w:t>
      </w:r>
      <w:r w:rsidRPr="00590648">
        <w:t>utskottet inledningsvis framhålla att el</w:t>
      </w:r>
      <w:r w:rsidRPr="00590648">
        <w:t>e</w:t>
      </w:r>
      <w:r w:rsidRPr="00590648">
        <w:t>vernas kunskaper måste stå i centrum i skolans verksamhet. Det är inte a</w:t>
      </w:r>
      <w:r w:rsidRPr="00590648">
        <w:t>c</w:t>
      </w:r>
      <w:r w:rsidRPr="00590648">
        <w:t>ceptabelt att så många elever inte når målen. Utskottet konstaterar dock att många insatser nu görs för att uppnå en ökad måluppfyllelse. Genom riksd</w:t>
      </w:r>
      <w:r w:rsidRPr="00590648">
        <w:t>a</w:t>
      </w:r>
      <w:r w:rsidRPr="00590648">
        <w:t>gens beslut (bet. 2000/01:UbU1, s. 41–42) om bidrag till personalförstär</w:t>
      </w:r>
      <w:r w:rsidRPr="00590648">
        <w:t>k</w:t>
      </w:r>
      <w:r w:rsidRPr="00590648">
        <w:t>ningar i skola och fritidshem pågår sedan hösten 2001 en stor ekonomisk satsning på skolan. Under en femårsperiod ökar resurserna med sammanlagt 17,5 miljarder. Skolverket har</w:t>
      </w:r>
      <w:r w:rsidRPr="00590648">
        <w:t xml:space="preserve"> en viktig uppgift tillsammans med kommune</w:t>
      </w:r>
      <w:r w:rsidRPr="00590648">
        <w:t>r</w:t>
      </w:r>
      <w:r w:rsidRPr="00590648">
        <w:t xml:space="preserve">na att förstärka kvalitetsarbetet så att måluppfyllelsen kan förbättras. Utskottet vill betona lärarnas roll i genomförandet av en skola med höjd kvalitet. Den nya lärarutbildningen ger bl.a. en starkare anknytning till forskningen inom det utbildningsvetenskapliga området. </w:t>
      </w:r>
    </w:p>
    <w:p w:rsidR="00DD69FA" w:rsidRPr="00590648" w:rsidRDefault="00DD69FA">
      <w:pPr>
        <w:pStyle w:val="Normaltindrag"/>
      </w:pPr>
      <w:r w:rsidRPr="00590648">
        <w:t>Vad gäller högskolebehörighet som mål för gymnasieskolan och frågan om praktisk och teoretisk inriktning av gymnasieskolan, hänvisar utskottet till det pågående arbetet i Gymnasiekommittén (dir</w:t>
      </w:r>
      <w:r w:rsidRPr="00590648">
        <w:t>. 2000:35). Kommittén skall redovisa sitt uppdrag senast den 16 december 2002. Utskottet hänvisar också till tidigare behan</w:t>
      </w:r>
      <w:r w:rsidRPr="00590648">
        <w:t>d</w:t>
      </w:r>
      <w:r w:rsidRPr="00590648">
        <w:t xml:space="preserve">ling av denna fråga i betänkande 2001/02:UbU9 (s. 12). </w:t>
      </w:r>
    </w:p>
    <w:p w:rsidR="00DD69FA" w:rsidRPr="00590648" w:rsidRDefault="00DD69FA">
      <w:pPr>
        <w:pStyle w:val="Normaltindrag"/>
      </w:pPr>
      <w:r w:rsidRPr="00590648">
        <w:t>Även frågan om elevernas arbetsmiljö har behandlats under innevarande riksmöte (bet. 2001/02:UbU6, s. 7–9). I betänkandet understryker utskottet att en god arbetsmiljö i skolan är en viktig förutsättning för elevernas lärande och deras psykiska och fysiska hälsa. Utskottet avstyrkte dock ett antal yrkanden som rörde arbetsmiljön m</w:t>
      </w:r>
      <w:r w:rsidRPr="00590648">
        <w:t>ed hänvisning till dels att regeringen har för avsikt att initiera en översyn av arbetsmiljölagen, dels att Skollagskommittén har i uppdrag att se över frågor om arbetsmiljön (dir. 1999:15). Kommittén skall redovisa sitt arbete senast den 16 december 2002. Utskottet har ingen annan uppfattning nu.</w:t>
      </w:r>
    </w:p>
    <w:p w:rsidR="00DD69FA" w:rsidRPr="00590648" w:rsidRDefault="00DD69FA">
      <w:pPr>
        <w:pStyle w:val="Normaltindrag"/>
        <w:rPr>
          <w:i/>
        </w:rPr>
      </w:pPr>
      <w:r w:rsidRPr="00590648">
        <w:t xml:space="preserve">Utskottet vill slutligen hänvisa till betänkande 2001/02:UbU7 (s. 13) när det gäller friskolornas ställning. Utskottet framhöll där att en grundläggande förutsättning när det gäller att skapa en skola för alla är </w:t>
      </w:r>
      <w:r w:rsidRPr="00590648">
        <w:t>att villkoren för friskolor och offentliga skolor görs rättvisa och likvärdiga. Riksdagens beslut med anledning av detta betänkande innebar förtydliganden av regelsystemet i enlighet härmed.</w:t>
      </w:r>
    </w:p>
    <w:p w:rsidR="00DD69FA" w:rsidRPr="00590648" w:rsidRDefault="00DD69FA">
      <w:pPr>
        <w:pStyle w:val="Normaltindrag"/>
      </w:pPr>
      <w:r w:rsidRPr="00590648">
        <w:t>Med hänvisning till ovanstående anser utskottet att finansutskottet bör a</w:t>
      </w:r>
      <w:r w:rsidRPr="00590648">
        <w:t>v</w:t>
      </w:r>
      <w:r w:rsidRPr="00590648">
        <w:t>styrka motionsyrka</w:t>
      </w:r>
      <w:r w:rsidRPr="00590648">
        <w:t>n</w:t>
      </w:r>
      <w:r w:rsidRPr="00590648">
        <w:t xml:space="preserve">dena. </w:t>
      </w:r>
    </w:p>
    <w:p w:rsidR="00DD69FA" w:rsidRPr="00590648" w:rsidRDefault="00DD69FA">
      <w:pPr>
        <w:pStyle w:val="R2"/>
      </w:pPr>
      <w:r w:rsidRPr="00590648">
        <w:t>Information om droger</w:t>
      </w:r>
    </w:p>
    <w:p w:rsidR="00DD69FA" w:rsidRPr="00590648" w:rsidRDefault="00DD69FA">
      <w:pPr>
        <w:pStyle w:val="R3"/>
        <w:spacing w:before="235"/>
      </w:pPr>
      <w:r w:rsidRPr="00590648">
        <w:t>Motionen</w:t>
      </w:r>
    </w:p>
    <w:p w:rsidR="00DD69FA" w:rsidRPr="00590648" w:rsidRDefault="00DD69FA">
      <w:r w:rsidRPr="00590648">
        <w:t>Folkpartiet framhåller i motion 2001/02:Fi48 (fp) yrkande 4 att det är bety</w:t>
      </w:r>
      <w:r w:rsidRPr="00590648">
        <w:t>d</w:t>
      </w:r>
      <w:r w:rsidRPr="00590648">
        <w:t>ligt lättare att få tag på narkotika i dag än vad fallet var för fem–tio år sedan. Eftersom drogmissbruket och alkoholkonsumtionen tilltar är det oroväckande när alltfler barn inte längre får någon information om alkohol. Detta kan enligt Folkpartiet bidra till en förvärrad situationen även inom den komm</w:t>
      </w:r>
      <w:r w:rsidRPr="00590648">
        <w:t>u</w:t>
      </w:r>
      <w:r w:rsidRPr="00590648">
        <w:t>nala sektorn under kommande år. Samtliga elever i mellanstadiet måste få droginformation, men även andra bör komma i fråga. Varje skola bör därför, i samarbete med föräldrar, socialtjänst och polis, ålägga</w:t>
      </w:r>
      <w:r w:rsidRPr="00590648">
        <w:t>s att införa en drogpol</w:t>
      </w:r>
      <w:r w:rsidRPr="00590648">
        <w:t>i</w:t>
      </w:r>
      <w:r w:rsidRPr="00590648">
        <w:t>cy i syfte att upptäcka och åtgärda narkotikamissbruk.</w:t>
      </w:r>
    </w:p>
    <w:p w:rsidR="00DD69FA" w:rsidRPr="00590648" w:rsidRDefault="00DD69FA">
      <w:pPr>
        <w:pStyle w:val="R3"/>
      </w:pPr>
      <w:r w:rsidRPr="00590648">
        <w:t>Utskottets bedömning</w:t>
      </w:r>
    </w:p>
    <w:p w:rsidR="00DD69FA" w:rsidRPr="00590648" w:rsidRDefault="00DD69FA">
      <w:r w:rsidRPr="00590648">
        <w:t>Utskottet har nyligen behandlat motioner rörande skolans ansvar för ANT-information (bet. 2001/02:UbU10, s. 49–51). Utskottet underströk då skolans viktiga roll när det gäller sådan information. Vidare hänvisade utskottet till läroplanen för det obligatoriska skolväsendet m.m. (Lpo 94) där det anges att rektor har ett särskilt ansvar för att ämnesövergripande kunskapsområden integreras i undervisningen. Sådana områden är exempelvis riskerna med tobak, alkohol och andra droger. Vidare hänvisades till pågåen</w:t>
      </w:r>
      <w:r w:rsidRPr="00590648">
        <w:t>de arbete med att förbättra ANT-undervisningen i skolan. Utskottet gör ingen annan bedö</w:t>
      </w:r>
      <w:r w:rsidRPr="00590648">
        <w:t>m</w:t>
      </w:r>
      <w:r w:rsidRPr="00590648">
        <w:t>ning i frågan nu. Med hänvisning till ovanstående anser utskottet att finansu</w:t>
      </w:r>
      <w:r w:rsidRPr="00590648">
        <w:t>t</w:t>
      </w:r>
      <w:r w:rsidRPr="00590648">
        <w:t>skottet bör avstyrka motionsyrka</w:t>
      </w:r>
      <w:r w:rsidRPr="00590648">
        <w:t>n</w:t>
      </w:r>
      <w:r w:rsidRPr="00590648">
        <w:t xml:space="preserve">det. </w:t>
      </w:r>
    </w:p>
    <w:p w:rsidR="00DD69FA" w:rsidRPr="00590648" w:rsidRDefault="00DD69FA">
      <w:pPr>
        <w:pStyle w:val="R2"/>
      </w:pPr>
      <w:r w:rsidRPr="00590648">
        <w:t>Utbildning och integration</w:t>
      </w:r>
    </w:p>
    <w:p w:rsidR="00DD69FA" w:rsidRPr="00590648" w:rsidRDefault="00DD69FA">
      <w:pPr>
        <w:pStyle w:val="R3"/>
        <w:spacing w:before="235"/>
      </w:pPr>
      <w:r w:rsidRPr="00590648">
        <w:t>Skrivelsen</w:t>
      </w:r>
    </w:p>
    <w:p w:rsidR="00DD69FA" w:rsidRPr="00590648" w:rsidRDefault="00DD69FA">
      <w:r w:rsidRPr="00590648">
        <w:t>Regeringen redovisar i skrivelsen att de flesta kommuner anordnar svenska för invandrare (sfi) i egen regi, oftast i anslutning till den kommunala vuxe</w:t>
      </w:r>
      <w:r w:rsidRPr="00590648">
        <w:t>n</w:t>
      </w:r>
      <w:r w:rsidRPr="00590648">
        <w:t>utbildningen. Andelen kommuner som lägger ut verksamheten på annan anordnare, t.ex. folkhögskola eller studieförbund, fortsätter att öka svagt. Skolverket har fått i uppdrag att utarbeta förslag till nya kursplaner för sfi samt stödja projekt rörande nya samarbetsformer mellan sfi och andra aktörer inom verksamheten för integration av invandrare. Skolverket skall vidare, i samråd med Högskoleverket och Svenska kommunförbundet, undersöka hur sfi för högutbildade invandrare kan anordnas i högskolemiljö. Rege</w:t>
      </w:r>
      <w:r w:rsidRPr="00590648">
        <w:t>ringen redovisar också studieresultaten från sfi. Av dem som påbörjade sina studier läsåret 1998/99 hade 37 % avslutat sina studier genom att uppnå den s.k. sfi-nivån läsåret 2000/01, 6 % avslutat utbildningen utan sfi, 46 % avbrutit u</w:t>
      </w:r>
      <w:r w:rsidRPr="00590648">
        <w:t>t</w:t>
      </w:r>
      <w:r w:rsidRPr="00590648">
        <w:t>bildningen och 10 % fortsatt sina studier.</w:t>
      </w:r>
    </w:p>
    <w:p w:rsidR="00DD69FA" w:rsidRPr="00590648" w:rsidRDefault="00DD69FA">
      <w:pPr>
        <w:pStyle w:val="R3"/>
      </w:pPr>
      <w:r w:rsidRPr="00590648">
        <w:t>Motionen</w:t>
      </w:r>
    </w:p>
    <w:p w:rsidR="00DD69FA" w:rsidRPr="00590648" w:rsidRDefault="00DD69FA">
      <w:r w:rsidRPr="00590648">
        <w:t>I motion 2001/02:Fi45 (m) yrkande 12 framhåller Moderaterna att språket är avgörande och en av hörnpelarna för samhällsaktivitet och sociala relationer. I stället för dagens sfi bör enligt Moderaterna ett checksystem införas. Genom ett sådant system ges individen makt och möjlighet att, utifrån sina egna behov, hitta en utbildning som passar. Vidare anser man att Sverige måste bättre ta tillvara kunskaper och utbildning som invandrade personer har med sig. Valfriheten måste öka i kombination med en resursö</w:t>
      </w:r>
      <w:r w:rsidRPr="00590648">
        <w:t>verföring direkt riktad mot utsatta grupper genom en individuell kompetensutvecklingspeng. På så vis kan individen själv efterfråga de tjänster som han eller hon anser sig behöva.</w:t>
      </w:r>
    </w:p>
    <w:p w:rsidR="00DD69FA" w:rsidRPr="00590648" w:rsidRDefault="00DD69FA">
      <w:pPr>
        <w:pStyle w:val="R3"/>
      </w:pPr>
      <w:r w:rsidRPr="00590648">
        <w:t>Utskottets bedömning</w:t>
      </w:r>
    </w:p>
    <w:p w:rsidR="00DD69FA" w:rsidRPr="00590648" w:rsidRDefault="00DD69FA">
      <w:r w:rsidRPr="00590648">
        <w:t>Utskottet har vid ett flertal tillfällen behandlat frågan om införandet av s.k. sfi-check, senast i betänkande 2001/02:UbU10 (s. 57) och i ett yttrande över regeringens skrivelse om integrationspolitiken (2001/02:UbU2y, s. 3). U</w:t>
      </w:r>
      <w:r w:rsidRPr="00590648">
        <w:t>t</w:t>
      </w:r>
      <w:r w:rsidRPr="00590648">
        <w:t>skottet avstyrkte då införandet av en sfi-check. Riksdagen beslutade i enlighet med utskottets förslag. Utskottet finner ingen anledning att nu ändra uppfat</w:t>
      </w:r>
      <w:r w:rsidRPr="00590648">
        <w:t>t</w:t>
      </w:r>
      <w:r w:rsidRPr="00590648">
        <w:t xml:space="preserve">ning. </w:t>
      </w:r>
    </w:p>
    <w:p w:rsidR="00DD69FA" w:rsidRPr="00590648" w:rsidRDefault="00DD69FA">
      <w:pPr>
        <w:pStyle w:val="Normaltindrag"/>
      </w:pPr>
      <w:r w:rsidRPr="00590648">
        <w:t>Vad gäller frågan om att tillvarata invandrade personers kunskaper och u</w:t>
      </w:r>
      <w:r w:rsidRPr="00590648">
        <w:t>t</w:t>
      </w:r>
      <w:r w:rsidRPr="00590648">
        <w:t>bildning har denna fråga också nyligen behandlats av utskottet (2001/02:UbU2y, s. 7–8). Utskottet framhöll då betydelsen av ett väl fung</w:t>
      </w:r>
      <w:r w:rsidRPr="00590648">
        <w:t>e</w:t>
      </w:r>
      <w:r w:rsidRPr="00590648">
        <w:t>rande system för validering av utbildning och andra kunskaper. Utskottet pekade på den validering av utbildningar som görs av bl.a. Högskoleverket. Vad gäller validering av yrkeskunskaper hänvisade utskottet till att regeringen har för avsikt att presentera en proposition i denna fråga under riksmötet 2002/03. Utskottet ser ingen anledning att nu ändra sitt ställningstaga</w:t>
      </w:r>
      <w:r w:rsidRPr="00590648">
        <w:t>nde. Med hänvisning till ovanstående anser utskottet att finansutskottet bör avsty</w:t>
      </w:r>
      <w:r w:rsidRPr="00590648">
        <w:t>r</w:t>
      </w:r>
      <w:r w:rsidRPr="00590648">
        <w:t>ka motionsyrka</w:t>
      </w:r>
      <w:r w:rsidRPr="00590648">
        <w:t>n</w:t>
      </w:r>
      <w:r w:rsidRPr="00590648">
        <w:t xml:space="preserve">det. </w:t>
      </w:r>
    </w:p>
    <w:p w:rsidR="00DD69FA" w:rsidRPr="00590648" w:rsidRDefault="00DD69FA"/>
    <w:p w:rsidR="00DD69FA" w:rsidRPr="00590648" w:rsidRDefault="00DD69FA"/>
    <w:p w:rsidR="00DD69FA" w:rsidRPr="00590648" w:rsidRDefault="00DD69FA">
      <w:pPr>
        <w:pStyle w:val="Normaltindrag"/>
      </w:pPr>
    </w:p>
    <w:p w:rsidR="00DD69FA" w:rsidRPr="00590648" w:rsidRDefault="00DD69FA">
      <w:pPr>
        <w:pStyle w:val="OrtochDatum"/>
      </w:pPr>
      <w:r w:rsidRPr="00590648">
        <w:t xml:space="preserve">Stockholm den 16 maj 2002 </w:t>
      </w:r>
    </w:p>
    <w:p w:rsidR="00DD69FA" w:rsidRPr="00590648" w:rsidRDefault="00DD69FA">
      <w:pPr>
        <w:pStyle w:val="Pxx-utskottetsvgnar"/>
      </w:pPr>
      <w:r w:rsidRPr="00590648">
        <w:t>På utbildningsutskottets vägnar</w:t>
      </w:r>
    </w:p>
    <w:p w:rsidR="00DD69FA" w:rsidRPr="00590648" w:rsidRDefault="00DD69FA">
      <w:pPr>
        <w:pStyle w:val="Ordfranden"/>
        <w:rPr>
          <w:noProof w:val="0"/>
        </w:rPr>
      </w:pPr>
      <w:r w:rsidRPr="00590648">
        <w:rPr>
          <w:noProof w:val="0"/>
        </w:rPr>
        <w:t>Jan Björkman</w:t>
      </w:r>
    </w:p>
    <w:p w:rsidR="00DD69FA" w:rsidRPr="00590648" w:rsidRDefault="00DD69FA">
      <w:pPr>
        <w:pStyle w:val="Deltagare"/>
        <w:rPr>
          <w:noProof w:val="0"/>
        </w:rPr>
      </w:pPr>
      <w:r w:rsidRPr="00590648">
        <w:rPr>
          <w:noProof w:val="0"/>
        </w:rPr>
        <w:t xml:space="preserve">Följande ledamöter har deltagit i beslutet: Jan Björkman (s), Britt-Marie Danestig (v), Beatrice Ask (m), Yvonne Andersson (kd), Majléne Westerlund Panke (s), Per Bill (m), Torgny Danielsson (s), Tomas Eneroth (s), Lennart Gustavsson (v), Erling Wälivaara (kd), Catharina Elmsäter-Svärd (m), Gunnar Goude (mp), Ulf Nilsson (fp), Agneta Lundberg (s), Anders Sjölund (m) och Nils-Erik Söderqvist (s). </w:t>
      </w:r>
    </w:p>
    <w:p w:rsidR="00DD69FA" w:rsidRPr="00590648" w:rsidRDefault="00DD69FA">
      <w:pPr>
        <w:pStyle w:val="Normaltindrag"/>
      </w:pPr>
    </w:p>
    <w:p w:rsidR="00DD69FA" w:rsidRPr="00590648" w:rsidRDefault="00DD69FA">
      <w:pPr>
        <w:pStyle w:val="R1"/>
      </w:pPr>
      <w:r w:rsidRPr="00590648">
        <w:br w:type="page"/>
      </w:r>
      <w:bookmarkStart w:id="65" w:name="_Toc7235606"/>
      <w:r w:rsidRPr="00590648">
        <w:t>Avvikande mening</w:t>
      </w:r>
      <w:bookmarkEnd w:id="65"/>
      <w:r w:rsidRPr="00590648">
        <w:t>ar</w:t>
      </w:r>
    </w:p>
    <w:p w:rsidR="00DD69FA" w:rsidRPr="00590648" w:rsidRDefault="00DD69FA">
      <w:pPr>
        <w:pStyle w:val="R2"/>
        <w:spacing w:before="0"/>
      </w:pPr>
      <w:r w:rsidRPr="00590648">
        <w:t>1. Förskola och barnomsorg</w:t>
      </w:r>
    </w:p>
    <w:p w:rsidR="00DD69FA" w:rsidRPr="00590648" w:rsidRDefault="00DD69FA">
      <w:pPr>
        <w:pStyle w:val="Reservanter"/>
      </w:pPr>
      <w:r w:rsidRPr="00590648">
        <w:t>av Beatrice Ask (m), Per Bill (m), Catharina Elmsäter-Svärd (m) och Anders Sjölund (m).</w:t>
      </w:r>
    </w:p>
    <w:p w:rsidR="00DD69FA" w:rsidRPr="00590648" w:rsidRDefault="00DD69FA">
      <w:r w:rsidRPr="00590648">
        <w:t>Moderaterna anser att reformen om maxtaxa är underfinansierad. Maxtaxans införande innebär också att offentlig barnomsorg gynnas varvid många av de alternativa driftformerna inom barnomsorgen med egna avgiftssystem och mycket eget arbete missgynnas. Det hade varit bättre med en bredare reform som hade haft inriktningen att ge alla barnfamiljer ökade möjligheter att välja kommunal barnomsorg, andra former av barnomsorg eller att själva söka sina lösningar. I och med införandet av maxtaxan begränsas eller mi</w:t>
      </w:r>
      <w:r w:rsidRPr="00590648">
        <w:t>nskar dessu</w:t>
      </w:r>
      <w:r w:rsidRPr="00590648">
        <w:t>t</w:t>
      </w:r>
      <w:r w:rsidRPr="00590648">
        <w:t xml:space="preserve">om möjligheten för kommunerna att påverka t.ex. barnens vistelsetid inom barnomsorgen. Effekten av maxtaxan har redan blivit att barnens vistelsetid ökat och kvaliteten i barnomsorgen har påverkats negativt. Riksdagen bör således bifalla motion 2001/02:Fi45 yrkande 10. </w:t>
      </w:r>
    </w:p>
    <w:p w:rsidR="00DD69FA" w:rsidRPr="00590648" w:rsidRDefault="00DD69FA">
      <w:pPr>
        <w:pStyle w:val="R2"/>
      </w:pPr>
      <w:r w:rsidRPr="00590648">
        <w:t>2. Skolans finansiering och resultat</w:t>
      </w:r>
    </w:p>
    <w:p w:rsidR="00DD69FA" w:rsidRPr="00590648" w:rsidRDefault="00DD69FA">
      <w:pPr>
        <w:pStyle w:val="Reservanter"/>
      </w:pPr>
      <w:r w:rsidRPr="00590648">
        <w:t>av Beatrice Ask (m), Per Bill (m), Catharina Elmsäter-Svärd (m), Ulf Nilsson (fp) och Anders Sjölund (m).</w:t>
      </w:r>
    </w:p>
    <w:p w:rsidR="00DD69FA" w:rsidRPr="00590648" w:rsidRDefault="00DD69FA">
      <w:r w:rsidRPr="00590648">
        <w:t>Moderaterna och Folkpartiet anser att en betydande förändring av ansvarsfö</w:t>
      </w:r>
      <w:r w:rsidRPr="00590648">
        <w:t>r</w:t>
      </w:r>
      <w:r w:rsidRPr="00590648">
        <w:t>delningen mellan stat och kommun bör ske på skolans område. Andelen el</w:t>
      </w:r>
      <w:r w:rsidRPr="00590648">
        <w:t>e</w:t>
      </w:r>
      <w:r w:rsidRPr="00590648">
        <w:t xml:space="preserve">ver som inte uppnår målen för grundskolan har ökat till 26 % och andelen som inte får slutbetyg från gymnasiet har ökat till 21 %. Enligt Skolverkets senaste siffror är det ännu högre – hela 27 % av eleverna får inte slutbetyg. Vi har av detta dragit slutsatsen att kommunerna inte klarar skolan. Utbildningen är inte heller likvärdig över landet. Skolverket visar att det är stora skillnader mellan kommunerna. Staten måste därför stå för </w:t>
      </w:r>
      <w:r w:rsidRPr="00590648">
        <w:t>finansieringen av skolan så att alla skolor ges lika möjlighet att klara av sitt uppdrag. En nationell sko</w:t>
      </w:r>
      <w:r w:rsidRPr="00590648">
        <w:t>l</w:t>
      </w:r>
      <w:r w:rsidRPr="00590648">
        <w:t>peng bör införas som innebär att en peng betalas ut till den skola som eleven själv väljer. Pengen skall variera utifrån elevens behov och skolans förutsät</w:t>
      </w:r>
      <w:r w:rsidRPr="00590648">
        <w:t>t</w:t>
      </w:r>
      <w:r w:rsidRPr="00590648">
        <w:t>ningar. Riksdagen bör således bifalla motion 2001/02:Fi48 yrkande 3.</w:t>
      </w:r>
    </w:p>
    <w:p w:rsidR="00DD69FA" w:rsidRPr="00590648" w:rsidRDefault="00DD69FA">
      <w:pPr>
        <w:pStyle w:val="Normaltindrag"/>
      </w:pPr>
      <w:r w:rsidRPr="00590648">
        <w:t>Moderaterna och Folkpartiet anser att finns anledning att känna oro för u</w:t>
      </w:r>
      <w:r w:rsidRPr="00590648">
        <w:t>t</w:t>
      </w:r>
      <w:r w:rsidRPr="00590648">
        <w:t>vecklingen i grundskolan. Det är nödvändigt med en serie reformer i syfte att förbättra grundskolans resultat. Andelen elever i grundskolan som inte up</w:t>
      </w:r>
      <w:r w:rsidRPr="00590648">
        <w:t>p</w:t>
      </w:r>
      <w:r w:rsidRPr="00590648">
        <w:t>nått målen i ett eller flera ämnen har ökat från 24,3 % våren 2000 till 25,7 % våren 2001. Regeringen framhåller att Sverige enligt OECD:s Pisa-undersökning hävdar sig väl i jämförelse med andra nationer när det gäller läsförståelse, matematik och naturvetenskapligt kunnande. Att Sverige ha</w:t>
      </w:r>
      <w:r w:rsidRPr="00590648">
        <w:t>m</w:t>
      </w:r>
      <w:r w:rsidRPr="00590648">
        <w:t>nar på plats 26 av 31 när det gäller ordning och reda i skolan välj</w:t>
      </w:r>
      <w:r w:rsidRPr="00590648">
        <w:t>er regeringen dock att förbigå med tystnad. Det är mycket illavarslande att arbetsmiljön i skolan är så dålig. Vidare har 30 % av kommunerna inte upprättat kvalitetsr</w:t>
      </w:r>
      <w:r w:rsidRPr="00590648">
        <w:t>e</w:t>
      </w:r>
      <w:r w:rsidRPr="00590648">
        <w:t xml:space="preserve">dovisning för år 2000. Av dessa 207 redovisningar var det dessutom bara 67 % som svarade mot förordningens krav. </w:t>
      </w:r>
    </w:p>
    <w:p w:rsidR="00DD69FA" w:rsidRPr="00590648" w:rsidRDefault="00DD69FA">
      <w:pPr>
        <w:pStyle w:val="Normaltindrag"/>
      </w:pPr>
      <w:r w:rsidRPr="00590648">
        <w:t xml:space="preserve">Vi hävdar också att det finns ett motstånd mot att friskolor etableras, inte minst hos regeringen. Motståndet är också stort i många kommuner, såväl bland politiskt förtroendevalda som bland tjänstemän. Erfarenheterna av friskolor </w:t>
      </w:r>
      <w:r w:rsidRPr="00590648">
        <w:t>är dock genomgående goda. Inte minst det faktum att när en friskola etablerar sig i en kommun har man kunnat konstatera att den kommunala skolan påverkats positivt. Detta borde leda till att utvecklingen mot fler friskolor stimuleras och inte motarbetas som i dag. Vi vill också peka på skollagens regler att likvärdiga villkor skall gälla för skolan i Sverige. Samt</w:t>
      </w:r>
      <w:r w:rsidRPr="00590648">
        <w:t>i</w:t>
      </w:r>
      <w:r w:rsidRPr="00590648">
        <w:t>digt varierar kostnaderna kraftigt för grundskolan mellan enskilda kommuner. Till en del kan variationerna förklaras av olikheter i investeringar</w:t>
      </w:r>
      <w:r w:rsidRPr="00590648">
        <w:t>, sociala faktorer, åldersstrukturer, geografiska faktorer, kommunernas storlek m.m. Enligt vår mening finns också orsakerna att söka bland annat i vilka priorit</w:t>
      </w:r>
      <w:r w:rsidRPr="00590648">
        <w:t>e</w:t>
      </w:r>
      <w:r w:rsidRPr="00590648">
        <w:t>ringar som gjorts, fastighetsbolag på obestånd, höga administrativa kostnader och dåligt kommunalpolitiskt ledarskap, politisk detaljstyrning, brist på up</w:t>
      </w:r>
      <w:r w:rsidRPr="00590648">
        <w:t>p</w:t>
      </w:r>
      <w:r w:rsidRPr="00590648">
        <w:t>handling samt dålig ekonomi i kommune</w:t>
      </w:r>
      <w:r w:rsidRPr="00590648">
        <w:t>r</w:t>
      </w:r>
      <w:r w:rsidRPr="00590648">
        <w:t xml:space="preserve">na. </w:t>
      </w:r>
    </w:p>
    <w:p w:rsidR="00DD69FA" w:rsidRPr="00590648" w:rsidRDefault="00DD69FA">
      <w:pPr>
        <w:pStyle w:val="Normaltindrag"/>
      </w:pPr>
      <w:r w:rsidRPr="00590648">
        <w:t>Moderaterna och Folkpartiet anser också att situationen i gymnasieskolan ger anledning till oro. Cirka 20 % av eleverna lämnade gymnasieskolan våren 200</w:t>
      </w:r>
      <w:r w:rsidRPr="00590648">
        <w:t>1 utan slutbetyg. Av de elever som fick slutbetyg från gymnasieskolan hade 84,6 % grundläggande behörighet för universitets- och högskolestudier. Vi vill också peka på att det individuella programmet i dag är det tredje största ”programmet”, vilket är oroande och visar att skolan inte klarar av en viktig del av sin uppgift. Ett av problemen är den teoretisering som skett av gymnasieskolan i och med att målet är att alla elever skall ha högskolebeh</w:t>
      </w:r>
      <w:r w:rsidRPr="00590648">
        <w:t>ö</w:t>
      </w:r>
      <w:r w:rsidRPr="00590648">
        <w:t>righet. Det utestänger många elever med ”praktisk” begåvning</w:t>
      </w:r>
      <w:r w:rsidRPr="00590648">
        <w:t xml:space="preserve"> samtidigt som det likriktar utvecklingen i gymnasieskolan. Riksdagen bör således bifalla motion 2001/02:Fi45 yrkande 11.</w:t>
      </w:r>
    </w:p>
    <w:p w:rsidR="00DD69FA" w:rsidRPr="00590648" w:rsidRDefault="00DD69FA">
      <w:pPr>
        <w:pStyle w:val="R2"/>
      </w:pPr>
      <w:r w:rsidRPr="00590648">
        <w:t>3. Information om droger</w:t>
      </w:r>
    </w:p>
    <w:p w:rsidR="00DD69FA" w:rsidRPr="00590648" w:rsidRDefault="00DD69FA">
      <w:pPr>
        <w:pStyle w:val="Reservanter"/>
      </w:pPr>
      <w:r w:rsidRPr="00590648">
        <w:t>av Ulf Nilsson (fp).</w:t>
      </w:r>
    </w:p>
    <w:p w:rsidR="00DD69FA" w:rsidRPr="00590648" w:rsidRDefault="00DD69FA">
      <w:r w:rsidRPr="00590648">
        <w:t>Folkpartiet vill peka på att drogmissbruket och alkoholkonsumtionen tilltar. I dag är det betydligt lättare för unga att få tag i narkotika än vad fallet var för fem år sedan. Därför anser jag att det är oroväckande när barn inte längre får någon information om alkohol och narkotika. Detta kan bidra till en förvärrad situation även inom den kommunala sektorn under kommande år. Utvec</w:t>
      </w:r>
      <w:r w:rsidRPr="00590648">
        <w:t>k</w:t>
      </w:r>
      <w:r w:rsidRPr="00590648">
        <w:t>lingen måste vändas och varje elev har rätt att gå i en drogfri skola. Samtliga elever i mellanstadiet måste få droginformation. Även andra ålderskategorier bör dock också komma i fråga för informationsinsatser och alla skolor bör därför åläggas att, i samarbete med föräldrar, socialtjänst och polis, införa en drogpolicy i syfte att upptäcka och åtgärda narkotikamissbruk. Riksdagen bör således bifalla motion 2001/02:Fi48 yrkande 4.</w:t>
      </w:r>
    </w:p>
    <w:p w:rsidR="00DD69FA" w:rsidRPr="00590648" w:rsidRDefault="00DD69FA">
      <w:pPr>
        <w:pStyle w:val="R2"/>
      </w:pPr>
      <w:r w:rsidRPr="00590648">
        <w:t>4. Utbildning och integration</w:t>
      </w:r>
    </w:p>
    <w:p w:rsidR="00DD69FA" w:rsidRPr="00590648" w:rsidRDefault="00DD69FA">
      <w:pPr>
        <w:pStyle w:val="Reservanter"/>
      </w:pPr>
      <w:r w:rsidRPr="00590648">
        <w:t xml:space="preserve">av Beatrice Ask (m), Per Bill (m), Catharina Elmsäter-Svärd (m), Ulf Nilsson (fp) och Anders Sjölund (m). </w:t>
      </w:r>
    </w:p>
    <w:p w:rsidR="00DD69FA" w:rsidRPr="00590648" w:rsidRDefault="00DD69FA">
      <w:r w:rsidRPr="00590648">
        <w:t>Moderaterna och Folkpartiet hävdar att språket är avgörande och en av hör</w:t>
      </w:r>
      <w:r w:rsidRPr="00590648">
        <w:t>n</w:t>
      </w:r>
      <w:r w:rsidRPr="00590648">
        <w:t>pelarna för samhällsaktivitet och sociala relationer. I stället för dagens svenskundervisning för invandrare bör ett checksystem införas vilket innebär att betalningen följer elevens val och där olika utbildningsanordnare kan verka. Dagens svenskundervisning för invandrare måste bygga på ett indiv</w:t>
      </w:r>
      <w:r w:rsidRPr="00590648">
        <w:t>i</w:t>
      </w:r>
      <w:r w:rsidRPr="00590648">
        <w:t>dualiserat synsätt, då invandrares skiftande bakgrund och förutsättningar varierar starkt. Genom ett sådant system ges individen makt och möjlighet att, utifrån sina egna behov, hitta en utbildning som passar. Vi</w:t>
      </w:r>
      <w:r w:rsidRPr="00590648">
        <w:t xml:space="preserve"> anser också att Sverige bättre måste ta tillvara kunskaper och utbildning som invandrade personer har med sig. Nya vägar måste prövas och valfriheten måste öka i kombination med en resursöverföring direkt riktad mot utsatta grupper genom en individuell kompetensutvecklingspeng. På så vis kan individen själv efte</w:t>
      </w:r>
      <w:r w:rsidRPr="00590648">
        <w:t>r</w:t>
      </w:r>
      <w:r w:rsidRPr="00590648">
        <w:t>fråga de tjänster som han eller hon anser sig behöva. Riksdagen bör således bifalla motion 2001/02:Fi45 yrkande 12.</w:t>
      </w:r>
    </w:p>
    <w:p w:rsidR="00DD69FA" w:rsidRPr="00590648" w:rsidRDefault="00DD69FA">
      <w:pPr>
        <w:pStyle w:val="Normaltindrag"/>
        <w:ind w:firstLine="0"/>
      </w:pPr>
    </w:p>
    <w:p w:rsidR="00DD69FA" w:rsidRPr="00590648" w:rsidRDefault="00DD69FA">
      <w:pPr>
        <w:pStyle w:val="Tryckort"/>
        <w:framePr w:wrap="around"/>
      </w:pPr>
      <w:r w:rsidRPr="00590648">
        <w:t>Elanders Gotab, Stockholm  2002</w:t>
      </w:r>
    </w:p>
    <w:p w:rsidR="00DD69FA" w:rsidRPr="00590648" w:rsidRDefault="00DD69FA">
      <w:pPr>
        <w:pStyle w:val="Normaltindrag"/>
        <w:ind w:firstLine="0"/>
      </w:pPr>
    </w:p>
    <w:sectPr w:rsidR="00DD69FA" w:rsidRPr="00590648">
      <w:headerReference w:type="even" r:id="rId78"/>
      <w:headerReference w:type="default" r:id="rId79"/>
      <w:footerReference w:type="even" r:id="rId80"/>
      <w:footerReference w:type="default" r:id="rId81"/>
      <w:headerReference w:type="first" r:id="rId82"/>
      <w:footerReference w:type="first" r:id="rId8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9FA" w:rsidRPr="00590648" w:rsidRDefault="00DD69FA">
      <w:pPr>
        <w:spacing w:before="0" w:line="240" w:lineRule="auto"/>
      </w:pPr>
      <w:r w:rsidRPr="00590648">
        <w:separator/>
      </w:r>
    </w:p>
  </w:endnote>
  <w:endnote w:type="continuationSeparator" w:id="0">
    <w:p w:rsidR="00DD69FA" w:rsidRPr="00590648" w:rsidRDefault="00DD69FA">
      <w:pPr>
        <w:spacing w:before="0" w:line="240" w:lineRule="auto"/>
      </w:pPr>
      <w:r w:rsidRPr="00590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w:t>
    </w:r>
    <w:r w:rsidRPr="00590648">
      <w:fldChar w:fldCharType="end"/>
    </w:r>
  </w:p>
  <w:p w:rsidR="00DD69FA" w:rsidRPr="00590648" w:rsidRDefault="00DD69F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22</w:t>
    </w:r>
    <w:r w:rsidRPr="00590648">
      <w:fldChar w:fldCharType="end"/>
    </w:r>
  </w:p>
  <w:p w:rsidR="00DD69FA" w:rsidRPr="00590648" w:rsidRDefault="00DD69F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22</w:t>
    </w:r>
    <w:r w:rsidRPr="00590648">
      <w:fldChar w:fldCharType="end"/>
    </w:r>
  </w:p>
  <w:p w:rsidR="00DD69FA" w:rsidRPr="00590648" w:rsidRDefault="00DD69F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5</w:instrText>
    </w:r>
    <w:r w:rsidRPr="00590648">
      <w:fldChar w:fldCharType="end"/>
    </w:r>
    <w:r w:rsidRPr="00590648">
      <w:instrText xml:space="preserve">/2 </w:instrText>
    </w:r>
    <w:r w:rsidRPr="00590648">
      <w:fldChar w:fldCharType="separate"/>
    </w:r>
    <w:r w:rsidRPr="00590648">
      <w:instrText>2,5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5</w:instrText>
    </w:r>
    <w:r w:rsidRPr="00590648">
      <w:fldChar w:fldCharType="end"/>
    </w:r>
    <w:r w:rsidRPr="00590648">
      <w:instrText xml:space="preserve">/2) </w:instrText>
    </w:r>
    <w:r w:rsidRPr="00590648">
      <w:fldChar w:fldCharType="separate"/>
    </w:r>
    <w:r w:rsidRPr="00590648">
      <w:instrText>2</w:instrText>
    </w:r>
    <w:r w:rsidRPr="00590648">
      <w:fldChar w:fldCharType="end"/>
    </w:r>
    <w:r w:rsidRPr="00590648">
      <w:fldChar w:fldCharType="separate"/>
    </w:r>
    <w:r w:rsidRPr="00590648">
      <w:instrText>0,5</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6</w:instrText>
    </w:r>
    <w:r w:rsidRPr="00590648">
      <w:fldChar w:fldCharType="end"/>
    </w:r>
  </w:p>
  <w:p w:rsidR="00DD69FA" w:rsidRPr="00590648" w:rsidRDefault="00DD69FA">
    <w:pPr>
      <w:pStyle w:val="SidfotH"/>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5</w:instrText>
    </w:r>
    <w:r w:rsidRPr="00590648">
      <w:fldChar w:fldCharType="end"/>
    </w:r>
    <w:r w:rsidRPr="00590648">
      <w:instrText>"</w:instrText>
    </w:r>
    <w:r w:rsidRPr="00590648">
      <w:fldChar w:fldCharType="separate"/>
    </w:r>
    <w:r w:rsidRPr="00590648">
      <w:t>5</w:t>
    </w:r>
    <w:r w:rsidRPr="00590648">
      <w:fldChar w:fldCharType="end"/>
    </w:r>
  </w:p>
  <w:p w:rsidR="00DD69FA" w:rsidRPr="00590648" w:rsidRDefault="00DD69F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16</w:t>
    </w:r>
    <w:r w:rsidRPr="00590648">
      <w:fldChar w:fldCharType="end"/>
    </w:r>
  </w:p>
  <w:p w:rsidR="00DD69FA" w:rsidRPr="00590648" w:rsidRDefault="00DD69F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15</w:t>
    </w:r>
    <w:r w:rsidRPr="00590648">
      <w:fldChar w:fldCharType="end"/>
    </w:r>
  </w:p>
  <w:p w:rsidR="00DD69FA" w:rsidRPr="00590648" w:rsidRDefault="00DD69F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6</w:instrText>
    </w:r>
    <w:r w:rsidRPr="00590648">
      <w:fldChar w:fldCharType="end"/>
    </w:r>
    <w:r w:rsidRPr="00590648">
      <w:instrText xml:space="preserve">/2 </w:instrText>
    </w:r>
    <w:r w:rsidRPr="00590648">
      <w:fldChar w:fldCharType="separate"/>
    </w:r>
    <w:r w:rsidRPr="00590648">
      <w:instrText>3</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6</w:instrText>
    </w:r>
    <w:r w:rsidRPr="00590648">
      <w:fldChar w:fldCharType="end"/>
    </w:r>
    <w:r w:rsidRPr="00590648">
      <w:instrText xml:space="preserve">/2) </w:instrText>
    </w:r>
    <w:r w:rsidRPr="00590648">
      <w:fldChar w:fldCharType="separate"/>
    </w:r>
    <w:r w:rsidRPr="00590648">
      <w:instrText>3</w:instrText>
    </w:r>
    <w:r w:rsidRPr="00590648">
      <w:fldChar w:fldCharType="end"/>
    </w:r>
    <w:r w:rsidRPr="00590648">
      <w:fldChar w:fldCharType="separate"/>
    </w:r>
    <w:r w:rsidRPr="00590648">
      <w:instrText>0</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6</w:instrText>
    </w:r>
    <w:r w:rsidRPr="00590648">
      <w:fldChar w:fldCharType="end"/>
    </w:r>
  </w:p>
  <w:p w:rsidR="00DD69FA" w:rsidRPr="00590648" w:rsidRDefault="00DD69FA">
    <w:pPr>
      <w:pStyle w:val="SidfotV"/>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7</w:instrText>
    </w:r>
    <w:r w:rsidRPr="00590648">
      <w:fldChar w:fldCharType="end"/>
    </w:r>
    <w:r w:rsidRPr="00590648">
      <w:instrText>"</w:instrText>
    </w:r>
    <w:r w:rsidRPr="00590648">
      <w:fldChar w:fldCharType="separate"/>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6</w:t>
    </w:r>
    <w:r w:rsidRPr="00590648">
      <w:fldChar w:fldCharType="end"/>
    </w:r>
  </w:p>
  <w:p w:rsidR="00DD69FA" w:rsidRPr="00590648" w:rsidRDefault="00DD69FA">
    <w:pPr>
      <w:pStyle w:val="SidfotH"/>
      <w:framePr w:w="8732" w:h="284" w:hRule="exact" w:hSpace="0" w:vSpace="0" w:wrap="around" w:xAlign="inside" w:y="13042" w:anchorLock="0"/>
    </w:pPr>
    <w:r w:rsidRPr="00590648">
      <w:fldChar w:fldCharType="end"/>
    </w:r>
  </w:p>
  <w:p w:rsidR="00DD69FA" w:rsidRPr="00590648" w:rsidRDefault="00DD69F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22</w:t>
    </w:r>
    <w:r w:rsidRPr="00590648">
      <w:fldChar w:fldCharType="end"/>
    </w:r>
  </w:p>
  <w:p w:rsidR="00DD69FA" w:rsidRPr="00590648" w:rsidRDefault="00DD69F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21</w:t>
    </w:r>
    <w:r w:rsidRPr="00590648">
      <w:fldChar w:fldCharType="end"/>
    </w:r>
  </w:p>
  <w:p w:rsidR="00DD69FA" w:rsidRPr="00590648" w:rsidRDefault="00DD69F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17</w:instrText>
    </w:r>
    <w:r w:rsidRPr="00590648">
      <w:fldChar w:fldCharType="end"/>
    </w:r>
    <w:r w:rsidRPr="00590648">
      <w:instrText xml:space="preserve">/2 </w:instrText>
    </w:r>
    <w:r w:rsidRPr="00590648">
      <w:fldChar w:fldCharType="separate"/>
    </w:r>
    <w:r w:rsidRPr="00590648">
      <w:instrText>8,5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17</w:instrText>
    </w:r>
    <w:r w:rsidRPr="00590648">
      <w:fldChar w:fldCharType="end"/>
    </w:r>
    <w:r w:rsidRPr="00590648">
      <w:instrText xml:space="preserve">/2) </w:instrText>
    </w:r>
    <w:r w:rsidRPr="00590648">
      <w:fldChar w:fldCharType="separate"/>
    </w:r>
    <w:r w:rsidRPr="00590648">
      <w:instrText>8</w:instrText>
    </w:r>
    <w:r w:rsidRPr="00590648">
      <w:fldChar w:fldCharType="end"/>
    </w:r>
    <w:r w:rsidRPr="00590648">
      <w:fldChar w:fldCharType="separate"/>
    </w:r>
    <w:r w:rsidRPr="00590648">
      <w:instrText>0,5</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18</w:instrText>
    </w:r>
    <w:r w:rsidRPr="00590648">
      <w:fldChar w:fldCharType="end"/>
    </w:r>
  </w:p>
  <w:p w:rsidR="00DD69FA" w:rsidRPr="00590648" w:rsidRDefault="00DD69FA">
    <w:pPr>
      <w:pStyle w:val="SidfotH"/>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17</w:instrText>
    </w:r>
    <w:r w:rsidRPr="00590648">
      <w:fldChar w:fldCharType="end"/>
    </w:r>
    <w:r w:rsidRPr="00590648">
      <w:instrText>"</w:instrText>
    </w:r>
    <w:r w:rsidRPr="00590648">
      <w:fldChar w:fldCharType="separate"/>
    </w:r>
    <w:r w:rsidRPr="00590648">
      <w:t>17</w:t>
    </w:r>
    <w:r w:rsidRPr="00590648">
      <w:fldChar w:fldCharType="end"/>
    </w:r>
  </w:p>
  <w:p w:rsidR="00DD69FA" w:rsidRPr="00590648" w:rsidRDefault="00DD69F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24</w:t>
    </w:r>
    <w:r w:rsidRPr="00590648">
      <w:fldChar w:fldCharType="end"/>
    </w:r>
  </w:p>
  <w:p w:rsidR="00DD69FA" w:rsidRPr="00590648" w:rsidRDefault="00DD69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3</w:t>
    </w:r>
    <w:r w:rsidRPr="00590648">
      <w:fldChar w:fldCharType="end"/>
    </w:r>
  </w:p>
  <w:p w:rsidR="00DD69FA" w:rsidRPr="00590648" w:rsidRDefault="00DD69F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25</w:t>
    </w:r>
    <w:r w:rsidRPr="00590648">
      <w:fldChar w:fldCharType="end"/>
    </w:r>
  </w:p>
  <w:p w:rsidR="00DD69FA" w:rsidRPr="00590648" w:rsidRDefault="00DD69F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23</w:instrText>
    </w:r>
    <w:r w:rsidRPr="00590648">
      <w:fldChar w:fldCharType="end"/>
    </w:r>
    <w:r w:rsidRPr="00590648">
      <w:instrText xml:space="preserve">/2 </w:instrText>
    </w:r>
    <w:r w:rsidRPr="00590648">
      <w:fldChar w:fldCharType="separate"/>
    </w:r>
    <w:r w:rsidRPr="00590648">
      <w:instrText>11,5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23</w:instrText>
    </w:r>
    <w:r w:rsidRPr="00590648">
      <w:fldChar w:fldCharType="end"/>
    </w:r>
    <w:r w:rsidRPr="00590648">
      <w:instrText xml:space="preserve">/2) </w:instrText>
    </w:r>
    <w:r w:rsidRPr="00590648">
      <w:fldChar w:fldCharType="separate"/>
    </w:r>
    <w:r w:rsidRPr="00590648">
      <w:instrText>11</w:instrText>
    </w:r>
    <w:r w:rsidRPr="00590648">
      <w:fldChar w:fldCharType="end"/>
    </w:r>
    <w:r w:rsidRPr="00590648">
      <w:fldChar w:fldCharType="separate"/>
    </w:r>
    <w:r w:rsidRPr="00590648">
      <w:instrText>0,5</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24</w:instrText>
    </w:r>
    <w:r w:rsidRPr="00590648">
      <w:fldChar w:fldCharType="end"/>
    </w:r>
  </w:p>
  <w:p w:rsidR="00DD69FA" w:rsidRPr="00590648" w:rsidRDefault="00DD69FA">
    <w:pPr>
      <w:pStyle w:val="SidfotH"/>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23</w:instrText>
    </w:r>
    <w:r w:rsidRPr="00590648">
      <w:fldChar w:fldCharType="end"/>
    </w:r>
    <w:r w:rsidRPr="00590648">
      <w:instrText>"</w:instrText>
    </w:r>
    <w:r w:rsidRPr="00590648">
      <w:fldChar w:fldCharType="separate"/>
    </w:r>
    <w:r w:rsidRPr="00590648">
      <w:t>23</w:t>
    </w:r>
    <w:r w:rsidRPr="00590648">
      <w:fldChar w:fldCharType="end"/>
    </w:r>
  </w:p>
  <w:p w:rsidR="00DD69FA" w:rsidRPr="00590648" w:rsidRDefault="00DD69F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26</w:t>
    </w:r>
    <w:r w:rsidRPr="00590648">
      <w:fldChar w:fldCharType="end"/>
    </w:r>
  </w:p>
  <w:p w:rsidR="00DD69FA" w:rsidRPr="00590648" w:rsidRDefault="00DD69F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25</w:t>
    </w:r>
    <w:r w:rsidRPr="00590648">
      <w:fldChar w:fldCharType="end"/>
    </w:r>
  </w:p>
  <w:p w:rsidR="00DD69FA" w:rsidRPr="00590648" w:rsidRDefault="00DD69F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24</w:instrText>
    </w:r>
    <w:r w:rsidRPr="00590648">
      <w:fldChar w:fldCharType="end"/>
    </w:r>
    <w:r w:rsidRPr="00590648">
      <w:instrText xml:space="preserve">/2 </w:instrText>
    </w:r>
    <w:r w:rsidRPr="00590648">
      <w:fldChar w:fldCharType="separate"/>
    </w:r>
    <w:r w:rsidRPr="00590648">
      <w:instrText>12</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24</w:instrText>
    </w:r>
    <w:r w:rsidRPr="00590648">
      <w:fldChar w:fldCharType="end"/>
    </w:r>
    <w:r w:rsidRPr="00590648">
      <w:instrText xml:space="preserve">/2) </w:instrText>
    </w:r>
    <w:r w:rsidRPr="00590648">
      <w:fldChar w:fldCharType="separate"/>
    </w:r>
    <w:r w:rsidRPr="00590648">
      <w:instrText>12</w:instrText>
    </w:r>
    <w:r w:rsidRPr="00590648">
      <w:fldChar w:fldCharType="end"/>
    </w:r>
    <w:r w:rsidRPr="00590648">
      <w:fldChar w:fldCharType="separate"/>
    </w:r>
    <w:r w:rsidRPr="00590648">
      <w:instrText>0</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24</w:instrText>
    </w:r>
    <w:r w:rsidRPr="00590648">
      <w:fldChar w:fldCharType="end"/>
    </w:r>
  </w:p>
  <w:p w:rsidR="00DD69FA" w:rsidRPr="00590648" w:rsidRDefault="00DD69FA">
    <w:pPr>
      <w:pStyle w:val="SidfotV"/>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25</w:instrText>
    </w:r>
    <w:r w:rsidRPr="00590648">
      <w:fldChar w:fldCharType="end"/>
    </w:r>
    <w:r w:rsidRPr="00590648">
      <w:instrText>"</w:instrText>
    </w:r>
    <w:r w:rsidRPr="00590648">
      <w:fldChar w:fldCharType="separate"/>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24</w:t>
    </w:r>
    <w:r w:rsidRPr="00590648">
      <w:fldChar w:fldCharType="end"/>
    </w:r>
  </w:p>
  <w:p w:rsidR="00DD69FA" w:rsidRPr="00590648" w:rsidRDefault="00DD69FA">
    <w:pPr>
      <w:pStyle w:val="SidfotH"/>
      <w:framePr w:w="8732" w:h="284" w:hRule="exact" w:hSpace="0" w:vSpace="0" w:wrap="around" w:xAlign="inside" w:y="13042" w:anchorLock="0"/>
    </w:pPr>
    <w:r w:rsidRPr="00590648">
      <w:fldChar w:fldCharType="end"/>
    </w:r>
  </w:p>
  <w:p w:rsidR="00DD69FA" w:rsidRPr="00590648" w:rsidRDefault="00DD69F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28</w:t>
    </w:r>
    <w:r w:rsidRPr="00590648">
      <w:fldChar w:fldCharType="end"/>
    </w:r>
  </w:p>
  <w:p w:rsidR="00DD69FA" w:rsidRPr="00590648" w:rsidRDefault="00DD69F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29</w:t>
    </w:r>
    <w:r w:rsidRPr="00590648">
      <w:fldChar w:fldCharType="end"/>
    </w:r>
  </w:p>
  <w:p w:rsidR="00DD69FA" w:rsidRPr="00590648" w:rsidRDefault="00DD69F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27</w:instrText>
    </w:r>
    <w:r w:rsidRPr="00590648">
      <w:fldChar w:fldCharType="end"/>
    </w:r>
    <w:r w:rsidRPr="00590648">
      <w:instrText xml:space="preserve">/2 </w:instrText>
    </w:r>
    <w:r w:rsidRPr="00590648">
      <w:fldChar w:fldCharType="separate"/>
    </w:r>
    <w:r w:rsidRPr="00590648">
      <w:instrText>13,5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27</w:instrText>
    </w:r>
    <w:r w:rsidRPr="00590648">
      <w:fldChar w:fldCharType="end"/>
    </w:r>
    <w:r w:rsidRPr="00590648">
      <w:instrText xml:space="preserve">/2) </w:instrText>
    </w:r>
    <w:r w:rsidRPr="00590648">
      <w:fldChar w:fldCharType="separate"/>
    </w:r>
    <w:r w:rsidRPr="00590648">
      <w:instrText>13</w:instrText>
    </w:r>
    <w:r w:rsidRPr="00590648">
      <w:fldChar w:fldCharType="end"/>
    </w:r>
    <w:r w:rsidRPr="00590648">
      <w:fldChar w:fldCharType="separate"/>
    </w:r>
    <w:r w:rsidRPr="00590648">
      <w:instrText>0,5</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28</w:instrText>
    </w:r>
    <w:r w:rsidRPr="00590648">
      <w:fldChar w:fldCharType="end"/>
    </w:r>
  </w:p>
  <w:p w:rsidR="00DD69FA" w:rsidRPr="00590648" w:rsidRDefault="00DD69FA">
    <w:pPr>
      <w:pStyle w:val="SidfotH"/>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27</w:instrText>
    </w:r>
    <w:r w:rsidRPr="00590648">
      <w:fldChar w:fldCharType="end"/>
    </w:r>
    <w:r w:rsidRPr="00590648">
      <w:instrText>"</w:instrText>
    </w:r>
    <w:r w:rsidRPr="00590648">
      <w:fldChar w:fldCharType="separate"/>
    </w:r>
    <w:r w:rsidRPr="00590648">
      <w:t>27</w:t>
    </w:r>
    <w:r w:rsidRPr="00590648">
      <w:fldChar w:fldCharType="end"/>
    </w:r>
  </w:p>
  <w:p w:rsidR="00DD69FA" w:rsidRPr="00590648" w:rsidRDefault="00DD69F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32</w:t>
    </w:r>
    <w:r w:rsidRPr="00590648">
      <w:fldChar w:fldCharType="end"/>
    </w:r>
  </w:p>
  <w:p w:rsidR="00DD69FA" w:rsidRPr="00590648" w:rsidRDefault="00DD69F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33</w:t>
    </w:r>
    <w:r w:rsidRPr="00590648">
      <w:fldChar w:fldCharType="end"/>
    </w:r>
  </w:p>
  <w:p w:rsidR="00DD69FA" w:rsidRPr="00590648" w:rsidRDefault="00DD69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00590648">
      <w:rPr>
        <w:noProof/>
      </w:rPr>
      <w:instrText>1</w:instrText>
    </w:r>
    <w:r w:rsidRPr="00590648">
      <w:fldChar w:fldCharType="end"/>
    </w:r>
    <w:r w:rsidRPr="00590648">
      <w:instrText xml:space="preserve">/2 </w:instrText>
    </w:r>
    <w:r w:rsidRPr="00590648">
      <w:fldChar w:fldCharType="separate"/>
    </w:r>
    <w:r w:rsidR="00590648">
      <w:rPr>
        <w:noProof/>
      </w:rPr>
      <w:instrText>0,5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00590648">
      <w:rPr>
        <w:noProof/>
      </w:rPr>
      <w:instrText>1</w:instrText>
    </w:r>
    <w:r w:rsidRPr="00590648">
      <w:fldChar w:fldCharType="end"/>
    </w:r>
    <w:r w:rsidRPr="00590648">
      <w:instrText xml:space="preserve">/2) </w:instrText>
    </w:r>
    <w:r w:rsidRPr="00590648">
      <w:fldChar w:fldCharType="separate"/>
    </w:r>
    <w:r w:rsidR="00590648">
      <w:rPr>
        <w:noProof/>
      </w:rPr>
      <w:instrText>0</w:instrText>
    </w:r>
    <w:r w:rsidRPr="00590648">
      <w:fldChar w:fldCharType="end"/>
    </w:r>
    <w:r w:rsidRPr="00590648">
      <w:fldChar w:fldCharType="separate"/>
    </w:r>
    <w:r w:rsidR="00590648">
      <w:rPr>
        <w:noProof/>
      </w:rPr>
      <w:instrText>0,5</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22</w:instrText>
    </w:r>
    <w:r w:rsidRPr="00590648">
      <w:fldChar w:fldCharType="end"/>
    </w:r>
  </w:p>
  <w:p w:rsidR="00DD69FA" w:rsidRPr="00590648" w:rsidRDefault="00DD69FA">
    <w:pPr>
      <w:pStyle w:val="SidfotH"/>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00590648">
      <w:rPr>
        <w:noProof/>
      </w:rPr>
      <w:instrText>1</w:instrText>
    </w:r>
    <w:r w:rsidRPr="00590648">
      <w:fldChar w:fldCharType="end"/>
    </w:r>
    <w:r w:rsidRPr="00590648">
      <w:instrText>"</w:instrText>
    </w:r>
    <w:r w:rsidRPr="00590648">
      <w:fldChar w:fldCharType="separate"/>
    </w:r>
    <w:r w:rsidR="00590648">
      <w:rPr>
        <w:noProof/>
      </w:rPr>
      <w:t>1</w:t>
    </w:r>
    <w:r w:rsidRPr="00590648">
      <w:fldChar w:fldCharType="end"/>
    </w:r>
  </w:p>
  <w:p w:rsidR="00DD69FA" w:rsidRPr="00590648" w:rsidRDefault="00DD69F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30</w:instrText>
    </w:r>
    <w:r w:rsidRPr="00590648">
      <w:fldChar w:fldCharType="end"/>
    </w:r>
    <w:r w:rsidRPr="00590648">
      <w:instrText xml:space="preserve">/2 </w:instrText>
    </w:r>
    <w:r w:rsidRPr="00590648">
      <w:fldChar w:fldCharType="separate"/>
    </w:r>
    <w:r w:rsidRPr="00590648">
      <w:instrText>15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30</w:instrText>
    </w:r>
    <w:r w:rsidRPr="00590648">
      <w:fldChar w:fldCharType="end"/>
    </w:r>
    <w:r w:rsidRPr="00590648">
      <w:instrText xml:space="preserve">/2) </w:instrText>
    </w:r>
    <w:r w:rsidRPr="00590648">
      <w:fldChar w:fldCharType="separate"/>
    </w:r>
    <w:r w:rsidRPr="00590648">
      <w:instrText>15</w:instrText>
    </w:r>
    <w:r w:rsidRPr="00590648">
      <w:fldChar w:fldCharType="end"/>
    </w:r>
    <w:r w:rsidRPr="00590648">
      <w:fldChar w:fldCharType="separate"/>
    </w:r>
    <w:r w:rsidRPr="00590648">
      <w:instrText>0</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30</w:instrText>
    </w:r>
    <w:r w:rsidRPr="00590648">
      <w:fldChar w:fldCharType="end"/>
    </w:r>
  </w:p>
  <w:p w:rsidR="00DD69FA" w:rsidRPr="00590648" w:rsidRDefault="00DD69FA">
    <w:pPr>
      <w:pStyle w:val="SidfotV"/>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31</w:instrText>
    </w:r>
    <w:r w:rsidRPr="00590648">
      <w:fldChar w:fldCharType="end"/>
    </w:r>
    <w:r w:rsidRPr="00590648">
      <w:instrText>"</w:instrText>
    </w:r>
    <w:r w:rsidRPr="00590648">
      <w:fldChar w:fldCharType="separate"/>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30</w:t>
    </w:r>
    <w:r w:rsidRPr="00590648">
      <w:fldChar w:fldCharType="end"/>
    </w:r>
  </w:p>
  <w:p w:rsidR="00DD69FA" w:rsidRPr="00590648" w:rsidRDefault="00DD69FA">
    <w:pPr>
      <w:pStyle w:val="SidfotH"/>
      <w:framePr w:w="8732" w:h="284" w:hRule="exact" w:hSpace="0" w:vSpace="0" w:wrap="around" w:xAlign="inside" w:y="13042" w:anchorLock="0"/>
    </w:pPr>
    <w:r w:rsidRPr="00590648">
      <w:fldChar w:fldCharType="end"/>
    </w:r>
  </w:p>
  <w:p w:rsidR="00DD69FA" w:rsidRPr="00590648" w:rsidRDefault="00DD69FA">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40</w:t>
    </w:r>
    <w:r w:rsidRPr="00590648">
      <w:fldChar w:fldCharType="end"/>
    </w:r>
  </w:p>
  <w:p w:rsidR="00DD69FA" w:rsidRPr="00590648" w:rsidRDefault="00DD69FA">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41</w:t>
    </w:r>
    <w:r w:rsidRPr="00590648">
      <w:fldChar w:fldCharType="end"/>
    </w:r>
  </w:p>
  <w:p w:rsidR="00DD69FA" w:rsidRPr="00590648" w:rsidRDefault="00DD69FA">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31</w:instrText>
    </w:r>
    <w:r w:rsidRPr="00590648">
      <w:fldChar w:fldCharType="end"/>
    </w:r>
    <w:r w:rsidRPr="00590648">
      <w:instrText xml:space="preserve">/2 </w:instrText>
    </w:r>
    <w:r w:rsidRPr="00590648">
      <w:fldChar w:fldCharType="separate"/>
    </w:r>
    <w:r w:rsidRPr="00590648">
      <w:instrText>15,5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31</w:instrText>
    </w:r>
    <w:r w:rsidRPr="00590648">
      <w:fldChar w:fldCharType="end"/>
    </w:r>
    <w:r w:rsidRPr="00590648">
      <w:instrText xml:space="preserve">/2) </w:instrText>
    </w:r>
    <w:r w:rsidRPr="00590648">
      <w:fldChar w:fldCharType="separate"/>
    </w:r>
    <w:r w:rsidRPr="00590648">
      <w:instrText>15</w:instrText>
    </w:r>
    <w:r w:rsidRPr="00590648">
      <w:fldChar w:fldCharType="end"/>
    </w:r>
    <w:r w:rsidRPr="00590648">
      <w:fldChar w:fldCharType="separate"/>
    </w:r>
    <w:r w:rsidRPr="00590648">
      <w:instrText>0,5</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32</w:instrText>
    </w:r>
    <w:r w:rsidRPr="00590648">
      <w:fldChar w:fldCharType="end"/>
    </w:r>
  </w:p>
  <w:p w:rsidR="00DD69FA" w:rsidRPr="00590648" w:rsidRDefault="00DD69FA">
    <w:pPr>
      <w:pStyle w:val="SidfotH"/>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31</w:instrText>
    </w:r>
    <w:r w:rsidRPr="00590648">
      <w:fldChar w:fldCharType="end"/>
    </w:r>
    <w:r w:rsidRPr="00590648">
      <w:instrText>"</w:instrText>
    </w:r>
    <w:r w:rsidRPr="00590648">
      <w:fldChar w:fldCharType="separate"/>
    </w:r>
    <w:r w:rsidRPr="00590648">
      <w:t>31</w:t>
    </w:r>
    <w:r w:rsidRPr="00590648">
      <w:fldChar w:fldCharType="end"/>
    </w:r>
  </w:p>
  <w:p w:rsidR="00DD69FA" w:rsidRPr="00590648" w:rsidRDefault="00DD69FA">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44</w:t>
    </w:r>
    <w:r w:rsidRPr="00590648">
      <w:fldChar w:fldCharType="end"/>
    </w:r>
  </w:p>
  <w:p w:rsidR="00DD69FA" w:rsidRPr="00590648" w:rsidRDefault="00DD69FA">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43</w:t>
    </w:r>
    <w:r w:rsidRPr="00590648">
      <w:fldChar w:fldCharType="end"/>
    </w:r>
  </w:p>
  <w:p w:rsidR="00DD69FA" w:rsidRPr="00590648" w:rsidRDefault="00DD69FA">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42</w:instrText>
    </w:r>
    <w:r w:rsidRPr="00590648">
      <w:fldChar w:fldCharType="end"/>
    </w:r>
    <w:r w:rsidRPr="00590648">
      <w:instrText xml:space="preserve">/2 </w:instrText>
    </w:r>
    <w:r w:rsidRPr="00590648">
      <w:fldChar w:fldCharType="separate"/>
    </w:r>
    <w:r w:rsidRPr="00590648">
      <w:instrText>21</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42</w:instrText>
    </w:r>
    <w:r w:rsidRPr="00590648">
      <w:fldChar w:fldCharType="end"/>
    </w:r>
    <w:r w:rsidRPr="00590648">
      <w:instrText xml:space="preserve">/2) </w:instrText>
    </w:r>
    <w:r w:rsidRPr="00590648">
      <w:fldChar w:fldCharType="separate"/>
    </w:r>
    <w:r w:rsidRPr="00590648">
      <w:instrText>21</w:instrText>
    </w:r>
    <w:r w:rsidRPr="00590648">
      <w:fldChar w:fldCharType="end"/>
    </w:r>
    <w:r w:rsidRPr="00590648">
      <w:fldChar w:fldCharType="separate"/>
    </w:r>
    <w:r w:rsidRPr="00590648">
      <w:instrText>0</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42</w:instrText>
    </w:r>
    <w:r w:rsidRPr="00590648">
      <w:fldChar w:fldCharType="end"/>
    </w:r>
  </w:p>
  <w:p w:rsidR="00DD69FA" w:rsidRPr="00590648" w:rsidRDefault="00DD69FA">
    <w:pPr>
      <w:pStyle w:val="SidfotV"/>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43</w:instrText>
    </w:r>
    <w:r w:rsidRPr="00590648">
      <w:fldChar w:fldCharType="end"/>
    </w:r>
    <w:r w:rsidRPr="00590648">
      <w:instrText>"</w:instrText>
    </w:r>
    <w:r w:rsidRPr="00590648">
      <w:fldChar w:fldCharType="separate"/>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42</w:t>
    </w:r>
    <w:r w:rsidRPr="00590648">
      <w:fldChar w:fldCharType="end"/>
    </w:r>
  </w:p>
  <w:p w:rsidR="00DD69FA" w:rsidRPr="00590648" w:rsidRDefault="00DD69FA">
    <w:pPr>
      <w:pStyle w:val="SidfotH"/>
      <w:framePr w:w="8732" w:h="284" w:hRule="exact" w:hSpace="0" w:vSpace="0" w:wrap="around" w:xAlign="inside" w:y="13042" w:anchorLock="0"/>
    </w:pPr>
    <w:r w:rsidRPr="00590648">
      <w:fldChar w:fldCharType="end"/>
    </w:r>
  </w:p>
  <w:p w:rsidR="00DD69FA" w:rsidRPr="00590648" w:rsidRDefault="00DD69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22</w:t>
    </w:r>
    <w:r w:rsidRPr="00590648">
      <w:fldChar w:fldCharType="end"/>
    </w:r>
  </w:p>
  <w:p w:rsidR="00DD69FA" w:rsidRPr="00590648" w:rsidRDefault="00DD69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3</w:t>
    </w:r>
    <w:r w:rsidRPr="00590648">
      <w:fldChar w:fldCharType="end"/>
    </w:r>
  </w:p>
  <w:p w:rsidR="00DD69FA" w:rsidRPr="00590648" w:rsidRDefault="00DD69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2</w:instrText>
    </w:r>
    <w:r w:rsidRPr="00590648">
      <w:fldChar w:fldCharType="end"/>
    </w:r>
    <w:r w:rsidRPr="00590648">
      <w:instrText xml:space="preserve">/2 </w:instrText>
    </w:r>
    <w:r w:rsidRPr="00590648">
      <w:fldChar w:fldCharType="separate"/>
    </w:r>
    <w:r w:rsidRPr="00590648">
      <w:instrText>1</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2</w:instrText>
    </w:r>
    <w:r w:rsidRPr="00590648">
      <w:fldChar w:fldCharType="end"/>
    </w:r>
    <w:r w:rsidRPr="00590648">
      <w:instrText xml:space="preserve">/2) </w:instrText>
    </w:r>
    <w:r w:rsidRPr="00590648">
      <w:fldChar w:fldCharType="separate"/>
    </w:r>
    <w:r w:rsidRPr="00590648">
      <w:instrText>1</w:instrText>
    </w:r>
    <w:r w:rsidRPr="00590648">
      <w:fldChar w:fldCharType="end"/>
    </w:r>
    <w:r w:rsidRPr="00590648">
      <w:fldChar w:fldCharType="separate"/>
    </w:r>
    <w:r w:rsidRPr="00590648">
      <w:instrText>0</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2</w:instrText>
    </w:r>
    <w:r w:rsidRPr="00590648">
      <w:fldChar w:fldCharType="end"/>
    </w:r>
  </w:p>
  <w:p w:rsidR="00DD69FA" w:rsidRPr="00590648" w:rsidRDefault="00DD69FA">
    <w:pPr>
      <w:pStyle w:val="SidfotV"/>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1</w:instrText>
    </w:r>
    <w:r w:rsidRPr="00590648">
      <w:fldChar w:fldCharType="end"/>
    </w:r>
    <w:r w:rsidRPr="00590648">
      <w:instrText>"</w:instrText>
    </w:r>
    <w:r w:rsidRPr="00590648">
      <w:fldChar w:fldCharType="separate"/>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2</w:t>
    </w:r>
    <w:r w:rsidRPr="00590648">
      <w:fldChar w:fldCharType="end"/>
    </w:r>
  </w:p>
  <w:p w:rsidR="00DD69FA" w:rsidRPr="00590648" w:rsidRDefault="00DD69FA">
    <w:pPr>
      <w:pStyle w:val="SidfotH"/>
      <w:framePr w:w="8732" w:h="284" w:hRule="exact" w:hSpace="0" w:vSpace="0" w:wrap="around" w:xAlign="inside" w:y="13042" w:anchorLock="0"/>
    </w:pPr>
    <w:r w:rsidRPr="00590648">
      <w:fldChar w:fldCharType="end"/>
    </w:r>
  </w:p>
  <w:p w:rsidR="00DD69FA" w:rsidRPr="00590648" w:rsidRDefault="00DD69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4</w:t>
    </w:r>
    <w:r w:rsidRPr="00590648">
      <w:fldChar w:fldCharType="end"/>
    </w:r>
  </w:p>
  <w:p w:rsidR="00DD69FA" w:rsidRPr="00590648" w:rsidRDefault="00DD69F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H"/>
      <w:framePr w:w="8732" w:h="284" w:hRule="exact" w:hSpace="0" w:vSpace="0" w:wrap="around" w:xAlign="inside" w:y="13042" w:anchorLock="0"/>
    </w:pP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t>5</w:t>
    </w:r>
    <w:r w:rsidRPr="00590648">
      <w:fldChar w:fldCharType="end"/>
    </w:r>
  </w:p>
  <w:p w:rsidR="00DD69FA" w:rsidRPr="00590648" w:rsidRDefault="00DD69F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fotV"/>
      <w:framePr w:w="8732" w:h="284" w:hRule="exact" w:hSpace="0" w:vSpace="0" w:wrap="around" w:xAlign="inside" w:y="13042" w:anchorLock="0"/>
    </w:pPr>
    <w:r w:rsidRPr="00590648">
      <w:fldChar w:fldCharType="begin" w:fldLock="1"/>
    </w:r>
    <w:r w:rsidRPr="00590648">
      <w:instrText xml:space="preserve"> if </w:instrText>
    </w:r>
    <w:r w:rsidRPr="00590648">
      <w:fldChar w:fldCharType="begin" w:fldLock="1"/>
    </w:r>
    <w:r w:rsidRPr="00590648">
      <w:instrText xml:space="preserve"> = </w:instrText>
    </w:r>
    <w:r w:rsidRPr="00590648">
      <w:fldChar w:fldCharType="begin" w:fldLock="1"/>
    </w:r>
    <w:r w:rsidRPr="00590648">
      <w:instrText xml:space="preserve"> = </w:instrText>
    </w:r>
    <w:r w:rsidRPr="00590648">
      <w:fldChar w:fldCharType="begin" w:fldLock="1"/>
    </w:r>
    <w:r w:rsidRPr="00590648">
      <w:instrText xml:space="preserve"> page</w:instrText>
    </w:r>
    <w:r w:rsidRPr="00590648">
      <w:fldChar w:fldCharType="separate"/>
    </w:r>
    <w:r w:rsidRPr="00590648">
      <w:instrText>3</w:instrText>
    </w:r>
    <w:r w:rsidRPr="00590648">
      <w:fldChar w:fldCharType="end"/>
    </w:r>
    <w:r w:rsidRPr="00590648">
      <w:instrText xml:space="preserve">/2 </w:instrText>
    </w:r>
    <w:r w:rsidRPr="00590648">
      <w:fldChar w:fldCharType="separate"/>
    </w:r>
    <w:r w:rsidRPr="00590648">
      <w:instrText>1,5</w:instrText>
    </w:r>
    <w:r w:rsidRPr="00590648">
      <w:fldChar w:fldCharType="end"/>
    </w:r>
    <w:r w:rsidRPr="00590648">
      <w:instrText xml:space="preserve"> - </w:instrText>
    </w:r>
    <w:r w:rsidRPr="00590648">
      <w:fldChar w:fldCharType="begin" w:fldLock="1"/>
    </w:r>
    <w:r w:rsidRPr="00590648">
      <w:instrText xml:space="preserve"> = int(</w:instrText>
    </w:r>
    <w:r w:rsidRPr="00590648">
      <w:fldChar w:fldCharType="begin" w:fldLock="1"/>
    </w:r>
    <w:r w:rsidRPr="00590648">
      <w:instrText xml:space="preserve"> page</w:instrText>
    </w:r>
    <w:r w:rsidRPr="00590648">
      <w:fldChar w:fldCharType="separate"/>
    </w:r>
    <w:r w:rsidRPr="00590648">
      <w:instrText>3</w:instrText>
    </w:r>
    <w:r w:rsidRPr="00590648">
      <w:fldChar w:fldCharType="end"/>
    </w:r>
    <w:r w:rsidRPr="00590648">
      <w:instrText xml:space="preserve">/2) </w:instrText>
    </w:r>
    <w:r w:rsidRPr="00590648">
      <w:fldChar w:fldCharType="separate"/>
    </w:r>
    <w:r w:rsidRPr="00590648">
      <w:instrText>1</w:instrText>
    </w:r>
    <w:r w:rsidRPr="00590648">
      <w:fldChar w:fldCharType="end"/>
    </w:r>
    <w:r w:rsidRPr="00590648">
      <w:fldChar w:fldCharType="separate"/>
    </w:r>
    <w:r w:rsidRPr="00590648">
      <w:instrText>0,5</w:instrText>
    </w:r>
    <w:r w:rsidRPr="00590648">
      <w:fldChar w:fldCharType="end"/>
    </w:r>
    <w:r w:rsidRPr="00590648">
      <w:instrText xml:space="preserve"> = 0 "</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4</w:instrText>
    </w:r>
    <w:r w:rsidRPr="00590648">
      <w:fldChar w:fldCharType="end"/>
    </w:r>
  </w:p>
  <w:p w:rsidR="00DD69FA" w:rsidRPr="00590648" w:rsidRDefault="00DD69FA">
    <w:pPr>
      <w:pStyle w:val="SidfotH"/>
      <w:framePr w:w="8732" w:h="284" w:hRule="exact" w:hSpace="0" w:vSpace="0" w:wrap="around" w:xAlign="inside" w:y="13042" w:anchorLock="0"/>
    </w:pPr>
    <w:r w:rsidRPr="00590648">
      <w:instrText>""</w:instrText>
    </w:r>
    <w:r w:rsidRPr="00590648">
      <w:fldChar w:fldCharType="begin" w:fldLock="1"/>
    </w:r>
    <w:r w:rsidRPr="00590648">
      <w:instrText xml:space="preserve"> P</w:instrText>
    </w:r>
    <w:r w:rsidRPr="00590648">
      <w:instrText>A</w:instrText>
    </w:r>
    <w:r w:rsidRPr="00590648">
      <w:instrText xml:space="preserve">GE </w:instrText>
    </w:r>
    <w:r w:rsidRPr="00590648">
      <w:fldChar w:fldCharType="separate"/>
    </w:r>
    <w:r w:rsidRPr="00590648">
      <w:instrText>3</w:instrText>
    </w:r>
    <w:r w:rsidRPr="00590648">
      <w:fldChar w:fldCharType="end"/>
    </w:r>
    <w:r w:rsidRPr="00590648">
      <w:instrText>"</w:instrText>
    </w:r>
    <w:r w:rsidRPr="00590648">
      <w:fldChar w:fldCharType="separate"/>
    </w:r>
    <w:r w:rsidRPr="00590648">
      <w:t>3</w:t>
    </w:r>
    <w:r w:rsidRPr="00590648">
      <w:fldChar w:fldCharType="end"/>
    </w:r>
  </w:p>
  <w:p w:rsidR="00DD69FA" w:rsidRPr="00590648" w:rsidRDefault="00DD6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9FA" w:rsidRPr="00590648" w:rsidRDefault="00DD69FA">
      <w:pPr>
        <w:pStyle w:val="Sidfot"/>
      </w:pPr>
    </w:p>
  </w:footnote>
  <w:footnote w:type="continuationSeparator" w:id="0">
    <w:p w:rsidR="00DD69FA" w:rsidRPr="00590648" w:rsidRDefault="00DD69FA">
      <w:pPr>
        <w:spacing w:before="0" w:line="240" w:lineRule="auto"/>
      </w:pPr>
      <w:r w:rsidRPr="00590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 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BetänkandeNr</w:instrText>
    </w:r>
    <w:r w:rsidRPr="00590648">
      <w:rPr>
        <w:rStyle w:val="SidhuvudUtskott"/>
      </w:rPr>
      <w:fldChar w:fldCharType="separate"/>
    </w:r>
    <w:r w:rsidRPr="00590648">
      <w:rPr>
        <w:rStyle w:val="SidhuvudUtskott"/>
      </w:rPr>
      <w:t>19</w:t>
    </w:r>
    <w:r w:rsidRPr="00590648">
      <w:rPr>
        <w:rStyle w:val="SidhuvudUtskott"/>
      </w:rPr>
      <w:fldChar w:fldCharType="end"/>
    </w:r>
    <w:r w:rsidRPr="00590648">
      <w:t xml:space="preserve">     </w:t>
    </w:r>
    <w:r w:rsidRPr="00590648">
      <w:rPr>
        <w:rStyle w:val="SidhuvudBilaga"/>
      </w:rPr>
      <w:t xml:space="preserve"> Bilaga 3   </w:t>
    </w: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Sammanfattning</w:t>
    </w:r>
    <w:r w:rsidRPr="00590648">
      <w:rPr>
        <w:rStyle w:val="SidhuvudRubrikReferens"/>
      </w:rPr>
      <w:fldChar w:fldCharType="end"/>
    </w:r>
  </w:p>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Status</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    </w:instrText>
    </w:r>
    <w:r w:rsidRPr="00590648">
      <w:rPr>
        <w:rStyle w:val="SidhuvudUtskott"/>
      </w:rPr>
      <w:fldChar w:fldCharType="begin" w:fldLock="1"/>
    </w:r>
    <w:r w:rsidRPr="00590648">
      <w:rPr>
        <w:rStyle w:val="SidhuvudUtskott"/>
      </w:rPr>
      <w:instrText xml:space="preserve"> PRINTDATE \@ "yyyy-MM-dd HH.mm"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p>
  <w:p w:rsidR="00DD69FA" w:rsidRPr="00590648" w:rsidRDefault="00DD69F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 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BetänkandeNr</w:instrText>
    </w:r>
    <w:r w:rsidRPr="00590648">
      <w:rPr>
        <w:rStyle w:val="SidhuvudUtskott"/>
      </w:rPr>
      <w:fldChar w:fldCharType="separate"/>
    </w:r>
    <w:r w:rsidRPr="00590648">
      <w:rPr>
        <w:rStyle w:val="SidhuvudUtskott"/>
      </w:rPr>
      <w:t>19</w:t>
    </w:r>
    <w:r w:rsidRPr="00590648">
      <w:rPr>
        <w:rStyle w:val="SidhuvudUtskott"/>
      </w:rPr>
      <w:fldChar w:fldCharType="end"/>
    </w:r>
    <w:r w:rsidRPr="00590648">
      <w:t xml:space="preserve">     </w:t>
    </w:r>
    <w:r w:rsidRPr="00590648">
      <w:rPr>
        <w:rStyle w:val="SidhuvudBilaga"/>
      </w:rPr>
      <w:t xml:space="preserve"> </w:t>
    </w: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Utskottets förslag till riksdagsbeslut</w:t>
    </w:r>
    <w:r w:rsidRPr="00590648">
      <w:rPr>
        <w:rStyle w:val="SidhuvudRubrikReferens"/>
      </w:rPr>
      <w:fldChar w:fldCharType="end"/>
    </w:r>
  </w:p>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Status</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    </w:instrText>
    </w:r>
    <w:r w:rsidRPr="00590648">
      <w:rPr>
        <w:rStyle w:val="SidhuvudUtskott"/>
      </w:rPr>
      <w:fldChar w:fldCharType="begin" w:fldLock="1"/>
    </w:r>
    <w:r w:rsidRPr="00590648">
      <w:rPr>
        <w:rStyle w:val="SidhuvudUtskott"/>
      </w:rPr>
      <w:instrText xml:space="preserve"> PRINTDATE \@ "yyyy-MM-dd HH.mm"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p>
  <w:p w:rsidR="00DD69FA" w:rsidRPr="00590648" w:rsidRDefault="00DD69F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Utskottets förslag till riksdagsbeslut</w:t>
    </w:r>
    <w:r w:rsidRPr="00590648">
      <w:rPr>
        <w:rStyle w:val="SidhuvudRubrikReferens"/>
      </w:rPr>
      <w:fldChar w:fldCharType="end"/>
    </w:r>
    <w:r w:rsidRPr="00590648">
      <w:rPr>
        <w:rStyle w:val="SidhuvudBilaga"/>
      </w:rPr>
      <w:t xml:space="preserve"> </w:t>
    </w:r>
    <w:r w:rsidRPr="00590648">
      <w:t xml:space="preserve">     </w:t>
    </w: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w:instrText>
    </w:r>
    <w:r w:rsidRPr="00590648">
      <w:instrText xml:space="preserve"> </w:instrText>
    </w:r>
    <w:r w:rsidRPr="00590648">
      <w:rPr>
        <w:rStyle w:val="SidhuvudUtskott"/>
      </w:rPr>
      <w:instrText>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w:instrText>
    </w:r>
    <w:r w:rsidRPr="00590648">
      <w:rPr>
        <w:rStyle w:val="SidhuvudUtskott"/>
      </w:rPr>
      <w:instrText>n</w:instrText>
    </w:r>
    <w:r w:rsidRPr="00590648">
      <w:rPr>
        <w:rStyle w:val="SidhuvudUtskott"/>
      </w:rPr>
      <w:instrText>kandeNr</w:instrText>
    </w:r>
    <w:r w:rsidRPr="00590648">
      <w:rPr>
        <w:rStyle w:val="SidhuvudUtskott"/>
      </w:rPr>
      <w:fldChar w:fldCharType="separate"/>
    </w:r>
    <w:r w:rsidRPr="00590648">
      <w:rPr>
        <w:rStyle w:val="SidhuvudUtskott"/>
      </w:rPr>
      <w:t>19</w:t>
    </w:r>
    <w:r w:rsidRPr="00590648">
      <w:rPr>
        <w:rStyle w:val="SidhuvudUtskott"/>
      </w:rPr>
      <w:fldChar w:fldCharType="end"/>
    </w:r>
  </w:p>
  <w:p w:rsidR="00DD69FA" w:rsidRPr="00590648" w:rsidRDefault="00DD69FA">
    <w:pPr>
      <w:pStyle w:val="SidhuvudKantUdda"/>
      <w:framePr w:w="8732" w:h="567" w:hRule="exact" w:vSpace="0" w:wrap="around" w:vAnchor="page" w:y="341" w:anchorLock="0"/>
    </w:pP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w:instrText>
    </w:r>
    <w:r w:rsidRPr="00590648">
      <w:rPr>
        <w:rStyle w:val="SidhuvudUtskott"/>
      </w:rPr>
      <w:fldChar w:fldCharType="begin" w:fldLock="1"/>
    </w:r>
    <w:r w:rsidRPr="00590648">
      <w:rPr>
        <w:rStyle w:val="SidhuvudUtskott"/>
      </w:rPr>
      <w:instrText xml:space="preserve"> PRINTDATE \@ "yyyy-MM-dd HH.mm    "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w:instrText>
    </w:r>
    <w:r w:rsidRPr="00590648">
      <w:rPr>
        <w:rStyle w:val="SidhuvudUtskott"/>
      </w:rPr>
      <w:instrText>O</w:instrText>
    </w:r>
    <w:r w:rsidRPr="00590648">
      <w:rPr>
        <w:rStyle w:val="SidhuvudUtskott"/>
      </w:rPr>
      <w:instrText>PERTY Status</w:instrText>
    </w:r>
    <w:r w:rsidRPr="00590648">
      <w:rPr>
        <w:rStyle w:val="SidhuvudUtskott"/>
      </w:rPr>
      <w:fldChar w:fldCharType="end"/>
    </w:r>
  </w:p>
  <w:p w:rsidR="00DD69FA" w:rsidRPr="00590648" w:rsidRDefault="00DD69F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r w:rsidRPr="00590648">
      <w:rPr>
        <w:rStyle w:val="SidhuvudBilaga"/>
      </w:rPr>
      <w:t xml:space="preserve"> </w:t>
    </w:r>
    <w:r w:rsidRPr="00590648">
      <w:rPr>
        <w:rStyle w:val="SidhuvudRubrikReferens"/>
      </w:rPr>
      <w:t>Utskottets överväganden</w:t>
    </w:r>
  </w:p>
  <w:p w:rsidR="00DD69FA" w:rsidRPr="00590648" w:rsidRDefault="00DD69FA">
    <w:pPr>
      <w:pStyle w:val="SidhuvudKantJmn"/>
      <w:framePr w:w="8732" w:h="567" w:hRule="exact" w:vSpace="0" w:wrap="around" w:vAnchor="page" w:y="341" w:anchorLock="0"/>
    </w:pPr>
  </w:p>
  <w:p w:rsidR="00DD69FA" w:rsidRPr="00590648" w:rsidRDefault="00DD69F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t>Utskottets överväganden</w:t>
    </w:r>
    <w:r w:rsidRPr="00590648">
      <w:rPr>
        <w:rStyle w:val="SidhuvudBilaga"/>
      </w:rPr>
      <w:t xml:space="preserve"> </w:t>
    </w: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p>
  <w:p w:rsidR="00DD69FA" w:rsidRPr="00590648" w:rsidRDefault="00DD69FA">
    <w:pPr>
      <w:pStyle w:val="SidhuvudKantJmn"/>
      <w:framePr w:w="8732" w:h="567" w:hRule="exact" w:vSpace="0" w:wrap="around" w:vAnchor="page" w:y="341" w:anchorLock="0"/>
    </w:pPr>
  </w:p>
  <w:p w:rsidR="00DD69FA" w:rsidRPr="00590648" w:rsidRDefault="00DD69FA">
    <w:pPr>
      <w:pStyle w:val="SidhuvudKantUdda"/>
      <w:framePr w:w="8732" w:h="567" w:hRule="exact" w:vSpace="0" w:wrap="around" w:vAnchor="page" w:y="341" w:anchorLock="0"/>
    </w:pPr>
    <w:r w:rsidRPr="00590648">
      <w:rPr>
        <w:rStyle w:val="SidhuvudRubrikReferens"/>
        <w:smallCaps w:val="0"/>
        <w:spacing w:val="0"/>
        <w:sz w:val="19"/>
      </w:rPr>
      <w:t xml:space="preserve"> </w:t>
    </w:r>
  </w:p>
  <w:p w:rsidR="00DD69FA" w:rsidRPr="00590648" w:rsidRDefault="00DD69F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r w:rsidRPr="00590648">
      <w:rPr>
        <w:rStyle w:val="SidhuvudBilaga"/>
      </w:rPr>
      <w:t xml:space="preserve"> </w:t>
    </w:r>
    <w:r w:rsidRPr="00590648">
      <w:rPr>
        <w:rStyle w:val="SidhuvudRubrikReferens"/>
      </w:rPr>
      <w:t>Reservationer</w:t>
    </w:r>
  </w:p>
  <w:p w:rsidR="00DD69FA" w:rsidRPr="00590648" w:rsidRDefault="00DD69FA">
    <w:pPr>
      <w:pStyle w:val="SidhuvudKantJmn"/>
      <w:framePr w:w="8732" w:h="567" w:hRule="exact" w:vSpace="0" w:wrap="around" w:vAnchor="page" w:y="341" w:anchorLock="0"/>
    </w:pPr>
  </w:p>
  <w:p w:rsidR="00DD69FA" w:rsidRPr="00590648" w:rsidRDefault="00DD69F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t>Reservationer</w:t>
    </w:r>
    <w:r w:rsidRPr="00590648">
      <w:rPr>
        <w:rStyle w:val="SidhuvudBilaga"/>
      </w:rPr>
      <w:t xml:space="preserve"> </w:t>
    </w: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 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BetänkandeNr</w:instrText>
    </w:r>
    <w:r w:rsidRPr="00590648">
      <w:rPr>
        <w:rStyle w:val="SidhuvudUtskott"/>
      </w:rPr>
      <w:fldChar w:fldCharType="separate"/>
    </w:r>
    <w:r w:rsidRPr="00590648">
      <w:rPr>
        <w:rStyle w:val="SidhuvudUtskott"/>
      </w:rPr>
      <w:t>19</w:t>
    </w:r>
    <w:r w:rsidRPr="00590648">
      <w:rPr>
        <w:rStyle w:val="SidhuvudUtskott"/>
      </w:rPr>
      <w:fldChar w:fldCharType="end"/>
    </w:r>
    <w:r w:rsidRPr="00590648">
      <w:t xml:space="preserve">     </w:t>
    </w:r>
    <w:r w:rsidRPr="00590648">
      <w:rPr>
        <w:rStyle w:val="SidhuvudBilaga"/>
      </w:rPr>
      <w:t xml:space="preserve"> BILAGA 1   </w:t>
    </w: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Reservationer</w:t>
    </w:r>
    <w:r w:rsidRPr="00590648">
      <w:rPr>
        <w:rStyle w:val="SidhuvudRubrikReferens"/>
      </w:rPr>
      <w:fldChar w:fldCharType="end"/>
    </w:r>
  </w:p>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Status</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    </w:instrText>
    </w:r>
    <w:r w:rsidRPr="00590648">
      <w:rPr>
        <w:rStyle w:val="SidhuvudUtskott"/>
      </w:rPr>
      <w:fldChar w:fldCharType="begin" w:fldLock="1"/>
    </w:r>
    <w:r w:rsidRPr="00590648">
      <w:rPr>
        <w:rStyle w:val="SidhuvudUtskott"/>
      </w:rPr>
      <w:instrText xml:space="preserve"> PRINTDATE \@ "yyyy-MM-dd HH.mm"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p>
  <w:p w:rsidR="00DD69FA" w:rsidRPr="00590648" w:rsidRDefault="00DD69F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Sammanfattning</w:t>
    </w:r>
    <w:r w:rsidRPr="00590648">
      <w:rPr>
        <w:rStyle w:val="SidhuvudRubrikReferens"/>
      </w:rPr>
      <w:fldChar w:fldCharType="end"/>
    </w:r>
    <w:r w:rsidRPr="00590648">
      <w:rPr>
        <w:rStyle w:val="SidhuvudBilaga"/>
      </w:rPr>
      <w:t xml:space="preserve">   Bilaga 3 </w:t>
    </w:r>
    <w:r w:rsidRPr="00590648">
      <w:t xml:space="preserve">     </w:t>
    </w: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w:instrText>
    </w:r>
    <w:r w:rsidRPr="00590648">
      <w:instrText xml:space="preserve"> </w:instrText>
    </w:r>
    <w:r w:rsidRPr="00590648">
      <w:rPr>
        <w:rStyle w:val="SidhuvudUtskott"/>
      </w:rPr>
      <w:instrText>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w:instrText>
    </w:r>
    <w:r w:rsidRPr="00590648">
      <w:rPr>
        <w:rStyle w:val="SidhuvudUtskott"/>
      </w:rPr>
      <w:instrText>n</w:instrText>
    </w:r>
    <w:r w:rsidRPr="00590648">
      <w:rPr>
        <w:rStyle w:val="SidhuvudUtskott"/>
      </w:rPr>
      <w:instrText>kandeNr</w:instrText>
    </w:r>
    <w:r w:rsidRPr="00590648">
      <w:rPr>
        <w:rStyle w:val="SidhuvudUtskott"/>
      </w:rPr>
      <w:fldChar w:fldCharType="separate"/>
    </w:r>
    <w:r w:rsidRPr="00590648">
      <w:rPr>
        <w:rStyle w:val="SidhuvudUtskott"/>
      </w:rPr>
      <w:t>19</w:t>
    </w:r>
    <w:r w:rsidRPr="00590648">
      <w:rPr>
        <w:rStyle w:val="SidhuvudUtskott"/>
      </w:rPr>
      <w:fldChar w:fldCharType="end"/>
    </w:r>
  </w:p>
  <w:p w:rsidR="00DD69FA" w:rsidRPr="00590648" w:rsidRDefault="00DD69FA">
    <w:pPr>
      <w:pStyle w:val="SidhuvudKantUdda"/>
      <w:framePr w:w="8732" w:h="567" w:hRule="exact" w:vSpace="0" w:wrap="around" w:vAnchor="page" w:y="341" w:anchorLock="0"/>
    </w:pP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w:instrText>
    </w:r>
    <w:r w:rsidRPr="00590648">
      <w:rPr>
        <w:rStyle w:val="SidhuvudUtskott"/>
      </w:rPr>
      <w:fldChar w:fldCharType="begin" w:fldLock="1"/>
    </w:r>
    <w:r w:rsidRPr="00590648">
      <w:rPr>
        <w:rStyle w:val="SidhuvudUtskott"/>
      </w:rPr>
      <w:instrText xml:space="preserve"> PRINTDATE \@ "yyyy-MM-dd HH.mm    "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w:instrText>
    </w:r>
    <w:r w:rsidRPr="00590648">
      <w:rPr>
        <w:rStyle w:val="SidhuvudUtskott"/>
      </w:rPr>
      <w:instrText>O</w:instrText>
    </w:r>
    <w:r w:rsidRPr="00590648">
      <w:rPr>
        <w:rStyle w:val="SidhuvudUtskott"/>
      </w:rPr>
      <w:instrText>PERTY Status</w:instrText>
    </w:r>
    <w:r w:rsidRPr="00590648">
      <w:rPr>
        <w:rStyle w:val="SidhuvudUtskott"/>
      </w:rPr>
      <w:fldChar w:fldCharType="end"/>
    </w:r>
  </w:p>
  <w:p w:rsidR="00DD69FA" w:rsidRPr="00590648" w:rsidRDefault="00DD69F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Reservationer</w:t>
    </w:r>
    <w:r w:rsidRPr="00590648">
      <w:rPr>
        <w:rStyle w:val="SidhuvudRubrikReferens"/>
      </w:rPr>
      <w:fldChar w:fldCharType="end"/>
    </w:r>
    <w:r w:rsidRPr="00590648">
      <w:rPr>
        <w:rStyle w:val="SidhuvudBilaga"/>
      </w:rPr>
      <w:t xml:space="preserve">   BILAGA 1 </w:t>
    </w:r>
    <w:r w:rsidRPr="00590648">
      <w:t xml:space="preserve">     </w:t>
    </w: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w:instrText>
    </w:r>
    <w:r w:rsidRPr="00590648">
      <w:instrText xml:space="preserve"> </w:instrText>
    </w:r>
    <w:r w:rsidRPr="00590648">
      <w:rPr>
        <w:rStyle w:val="SidhuvudUtskott"/>
      </w:rPr>
      <w:instrText>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w:instrText>
    </w:r>
    <w:r w:rsidRPr="00590648">
      <w:rPr>
        <w:rStyle w:val="SidhuvudUtskott"/>
      </w:rPr>
      <w:instrText>C</w:instrText>
    </w:r>
    <w:r w:rsidRPr="00590648">
      <w:rPr>
        <w:rStyle w:val="SidhuvudUtskott"/>
      </w:rPr>
      <w:instrText>PROPERTY Betä</w:instrText>
    </w:r>
    <w:r w:rsidRPr="00590648">
      <w:rPr>
        <w:rStyle w:val="SidhuvudUtskott"/>
      </w:rPr>
      <w:instrText>n</w:instrText>
    </w:r>
    <w:r w:rsidRPr="00590648">
      <w:rPr>
        <w:rStyle w:val="SidhuvudUtskott"/>
      </w:rPr>
      <w:instrText>kandeNr</w:instrText>
    </w:r>
    <w:r w:rsidRPr="00590648">
      <w:rPr>
        <w:rStyle w:val="SidhuvudUtskott"/>
      </w:rPr>
      <w:fldChar w:fldCharType="separate"/>
    </w:r>
    <w:r w:rsidRPr="00590648">
      <w:rPr>
        <w:rStyle w:val="SidhuvudUtskott"/>
      </w:rPr>
      <w:t>19</w:t>
    </w:r>
    <w:r w:rsidRPr="00590648">
      <w:rPr>
        <w:rStyle w:val="SidhuvudUtskott"/>
      </w:rPr>
      <w:fldChar w:fldCharType="end"/>
    </w:r>
  </w:p>
  <w:p w:rsidR="00DD69FA" w:rsidRPr="00590648" w:rsidRDefault="00DD69FA">
    <w:pPr>
      <w:pStyle w:val="SidhuvudKantUdda"/>
      <w:framePr w:w="8732" w:h="567" w:hRule="exact" w:vSpace="0" w:wrap="around" w:vAnchor="page" w:y="341" w:anchorLock="0"/>
    </w:pP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w:instrText>
    </w:r>
    <w:r w:rsidRPr="00590648">
      <w:rPr>
        <w:rStyle w:val="SidhuvudUtskott"/>
      </w:rPr>
      <w:fldChar w:fldCharType="begin" w:fldLock="1"/>
    </w:r>
    <w:r w:rsidRPr="00590648">
      <w:rPr>
        <w:rStyle w:val="SidhuvudUtskott"/>
      </w:rPr>
      <w:instrText xml:space="preserve"> PRINTDATE \@ "yyyy-MM-dd HH.mm    "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w:instrText>
    </w:r>
    <w:r w:rsidRPr="00590648">
      <w:rPr>
        <w:rStyle w:val="SidhuvudUtskott"/>
      </w:rPr>
      <w:instrText>O</w:instrText>
    </w:r>
    <w:r w:rsidRPr="00590648">
      <w:rPr>
        <w:rStyle w:val="SidhuvudUtskott"/>
      </w:rPr>
      <w:instrText>PERTY Status</w:instrText>
    </w:r>
    <w:r w:rsidRPr="00590648">
      <w:rPr>
        <w:rStyle w:val="SidhuvudUtskott"/>
      </w:rPr>
      <w:fldChar w:fldCharType="end"/>
    </w:r>
  </w:p>
  <w:p w:rsidR="00DD69FA" w:rsidRPr="00590648" w:rsidRDefault="00DD69F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r w:rsidRPr="00590648">
      <w:rPr>
        <w:rStyle w:val="SidhuvudBilaga"/>
      </w:rPr>
      <w:t xml:space="preserve"> BILAGA 1   </w:t>
    </w:r>
    <w:r w:rsidRPr="00590648">
      <w:rPr>
        <w:rStyle w:val="SidhuvudRubrikReferens"/>
      </w:rPr>
      <w:t>Förteckning över behandlade förslag</w:t>
    </w:r>
  </w:p>
  <w:p w:rsidR="00DD69FA" w:rsidRPr="00590648" w:rsidRDefault="00DD69FA">
    <w:pPr>
      <w:pStyle w:val="SidhuvudKantJmn"/>
      <w:framePr w:w="8732" w:h="567" w:hRule="exact" w:vSpace="0" w:wrap="around" w:vAnchor="page" w:y="341" w:anchorLock="0"/>
    </w:pPr>
  </w:p>
  <w:p w:rsidR="00DD69FA" w:rsidRPr="00590648" w:rsidRDefault="00DD69F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t>Förteckning över behandlade förslag</w:t>
    </w:r>
    <w:r w:rsidRPr="00590648">
      <w:rPr>
        <w:rStyle w:val="SidhuvudBilaga"/>
      </w:rPr>
      <w:t xml:space="preserve">   BILAGA 1 </w:t>
    </w: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p>
  <w:p w:rsidR="00DD69FA" w:rsidRPr="00590648" w:rsidRDefault="00DD69FA">
    <w:pPr>
      <w:pStyle w:val="SidhuvudKantJmn"/>
      <w:framePr w:w="8732" w:h="567" w:hRule="exact" w:vSpace="0" w:wrap="around" w:vAnchor="page" w:y="341" w:anchorLock="0"/>
    </w:pPr>
  </w:p>
  <w:p w:rsidR="00DD69FA" w:rsidRPr="00590648" w:rsidRDefault="00DD69FA">
    <w:pPr>
      <w:pStyle w:val="SidhuvudKantUdda"/>
      <w:framePr w:w="8732" w:h="567" w:hRule="exact" w:vSpace="0" w:wrap="around" w:vAnchor="page" w:y="341" w:anchorLock="0"/>
    </w:pPr>
    <w:r w:rsidRPr="00590648">
      <w:rPr>
        <w:rStyle w:val="SidhuvudRubrikReferens"/>
        <w:smallCaps w:val="0"/>
        <w:spacing w:val="0"/>
        <w:sz w:val="19"/>
      </w:rPr>
      <w:t xml:space="preserve"> </w:t>
    </w:r>
  </w:p>
  <w:p w:rsidR="00DD69FA" w:rsidRPr="00590648" w:rsidRDefault="00DD69F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rPr>
        <w:rStyle w:val="SidhuvudRubrikReferens"/>
      </w:rPr>
    </w:pPr>
    <w:r w:rsidRPr="00590648">
      <w:rPr>
        <w:rStyle w:val="SidhuvudUtskott"/>
      </w:rPr>
      <w:t>2001/02:FiU19</w:t>
    </w:r>
    <w:r w:rsidRPr="00590648">
      <w:t xml:space="preserve">     </w:t>
    </w:r>
    <w:r w:rsidRPr="00590648">
      <w:rPr>
        <w:rStyle w:val="SidhuvudBilaga"/>
      </w:rPr>
      <w:t xml:space="preserve"> BILAGA 2     </w:t>
    </w:r>
    <w:r w:rsidRPr="00590648">
      <w:rPr>
        <w:rStyle w:val="SidhuvudRubrikReferens"/>
      </w:rPr>
      <w:t xml:space="preserve">Konstitutionsutskottets protokollsutdrag </w:t>
    </w:r>
  </w:p>
  <w:p w:rsidR="00DD69FA" w:rsidRPr="00590648" w:rsidRDefault="00DD69FA">
    <w:pPr>
      <w:pStyle w:val="SidhuvudKantJmn"/>
      <w:framePr w:w="8732" w:h="567" w:hRule="exact" w:vSpace="0" w:wrap="around" w:vAnchor="page" w:y="341" w:anchorLock="0"/>
    </w:pPr>
    <w:r w:rsidRPr="00590648">
      <w:rPr>
        <w:rStyle w:val="SidhuvudRubrikReferens"/>
      </w:rPr>
      <w:t xml:space="preserve">                                                       och tillhörande pm</w:t>
    </w:r>
  </w:p>
  <w:p w:rsidR="00DD69FA" w:rsidRPr="00590648" w:rsidRDefault="00DD69F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rPr>
        <w:rStyle w:val="SidhuvudUtskott"/>
      </w:rPr>
    </w:pPr>
    <w:r w:rsidRPr="00590648">
      <w:rPr>
        <w:rStyle w:val="SidhuvudRubrikReferens"/>
      </w:rPr>
      <w:t xml:space="preserve">Konstitutionsutskottets protokollsutdrag                    </w:t>
    </w:r>
    <w:r w:rsidRPr="00590648">
      <w:rPr>
        <w:rStyle w:val="SidhuvudBilaga"/>
      </w:rPr>
      <w:t xml:space="preserve">  BILAGA 2 </w:t>
    </w: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jc w:val="left"/>
    </w:pPr>
    <w:r w:rsidRPr="00590648">
      <w:rPr>
        <w:rStyle w:val="SidhuvudUtskott"/>
      </w:rPr>
      <w:t xml:space="preserve">                             </w:t>
    </w:r>
    <w:r w:rsidRPr="00590648">
      <w:rPr>
        <w:rStyle w:val="SidhuvudRubrikReferens"/>
        <w:sz w:val="14"/>
      </w:rPr>
      <w:t>OCH TILLHÖRANDE PM</w:t>
    </w:r>
    <w:r w:rsidRPr="00590648">
      <w:rPr>
        <w:rStyle w:val="SidhuvudUtskott"/>
      </w:rPr>
      <w:t xml:space="preserve"> </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 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BetänkandeNr</w:instrText>
    </w:r>
    <w:r w:rsidRPr="00590648">
      <w:rPr>
        <w:rStyle w:val="SidhuvudUtskott"/>
      </w:rPr>
      <w:fldChar w:fldCharType="separate"/>
    </w:r>
    <w:r w:rsidRPr="00590648">
      <w:rPr>
        <w:rStyle w:val="SidhuvudUtskott"/>
      </w:rPr>
      <w:t>19</w:t>
    </w:r>
    <w:r w:rsidRPr="00590648">
      <w:rPr>
        <w:rStyle w:val="SidhuvudUtskott"/>
      </w:rPr>
      <w:fldChar w:fldCharType="end"/>
    </w:r>
    <w:r w:rsidRPr="00590648">
      <w:t xml:space="preserve">     </w:t>
    </w:r>
    <w:r w:rsidRPr="00590648">
      <w:rPr>
        <w:rStyle w:val="SidhuvudBilaga"/>
      </w:rPr>
      <w:t xml:space="preserve"> BILAGA 3   </w:t>
    </w: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Konstitutionsutskottets protokollsutdrag 2001/02:42</w:t>
    </w:r>
    <w:r w:rsidRPr="00590648">
      <w:rPr>
        <w:rStyle w:val="SidhuvudRubrikReferens"/>
      </w:rPr>
      <w:fldChar w:fldCharType="end"/>
    </w:r>
  </w:p>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Status</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    </w:instrText>
    </w:r>
    <w:r w:rsidRPr="00590648">
      <w:rPr>
        <w:rStyle w:val="SidhuvudUtskott"/>
      </w:rPr>
      <w:fldChar w:fldCharType="begin" w:fldLock="1"/>
    </w:r>
    <w:r w:rsidRPr="00590648">
      <w:rPr>
        <w:rStyle w:val="SidhuvudUtskott"/>
      </w:rPr>
      <w:instrText xml:space="preserve"> PRINTDATE \@ "yyyy-MM-dd HH.mm"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p>
  <w:p w:rsidR="00DD69FA" w:rsidRPr="00590648" w:rsidRDefault="00DD69F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Konstitutionsutskottets protokollsutdrag 2001/02:42</w:t>
    </w:r>
    <w:r w:rsidRPr="00590648">
      <w:rPr>
        <w:rStyle w:val="SidhuvudRubrikReferens"/>
      </w:rPr>
      <w:fldChar w:fldCharType="end"/>
    </w:r>
    <w:r w:rsidRPr="00590648">
      <w:rPr>
        <w:rStyle w:val="SidhuvudBilaga"/>
      </w:rPr>
      <w:t xml:space="preserve">   BILAGA 3 </w:t>
    </w:r>
    <w:r w:rsidRPr="00590648">
      <w:t xml:space="preserve">     </w:t>
    </w: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w:instrText>
    </w:r>
    <w:r w:rsidRPr="00590648">
      <w:instrText xml:space="preserve"> </w:instrText>
    </w:r>
    <w:r w:rsidRPr="00590648">
      <w:rPr>
        <w:rStyle w:val="SidhuvudUtskott"/>
      </w:rPr>
      <w:instrText>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w:instrText>
    </w:r>
    <w:r w:rsidRPr="00590648">
      <w:rPr>
        <w:rStyle w:val="SidhuvudUtskott"/>
      </w:rPr>
      <w:instrText>C</w:instrText>
    </w:r>
    <w:r w:rsidRPr="00590648">
      <w:rPr>
        <w:rStyle w:val="SidhuvudUtskott"/>
      </w:rPr>
      <w:instrText>PROPERTY Betä</w:instrText>
    </w:r>
    <w:r w:rsidRPr="00590648">
      <w:rPr>
        <w:rStyle w:val="SidhuvudUtskott"/>
      </w:rPr>
      <w:instrText>n</w:instrText>
    </w:r>
    <w:r w:rsidRPr="00590648">
      <w:rPr>
        <w:rStyle w:val="SidhuvudUtskott"/>
      </w:rPr>
      <w:instrText>kandeNr</w:instrText>
    </w:r>
    <w:r w:rsidRPr="00590648">
      <w:rPr>
        <w:rStyle w:val="SidhuvudUtskott"/>
      </w:rPr>
      <w:fldChar w:fldCharType="separate"/>
    </w:r>
    <w:r w:rsidRPr="00590648">
      <w:rPr>
        <w:rStyle w:val="SidhuvudUtskott"/>
      </w:rPr>
      <w:t>19</w:t>
    </w:r>
    <w:r w:rsidRPr="00590648">
      <w:rPr>
        <w:rStyle w:val="SidhuvudUtskott"/>
      </w:rPr>
      <w:fldChar w:fldCharType="end"/>
    </w:r>
  </w:p>
  <w:p w:rsidR="00DD69FA" w:rsidRPr="00590648" w:rsidRDefault="00DD69FA">
    <w:pPr>
      <w:pStyle w:val="SidhuvudKantUdda"/>
      <w:framePr w:w="8732" w:h="567" w:hRule="exact" w:vSpace="0" w:wrap="around" w:vAnchor="page" w:y="341" w:anchorLock="0"/>
    </w:pP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w:instrText>
    </w:r>
    <w:r w:rsidRPr="00590648">
      <w:rPr>
        <w:rStyle w:val="SidhuvudUtskott"/>
      </w:rPr>
      <w:fldChar w:fldCharType="begin" w:fldLock="1"/>
    </w:r>
    <w:r w:rsidRPr="00590648">
      <w:rPr>
        <w:rStyle w:val="SidhuvudUtskott"/>
      </w:rPr>
      <w:instrText xml:space="preserve"> PRINTDATE \@ "yyyy-MM-dd HH.mm    "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w:instrText>
    </w:r>
    <w:r w:rsidRPr="00590648">
      <w:rPr>
        <w:rStyle w:val="SidhuvudUtskott"/>
      </w:rPr>
      <w:instrText>O</w:instrText>
    </w:r>
    <w:r w:rsidRPr="00590648">
      <w:rPr>
        <w:rStyle w:val="SidhuvudUtskott"/>
      </w:rPr>
      <w:instrText>PERTY Status</w:instrText>
    </w:r>
    <w:r w:rsidRPr="00590648">
      <w:rPr>
        <w:rStyle w:val="SidhuvudUtskott"/>
      </w:rPr>
      <w:fldChar w:fldCharType="end"/>
    </w:r>
  </w:p>
  <w:p w:rsidR="00DD69FA" w:rsidRPr="00590648" w:rsidRDefault="00DD69F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t xml:space="preserve"> </w:t>
    </w:r>
  </w:p>
  <w:p w:rsidR="00DD69FA" w:rsidRPr="00590648" w:rsidRDefault="00DD69F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p>
  <w:p w:rsidR="00DD69FA" w:rsidRPr="00590648" w:rsidRDefault="00DD69FA">
    <w:pPr>
      <w:pStyle w:val="SidhuvudKantJmn"/>
      <w:framePr w:w="8732" w:h="567" w:hRule="exact" w:vSpace="0" w:wrap="around" w:vAnchor="page" w:y="341" w:anchorLock="0"/>
    </w:pPr>
  </w:p>
  <w:p w:rsidR="00DD69FA" w:rsidRPr="00590648" w:rsidRDefault="00DD69FA">
    <w:pPr>
      <w:pStyle w:val="SidhuvudKantUdda"/>
      <w:framePr w:w="8732" w:h="567" w:hRule="exact" w:vSpace="0" w:wrap="around" w:vAnchor="page" w:y="341" w:anchorLock="0"/>
    </w:pPr>
    <w:r w:rsidRPr="00590648">
      <w:rPr>
        <w:rStyle w:val="SidhuvudRubrikReferens"/>
        <w:smallCaps w:val="0"/>
        <w:spacing w:val="0"/>
        <w:sz w:val="19"/>
      </w:rPr>
      <w:t xml:space="preserve"> </w:t>
    </w:r>
  </w:p>
  <w:p w:rsidR="00DD69FA" w:rsidRPr="00590648" w:rsidRDefault="00DD69FA">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r w:rsidRPr="00590648">
      <w:rPr>
        <w:rStyle w:val="SidhuvudBilaga"/>
      </w:rPr>
      <w:t xml:space="preserve"> BILAGA 4   </w:t>
    </w:r>
    <w:r w:rsidRPr="00590648">
      <w:rPr>
        <w:rStyle w:val="SidhuvudRubrikReferens"/>
      </w:rPr>
      <w:t>Socialutskottets yttrande</w:t>
    </w:r>
  </w:p>
  <w:p w:rsidR="00DD69FA" w:rsidRPr="00590648" w:rsidRDefault="00DD69FA">
    <w:pPr>
      <w:pStyle w:val="SidhuvudKantJmn"/>
      <w:framePr w:w="8732" w:h="567" w:hRule="exact" w:vSpace="0" w:wrap="around" w:vAnchor="page" w:y="341" w:anchorLock="0"/>
    </w:pPr>
  </w:p>
  <w:p w:rsidR="00DD69FA" w:rsidRPr="00590648" w:rsidRDefault="00DD69FA">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t>Socialutskottets yttrande</w:t>
    </w:r>
    <w:r w:rsidRPr="00590648">
      <w:rPr>
        <w:rStyle w:val="SidhuvudBilaga"/>
      </w:rPr>
      <w:t xml:space="preserve">   BILAGA 4 </w:t>
    </w: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r w:rsidRPr="00590648">
      <w:rPr>
        <w:rStyle w:val="SidhuvudBilaga"/>
      </w:rPr>
      <w:t xml:space="preserve"> BILAGA 5   </w:t>
    </w:r>
    <w:r w:rsidRPr="00590648">
      <w:rPr>
        <w:rStyle w:val="SidhuvudRubrikReferens"/>
      </w:rPr>
      <w:t>Utbildningsutskottets yttrande</w:t>
    </w:r>
  </w:p>
  <w:p w:rsidR="00DD69FA" w:rsidRPr="00590648" w:rsidRDefault="00DD69FA">
    <w:pPr>
      <w:pStyle w:val="SidhuvudKantJmn"/>
      <w:framePr w:w="8732" w:h="567" w:hRule="exact" w:vSpace="0" w:wrap="around" w:vAnchor="page" w:y="341" w:anchorLock="0"/>
    </w:pPr>
  </w:p>
  <w:p w:rsidR="00DD69FA" w:rsidRPr="00590648" w:rsidRDefault="00DD69FA">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t>Utbildningsutskottets yttrande</w:t>
    </w:r>
    <w:r w:rsidRPr="00590648">
      <w:rPr>
        <w:rStyle w:val="SidhuvudBilaga"/>
      </w:rPr>
      <w:t xml:space="preserve">   BILAGA 5 </w:t>
    </w: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p>
  <w:p w:rsidR="00DD69FA" w:rsidRPr="00590648" w:rsidRDefault="00DD69FA">
    <w:pPr>
      <w:pStyle w:val="SidhuvudKantJmn"/>
      <w:framePr w:w="8732" w:h="567" w:hRule="exact" w:vSpace="0" w:wrap="around" w:vAnchor="page" w:y="341" w:anchorLock="0"/>
    </w:pPr>
  </w:p>
  <w:p w:rsidR="00DD69FA" w:rsidRPr="00590648" w:rsidRDefault="00DD69FA">
    <w:pPr>
      <w:pStyle w:val="SidhuvudKantUdda"/>
      <w:framePr w:w="8732" w:h="567" w:hRule="exact" w:vSpace="0" w:wrap="around" w:vAnchor="page" w:y="341" w:anchorLock="0"/>
    </w:pPr>
    <w:r w:rsidRPr="00590648">
      <w:rPr>
        <w:rStyle w:val="SidhuvudRubrikReferens"/>
        <w:smallCaps w:val="0"/>
        <w:spacing w:val="0"/>
        <w:sz w:val="19"/>
      </w:rPr>
      <w:t xml:space="preserve"> </w:t>
    </w:r>
  </w:p>
  <w:p w:rsidR="00DD69FA" w:rsidRPr="00590648" w:rsidRDefault="00DD69F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 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BetänkandeNr</w:instrText>
    </w:r>
    <w:r w:rsidRPr="00590648">
      <w:rPr>
        <w:rStyle w:val="SidhuvudUtskott"/>
      </w:rPr>
      <w:fldChar w:fldCharType="separate"/>
    </w:r>
    <w:r w:rsidRPr="00590648">
      <w:rPr>
        <w:rStyle w:val="SidhuvudUtskott"/>
      </w:rPr>
      <w:t>19</w:t>
    </w:r>
    <w:r w:rsidRPr="00590648">
      <w:rPr>
        <w:rStyle w:val="SidhuvudUtskott"/>
      </w:rPr>
      <w:fldChar w:fldCharType="end"/>
    </w:r>
    <w:r w:rsidRPr="00590648">
      <w:t xml:space="preserve">     </w:t>
    </w:r>
    <w:r w:rsidRPr="00590648">
      <w:rPr>
        <w:rStyle w:val="SidhuvudBilaga"/>
      </w:rPr>
      <w:t xml:space="preserve"> </w:t>
    </w: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Sammanfattning</w:t>
    </w:r>
    <w:r w:rsidRPr="00590648">
      <w:rPr>
        <w:rStyle w:val="SidhuvudRubrikReferens"/>
      </w:rPr>
      <w:fldChar w:fldCharType="end"/>
    </w:r>
  </w:p>
  <w:p w:rsidR="00DD69FA" w:rsidRPr="00590648" w:rsidRDefault="00DD69FA">
    <w:pPr>
      <w:pStyle w:val="SidhuvudKantJmn"/>
      <w:framePr w:w="8732" w:h="567" w:hRule="exact" w:vSpace="0" w:wrap="around" w:vAnchor="page" w:y="341" w:anchorLock="0"/>
    </w:pPr>
    <w:r w:rsidRPr="00590648">
      <w:rPr>
        <w:rStyle w:val="SidhuvudUtskott"/>
      </w:rPr>
      <w:fldChar w:fldCharType="begin" w:fldLock="1"/>
    </w:r>
    <w:r w:rsidRPr="00590648">
      <w:rPr>
        <w:rStyle w:val="SidhuvudUtskott"/>
      </w:rPr>
      <w:instrText xml:space="preserve"> DOCPROPERTY Status</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    </w:instrText>
    </w:r>
    <w:r w:rsidRPr="00590648">
      <w:rPr>
        <w:rStyle w:val="SidhuvudUtskott"/>
      </w:rPr>
      <w:fldChar w:fldCharType="begin" w:fldLock="1"/>
    </w:r>
    <w:r w:rsidRPr="00590648">
      <w:rPr>
        <w:rStyle w:val="SidhuvudUtskott"/>
      </w:rPr>
      <w:instrText xml:space="preserve"> PRINTDATE \@ "yyyy-MM-dd HH.mm"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p>
  <w:p w:rsidR="00DD69FA" w:rsidRPr="00590648" w:rsidRDefault="00DD69F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Sammanfattning</w:t>
    </w:r>
    <w:r w:rsidRPr="00590648">
      <w:rPr>
        <w:rStyle w:val="SidhuvudRubrikReferens"/>
      </w:rPr>
      <w:fldChar w:fldCharType="end"/>
    </w:r>
    <w:r w:rsidRPr="00590648">
      <w:rPr>
        <w:rStyle w:val="SidhuvudBilaga"/>
      </w:rPr>
      <w:t xml:space="preserve"> </w:t>
    </w:r>
    <w:r w:rsidRPr="00590648">
      <w:t xml:space="preserve">     </w:t>
    </w: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w:instrText>
    </w:r>
    <w:r w:rsidRPr="00590648">
      <w:instrText xml:space="preserve"> </w:instrText>
    </w:r>
    <w:r w:rsidRPr="00590648">
      <w:rPr>
        <w:rStyle w:val="SidhuvudUtskott"/>
      </w:rPr>
      <w:instrText>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w:instrText>
    </w:r>
    <w:r w:rsidRPr="00590648">
      <w:rPr>
        <w:rStyle w:val="SidhuvudUtskott"/>
      </w:rPr>
      <w:instrText>n</w:instrText>
    </w:r>
    <w:r w:rsidRPr="00590648">
      <w:rPr>
        <w:rStyle w:val="SidhuvudUtskott"/>
      </w:rPr>
      <w:instrText>kandeNr</w:instrText>
    </w:r>
    <w:r w:rsidRPr="00590648">
      <w:rPr>
        <w:rStyle w:val="SidhuvudUtskott"/>
      </w:rPr>
      <w:fldChar w:fldCharType="separate"/>
    </w:r>
    <w:r w:rsidRPr="00590648">
      <w:rPr>
        <w:rStyle w:val="SidhuvudUtskott"/>
      </w:rPr>
      <w:t>19</w:t>
    </w:r>
    <w:r w:rsidRPr="00590648">
      <w:rPr>
        <w:rStyle w:val="SidhuvudUtskott"/>
      </w:rPr>
      <w:fldChar w:fldCharType="end"/>
    </w:r>
  </w:p>
  <w:p w:rsidR="00DD69FA" w:rsidRPr="00590648" w:rsidRDefault="00DD69FA">
    <w:pPr>
      <w:pStyle w:val="SidhuvudKantUdda"/>
      <w:framePr w:w="8732" w:h="567" w:hRule="exact" w:vSpace="0" w:wrap="around" w:vAnchor="page" w:y="341" w:anchorLock="0"/>
    </w:pP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w:instrText>
    </w:r>
    <w:r w:rsidRPr="00590648">
      <w:rPr>
        <w:rStyle w:val="SidhuvudUtskott"/>
      </w:rPr>
      <w:fldChar w:fldCharType="begin" w:fldLock="1"/>
    </w:r>
    <w:r w:rsidRPr="00590648">
      <w:rPr>
        <w:rStyle w:val="SidhuvudUtskott"/>
      </w:rPr>
      <w:instrText xml:space="preserve"> PRINTDATE \@ "yyyy-MM-dd HH.mm    "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w:instrText>
    </w:r>
    <w:r w:rsidRPr="00590648">
      <w:rPr>
        <w:rStyle w:val="SidhuvudUtskott"/>
      </w:rPr>
      <w:instrText>O</w:instrText>
    </w:r>
    <w:r w:rsidRPr="00590648">
      <w:rPr>
        <w:rStyle w:val="SidhuvudUtskott"/>
      </w:rPr>
      <w:instrText>PERTY Status</w:instrText>
    </w:r>
    <w:r w:rsidRPr="00590648">
      <w:rPr>
        <w:rStyle w:val="SidhuvudUtskott"/>
      </w:rPr>
      <w:fldChar w:fldCharType="end"/>
    </w:r>
  </w:p>
  <w:p w:rsidR="00DD69FA" w:rsidRPr="00590648" w:rsidRDefault="00DD69F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p>
  <w:p w:rsidR="00DD69FA" w:rsidRPr="00590648" w:rsidRDefault="00DD69FA">
    <w:pPr>
      <w:pStyle w:val="SidhuvudKantJmn"/>
      <w:framePr w:w="8732" w:h="567" w:hRule="exact" w:vSpace="0" w:wrap="around" w:vAnchor="page" w:y="341" w:anchorLock="0"/>
    </w:pPr>
  </w:p>
  <w:p w:rsidR="00DD69FA" w:rsidRPr="00590648" w:rsidRDefault="00DD69FA">
    <w:pPr>
      <w:pStyle w:val="SidhuvudKantUdda"/>
      <w:framePr w:w="8732" w:h="567" w:hRule="exact" w:vSpace="0" w:wrap="around" w:vAnchor="page" w:y="341" w:anchorLock="0"/>
    </w:pPr>
    <w:r w:rsidRPr="00590648">
      <w:rPr>
        <w:rStyle w:val="SidhuvudRubrikReferens"/>
        <w:smallCaps w:val="0"/>
        <w:spacing w:val="0"/>
        <w:sz w:val="19"/>
      </w:rPr>
      <w:t xml:space="preserve"> </w:t>
    </w:r>
  </w:p>
  <w:p w:rsidR="00DD69FA" w:rsidRPr="00590648" w:rsidRDefault="00DD69F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Jmn"/>
      <w:framePr w:w="8732" w:h="567" w:hRule="exact" w:vSpace="0" w:wrap="around" w:vAnchor="page" w:y="341" w:anchorLock="0"/>
    </w:pPr>
    <w:r w:rsidRPr="00590648">
      <w:rPr>
        <w:rStyle w:val="SidhuvudUtskott"/>
      </w:rPr>
      <w:t>2001/02:FiU19</w:t>
    </w:r>
    <w:r w:rsidRPr="00590648">
      <w:t xml:space="preserve">     </w:t>
    </w:r>
    <w:r w:rsidRPr="00590648">
      <w:rPr>
        <w:rStyle w:val="SidhuvudBilaga"/>
      </w:rPr>
      <w:t xml:space="preserve"> </w:t>
    </w:r>
    <w:r w:rsidRPr="00590648">
      <w:rPr>
        <w:rStyle w:val="SidhuvudRubrikReferens"/>
      </w:rPr>
      <w:t>Utskottets förslag till riksdagsbeslut</w:t>
    </w:r>
  </w:p>
  <w:p w:rsidR="00DD69FA" w:rsidRPr="00590648" w:rsidRDefault="00DD69FA">
    <w:pPr>
      <w:pStyle w:val="SidhuvudKantJmn"/>
      <w:framePr w:w="8732" w:h="567" w:hRule="exact" w:vSpace="0" w:wrap="around" w:vAnchor="page" w:y="341" w:anchorLock="0"/>
    </w:pPr>
  </w:p>
  <w:p w:rsidR="00DD69FA" w:rsidRPr="00590648" w:rsidRDefault="00DD69F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rPr>
        <w:rStyle w:val="SidhuvudRubrikReferens"/>
      </w:rPr>
      <w:fldChar w:fldCharType="begin" w:fldLock="1"/>
    </w:r>
    <w:r w:rsidRPr="00590648">
      <w:rPr>
        <w:rStyle w:val="SidhuvudRubrikReferens"/>
      </w:rPr>
      <w:instrText xml:space="preserve"> StyleREF "Rubrik 1" </w:instrText>
    </w:r>
    <w:r w:rsidRPr="00590648">
      <w:rPr>
        <w:rStyle w:val="SidhuvudRubrikReferens"/>
      </w:rPr>
      <w:fldChar w:fldCharType="separate"/>
    </w:r>
    <w:r w:rsidRPr="00590648">
      <w:rPr>
        <w:rStyle w:val="SidhuvudRubrikReferens"/>
      </w:rPr>
      <w:t>Innehållsförteckning</w:t>
    </w:r>
    <w:r w:rsidRPr="00590648">
      <w:rPr>
        <w:rStyle w:val="SidhuvudRubrikReferens"/>
      </w:rPr>
      <w:fldChar w:fldCharType="end"/>
    </w:r>
    <w:r w:rsidRPr="00590648">
      <w:rPr>
        <w:rStyle w:val="SidhuvudBilaga"/>
      </w:rPr>
      <w:t xml:space="preserve"> </w:t>
    </w:r>
    <w:r w:rsidRPr="00590648">
      <w:t xml:space="preserve">     </w:t>
    </w:r>
    <w:r w:rsidRPr="00590648">
      <w:rPr>
        <w:rStyle w:val="SidhuvudUtskott"/>
      </w:rPr>
      <w:fldChar w:fldCharType="begin" w:fldLock="1"/>
    </w:r>
    <w:r w:rsidRPr="00590648">
      <w:rPr>
        <w:rStyle w:val="SidhuvudUtskott"/>
      </w:rPr>
      <w:instrText xml:space="preserve"> DOCPROPERTY BetänkandeÅr</w:instrText>
    </w:r>
    <w:r w:rsidRPr="00590648">
      <w:rPr>
        <w:rStyle w:val="SidhuvudUtskott"/>
      </w:rPr>
      <w:fldChar w:fldCharType="separate"/>
    </w:r>
    <w:r w:rsidRPr="00590648">
      <w:rPr>
        <w:rStyle w:val="SidhuvudUtskott"/>
      </w:rPr>
      <w:t>2001/02</w:t>
    </w:r>
    <w:r w:rsidRPr="00590648">
      <w:rPr>
        <w:rStyle w:val="SidhuvudUtskott"/>
      </w:rPr>
      <w:fldChar w:fldCharType="end"/>
    </w:r>
    <w:r w:rsidRPr="00590648">
      <w:rPr>
        <w:rStyle w:val="SidhuvudUtskott"/>
      </w:rPr>
      <w:t>:</w:t>
    </w:r>
    <w:r w:rsidRPr="00590648">
      <w:rPr>
        <w:rStyle w:val="SidhuvudUtskott"/>
      </w:rPr>
      <w:fldChar w:fldCharType="begin" w:fldLock="1"/>
    </w:r>
    <w:r w:rsidRPr="00590648">
      <w:rPr>
        <w:rStyle w:val="SidhuvudUtskott"/>
      </w:rPr>
      <w:instrText xml:space="preserve"> DOCPROPERTY</w:instrText>
    </w:r>
    <w:r w:rsidRPr="00590648">
      <w:instrText xml:space="preserve"> </w:instrText>
    </w:r>
    <w:r w:rsidRPr="00590648">
      <w:rPr>
        <w:rStyle w:val="SidhuvudUtskott"/>
      </w:rPr>
      <w:instrText>Utskott</w:instrText>
    </w:r>
    <w:r w:rsidRPr="00590648">
      <w:rPr>
        <w:rStyle w:val="SidhuvudUtskott"/>
      </w:rPr>
      <w:fldChar w:fldCharType="separate"/>
    </w:r>
    <w:r w:rsidRPr="00590648">
      <w:rPr>
        <w:rStyle w:val="SidhuvudUtskott"/>
      </w:rPr>
      <w:t>FiU</w: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DOCPROPERTY Betä</w:instrText>
    </w:r>
    <w:r w:rsidRPr="00590648">
      <w:rPr>
        <w:rStyle w:val="SidhuvudUtskott"/>
      </w:rPr>
      <w:instrText>n</w:instrText>
    </w:r>
    <w:r w:rsidRPr="00590648">
      <w:rPr>
        <w:rStyle w:val="SidhuvudUtskott"/>
      </w:rPr>
      <w:instrText>kandeNr</w:instrText>
    </w:r>
    <w:r w:rsidRPr="00590648">
      <w:rPr>
        <w:rStyle w:val="SidhuvudUtskott"/>
      </w:rPr>
      <w:fldChar w:fldCharType="separate"/>
    </w:r>
    <w:r w:rsidRPr="00590648">
      <w:rPr>
        <w:rStyle w:val="SidhuvudUtskott"/>
      </w:rPr>
      <w:t>19</w:t>
    </w:r>
    <w:r w:rsidRPr="00590648">
      <w:rPr>
        <w:rStyle w:val="SidhuvudUtskott"/>
      </w:rPr>
      <w:fldChar w:fldCharType="end"/>
    </w:r>
  </w:p>
  <w:p w:rsidR="00DD69FA" w:rsidRPr="00590648" w:rsidRDefault="00DD69FA">
    <w:pPr>
      <w:pStyle w:val="SidhuvudKantUdda"/>
      <w:framePr w:w="8732" w:h="567" w:hRule="exact" w:vSpace="0" w:wrap="around" w:vAnchor="page" w:y="341" w:anchorLock="0"/>
    </w:pPr>
    <w:r w:rsidRPr="00590648">
      <w:rPr>
        <w:rStyle w:val="SidhuvudUtskott"/>
      </w:rPr>
      <w:fldChar w:fldCharType="begin" w:fldLock="1"/>
    </w:r>
    <w:r w:rsidRPr="00590648">
      <w:rPr>
        <w:rStyle w:val="SidhuvudUtskott"/>
      </w:rPr>
      <w:instrText xml:space="preserve"> if </w:instrText>
    </w:r>
    <w:r w:rsidRPr="00590648">
      <w:rPr>
        <w:rStyle w:val="SidhuvudUtskott"/>
      </w:rPr>
      <w:fldChar w:fldCharType="begin" w:fldLock="1"/>
    </w:r>
    <w:r w:rsidRPr="00590648">
      <w:rPr>
        <w:rStyle w:val="SidhuvudUtskott"/>
      </w:rPr>
      <w:instrText xml:space="preserve"> DOCPROPERTY "UtkastDatum"</w:instrText>
    </w:r>
    <w:r w:rsidRPr="00590648">
      <w:rPr>
        <w:rStyle w:val="SidhuvudUtskott"/>
      </w:rPr>
      <w:fldChar w:fldCharType="separate"/>
    </w:r>
    <w:r w:rsidRPr="00590648">
      <w:rPr>
        <w:rStyle w:val="SidhuvudUtskott"/>
      </w:rPr>
      <w:instrText>Nej</w:instrText>
    </w:r>
    <w:r w:rsidRPr="00590648">
      <w:rPr>
        <w:rStyle w:val="SidhuvudUtskott"/>
      </w:rPr>
      <w:fldChar w:fldCharType="end"/>
    </w:r>
    <w:r w:rsidRPr="00590648">
      <w:rPr>
        <w:rStyle w:val="SidhuvudUtskott"/>
      </w:rPr>
      <w:instrText xml:space="preserve"> = "Ja" "</w:instrText>
    </w:r>
    <w:r w:rsidRPr="00590648">
      <w:rPr>
        <w:rStyle w:val="SidhuvudUtskott"/>
      </w:rPr>
      <w:fldChar w:fldCharType="begin" w:fldLock="1"/>
    </w:r>
    <w:r w:rsidRPr="00590648">
      <w:rPr>
        <w:rStyle w:val="SidhuvudUtskott"/>
      </w:rPr>
      <w:instrText xml:space="preserve"> PRINTDATE \@ "yyyy-MM-dd HH.mm    " </w:instrText>
    </w:r>
    <w:r w:rsidRPr="00590648">
      <w:rPr>
        <w:rStyle w:val="SidhuvudUtskott"/>
      </w:rPr>
      <w:fldChar w:fldCharType="separate"/>
    </w:r>
    <w:r w:rsidRPr="00590648">
      <w:rPr>
        <w:rStyle w:val="SidhuvudUtskott"/>
      </w:rPr>
      <w:instrText>2000-08-11 16.42</w:instrText>
    </w:r>
    <w:r w:rsidRPr="00590648">
      <w:rPr>
        <w:rStyle w:val="SidhuvudUtskott"/>
      </w:rPr>
      <w:fldChar w:fldCharType="end"/>
    </w:r>
    <w:r w:rsidRPr="00590648">
      <w:rPr>
        <w:rStyle w:val="SidhuvudUtskott"/>
      </w:rPr>
      <w:instrText xml:space="preserve">" </w:instrText>
    </w:r>
    <w:r w:rsidRPr="00590648">
      <w:rPr>
        <w:rStyle w:val="SidhuvudUtskott"/>
      </w:rPr>
      <w:fldChar w:fldCharType="end"/>
    </w:r>
    <w:r w:rsidRPr="00590648">
      <w:rPr>
        <w:rStyle w:val="SidhuvudUtskott"/>
      </w:rPr>
      <w:fldChar w:fldCharType="begin" w:fldLock="1"/>
    </w:r>
    <w:r w:rsidRPr="00590648">
      <w:rPr>
        <w:rStyle w:val="SidhuvudUtskott"/>
      </w:rPr>
      <w:instrText xml:space="preserve"> DOCPR</w:instrText>
    </w:r>
    <w:r w:rsidRPr="00590648">
      <w:rPr>
        <w:rStyle w:val="SidhuvudUtskott"/>
      </w:rPr>
      <w:instrText>O</w:instrText>
    </w:r>
    <w:r w:rsidRPr="00590648">
      <w:rPr>
        <w:rStyle w:val="SidhuvudUtskott"/>
      </w:rPr>
      <w:instrText>PERTY Status</w:instrText>
    </w:r>
    <w:r w:rsidRPr="00590648">
      <w:rPr>
        <w:rStyle w:val="SidhuvudUtskott"/>
      </w:rPr>
      <w:fldChar w:fldCharType="end"/>
    </w:r>
  </w:p>
  <w:p w:rsidR="00DD69FA" w:rsidRPr="00590648" w:rsidRDefault="00DD69F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9FA" w:rsidRPr="00590648" w:rsidRDefault="00DD69FA">
    <w:pPr>
      <w:pStyle w:val="SidhuvudKantUdda"/>
      <w:framePr w:w="8732" w:h="567" w:hRule="exact" w:vSpace="0" w:wrap="around" w:vAnchor="page" w:y="341" w:anchorLock="0"/>
    </w:pPr>
    <w:r w:rsidRPr="00590648">
      <w:t xml:space="preserve">  </w:t>
    </w:r>
    <w:r w:rsidRPr="00590648">
      <w:rPr>
        <w:rStyle w:val="SidhuvudUtskott"/>
      </w:rPr>
      <w:t>2001/02:FiU19</w:t>
    </w:r>
  </w:p>
  <w:p w:rsidR="00DD69FA" w:rsidRPr="00590648" w:rsidRDefault="00DD69FA">
    <w:pPr>
      <w:pStyle w:val="SidhuvudKantUdda"/>
      <w:framePr w:w="8732" w:h="567" w:hRule="exact" w:vSpace="0" w:wrap="around" w:vAnchor="page" w:y="341" w:anchorLock="0"/>
    </w:pPr>
  </w:p>
  <w:p w:rsidR="00DD69FA" w:rsidRPr="00590648" w:rsidRDefault="00DD69F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7212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7F69B1"/>
    <w:rsid w:val="00590648"/>
    <w:rsid w:val="007F69B1"/>
    <w:rsid w:val="00DD69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EF0C7C-FC1C-4B33-AC5F-EAF39A36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7.xml"/><Relationship Id="rId68" Type="http://schemas.openxmlformats.org/officeDocument/2006/relationships/footer" Target="footer28.xml"/><Relationship Id="rId84"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image" Target="media/image4.png"/><Relationship Id="rId74" Type="http://schemas.openxmlformats.org/officeDocument/2006/relationships/footer" Target="footer31.xml"/><Relationship Id="rId79" Type="http://schemas.openxmlformats.org/officeDocument/2006/relationships/header" Target="header35.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footer" Target="foot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1.xml"/><Relationship Id="rId80" Type="http://schemas.openxmlformats.org/officeDocument/2006/relationships/footer" Target="footer34.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6.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oter" Target="footer3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6.xml"/><Relationship Id="rId65" Type="http://schemas.openxmlformats.org/officeDocument/2006/relationships/image" Target="media/image5.png"/><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3.xml"/><Relationship Id="rId7" Type="http://schemas.openxmlformats.org/officeDocument/2006/relationships/image" Target="media/image1.wmf"/><Relationship Id="rId71" Type="http://schemas.openxmlformats.org/officeDocument/2006/relationships/footer" Target="footer30.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28.xml"/><Relationship Id="rId61" Type="http://schemas.openxmlformats.org/officeDocument/2006/relationships/footer" Target="footer25.xml"/><Relationship Id="rId82" Type="http://schemas.openxmlformats.org/officeDocument/2006/relationships/header" Target="header3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13816</Words>
  <Characters>83727</Characters>
  <Application>Microsoft Office Word</Application>
  <DocSecurity>4</DocSecurity>
  <Lines>1947</Lines>
  <Paragraphs>696</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1 Yrkanden som behandlas i anslutning till skrivelsen</vt:lpstr>
      <vt:lpstr>    1.1 Skrivelsen om utvecklingen inom den kommunala sektorn</vt:lpstr>
      <vt:lpstr>    1.2 Förändringar av utjämningssystemet 2002</vt:lpstr>
      <vt:lpstr>    1.3 Kommunala bolag</vt:lpstr>
      <vt:lpstr>    1.4 Statistik om sjukvårdens produktivitet</vt:lpstr>
      <vt:lpstr>    1.5 Kommunernas miljöarbete</vt:lpstr>
      <vt:lpstr>    2 Tidigare behandlade motionsyrkanden</vt:lpstr>
      <vt:lpstr>Reservationer</vt:lpstr>
      <vt:lpstr>    1.	Förändringar av utjämningssystemet 2002 – punkt 2 (m)</vt:lpstr>
      <vt:lpstr>    2.	Kommunala bolag – punkt 3 (m, fp)</vt:lpstr>
      <vt:lpstr>    3.	Statistik om sjukvårdens produktivitet – punkt 4 (m, kd, fp)</vt:lpstr>
      <vt:lpstr>    4.	Kommunernas miljöarbete – punkt 5 (fp)</vt:lpstr>
      <vt:lpstr>    5.	Tidigare behandlade motionsyrkanden vad avser skolan –  punkt 6 (fp)</vt:lpstr>
      <vt:lpstr>    6.	Tidigare behandlade motionsyrkanden i övrigt – punkt 7 (m)</vt:lpstr>
      <vt:lpstr>    7.	Tidigare behandlade motionsyrkanden i övrigt – punkt 7 (kd)</vt:lpstr>
      <vt:lpstr>    8.	Tidigare behandlade motionsyrkanden i övrigt – punkt 7 (c)</vt:lpstr>
      <vt:lpstr>    9.	Tidigare behandlade motionsyrkanden i övrigt – punkt 7 (fp)</vt:lpstr>
      <vt:lpstr>Särskilda yttranden</vt:lpstr>
      <vt:lpstr>    1.   Förändringar av utjämningssystemet 2002 – punkt 2 (kd)</vt:lpstr>
      <vt:lpstr>    2.   Tidigare behandlade motionsyrkanden vad avser skolan –  punkt 6 (m)</vt:lpstr>
      <vt:lpstr>Förteckning över behandlade förslag</vt:lpstr>
      <vt:lpstr>    Skrivelsen</vt:lpstr>
      <vt:lpstr>    Följdmotioner</vt:lpstr>
      <vt:lpstr>    Motionsyrkande väckt med anledning av proposition 2001/02:100 2002 års ekonomisk</vt:lpstr>
      <vt:lpstr>Konstitutionsutskottets protokollsutdrag 2001/02:42</vt:lpstr>
      <vt:lpstr>Socialförsäkringsutskottets protokollsutdrag 2001/02:38</vt:lpstr>
      <vt:lpstr>Socialutskottets yttrande </vt:lpstr>
      <vt:lpstr>    Hälso- och sjukvård</vt:lpstr>
      <vt:lpstr>        Socialutskottets ställningstagande </vt:lpstr>
      <vt:lpstr>    Äldreomsorg</vt:lpstr>
      <vt:lpstr>        Socialutskottets ställningstagande</vt:lpstr>
      <vt:lpstr>        Handikappomsorg</vt:lpstr>
      <vt:lpstr>        Socialutskottets ställningstagande</vt:lpstr>
      <vt:lpstr>    Missbrukarvård</vt:lpstr>
      <vt:lpstr>        Socialutskottets ställningstagande</vt:lpstr>
      <vt:lpstr>Utbildningsutskottets yttrande </vt:lpstr>
      <vt:lpstr>        Motioner</vt:lpstr>
    </vt:vector>
  </TitlesOfParts>
  <Company>Riksdagen</Company>
  <LinksUpToDate>false</LinksUpToDate>
  <CharactersWithSpaces>96847</CharactersWithSpaces>
  <SharedDoc>false</SharedDoc>
  <HLinks>
    <vt:vector size="24" baseType="variant">
      <vt:variant>
        <vt:i4>655363</vt:i4>
      </vt:variant>
      <vt:variant>
        <vt:i4>-1</vt:i4>
      </vt:variant>
      <vt:variant>
        <vt:i4>1026</vt:i4>
      </vt:variant>
      <vt:variant>
        <vt:i4>1</vt:i4>
      </vt:variant>
      <vt:variant>
        <vt:lpwstr>W:\Birgitta\ProtKU.tif</vt:lpwstr>
      </vt:variant>
      <vt:variant>
        <vt:lpwstr/>
      </vt:variant>
      <vt:variant>
        <vt:i4>5373958</vt:i4>
      </vt:variant>
      <vt:variant>
        <vt:i4>-1</vt:i4>
      </vt:variant>
      <vt:variant>
        <vt:i4>1027</vt:i4>
      </vt:variant>
      <vt:variant>
        <vt:i4>1</vt:i4>
      </vt:variant>
      <vt:variant>
        <vt:lpwstr>W:\Birgitta\KUyttrsid1.tif</vt:lpwstr>
      </vt:variant>
      <vt:variant>
        <vt:lpwstr/>
      </vt:variant>
      <vt:variant>
        <vt:i4>5308422</vt:i4>
      </vt:variant>
      <vt:variant>
        <vt:i4>-1</vt:i4>
      </vt:variant>
      <vt:variant>
        <vt:i4>1028</vt:i4>
      </vt:variant>
      <vt:variant>
        <vt:i4>1</vt:i4>
      </vt:variant>
      <vt:variant>
        <vt:lpwstr>W:\Birgitta\KUyttrsid2.tif</vt:lpwstr>
      </vt:variant>
      <vt:variant>
        <vt:lpwstr/>
      </vt:variant>
      <vt:variant>
        <vt:i4>4980829</vt:i4>
      </vt:variant>
      <vt:variant>
        <vt:i4>-1</vt:i4>
      </vt:variant>
      <vt:variant>
        <vt:i4>1029</vt:i4>
      </vt:variant>
      <vt:variant>
        <vt:i4>1</vt:i4>
      </vt:variant>
      <vt:variant>
        <vt:lpwstr>W:\Birgitta\ProtSfU.tif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2002-06-05T12:58:00Z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