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BEF" w:rsidRPr="00091990" w:rsidRDefault="00B13BEF" w:rsidP="00384610">
      <w:pPr>
        <w:pStyle w:val="Hemstlrubrik"/>
      </w:pPr>
      <w:bookmarkStart w:id="0" w:name="_Toc495051497"/>
      <w:bookmarkStart w:id="1" w:name="_Toc495051498"/>
      <w:bookmarkStart w:id="2" w:name="_Toc83901801"/>
      <w:r w:rsidRPr="00091990">
        <w:t>Förslag till riksdagsbeslut</w:t>
      </w:r>
      <w:bookmarkEnd w:id="2"/>
    </w:p>
    <w:p w:rsidR="00B13BEF" w:rsidRPr="00091990" w:rsidRDefault="00B13BEF" w:rsidP="00B13BEF">
      <w:pPr>
        <w:pStyle w:val="Hemstlatt"/>
      </w:pPr>
      <w:r w:rsidRPr="00091990">
        <w:t xml:space="preserve">Riksdagen tillkännager för regeringen som sin mening vad i motionen anförs om </w:t>
      </w:r>
      <w:r w:rsidR="00A02EBB" w:rsidRPr="00091990">
        <w:t xml:space="preserve">behovet av </w:t>
      </w:r>
      <w:r w:rsidRPr="00091990">
        <w:t>att utvidga möjligheterna till uppskov med kapita</w:t>
      </w:r>
      <w:r w:rsidRPr="00091990">
        <w:t>l</w:t>
      </w:r>
      <w:r w:rsidRPr="00091990">
        <w:t>vinstb</w:t>
      </w:r>
      <w:r w:rsidRPr="00091990">
        <w:t>e</w:t>
      </w:r>
      <w:r w:rsidRPr="00091990">
        <w:t>skattningen vid överlåtelse av permanentbostad.</w:t>
      </w:r>
    </w:p>
    <w:bookmarkEnd w:id="0"/>
    <w:bookmarkEnd w:id="1"/>
    <w:p w:rsidR="00B13BEF" w:rsidRPr="00091990" w:rsidRDefault="00B13BEF" w:rsidP="00B13BEF">
      <w:pPr>
        <w:pStyle w:val="Rubrik1"/>
        <w:spacing w:line="240" w:lineRule="auto"/>
      </w:pPr>
      <w:r w:rsidRPr="00091990">
        <w:t>Motivering</w:t>
      </w:r>
    </w:p>
    <w:p w:rsidR="00B13BEF" w:rsidRPr="00091990" w:rsidRDefault="00B13BEF" w:rsidP="00B13BEF">
      <w:r w:rsidRPr="00091990">
        <w:t xml:space="preserve">Lagen 1993:1469 reglerar uppskovsavdrag vid byte av bostad. I förarbetena till lagen redovisas skälen till lagstiftningen. Bland annat anförs att uppskov med kapitalvinstskatten ökar möjligheter till byte av bostad, ökar rörligheten på bostadsmarknaden och ger positiva effekter på arbetsmarknaden. </w:t>
      </w:r>
    </w:p>
    <w:p w:rsidR="00B13BEF" w:rsidRPr="00091990" w:rsidRDefault="00B13BEF" w:rsidP="00384610">
      <w:pPr>
        <w:pStyle w:val="Normaltindrag"/>
      </w:pPr>
      <w:r w:rsidRPr="00091990">
        <w:t>Vid försäljningar av privatbostad beskattas 20 % av vinsten i inkomstsl</w:t>
      </w:r>
      <w:r w:rsidRPr="00091990">
        <w:t>a</w:t>
      </w:r>
      <w:r w:rsidRPr="00091990">
        <w:t>get kapital. Vinsten beräknas som skillnaden mellan försäljningsintäkt och omkostnadsbelopp. Ingen indexuppräkning sker. Försäljningsintäkten är pr</w:t>
      </w:r>
      <w:r w:rsidRPr="00091990">
        <w:t>i</w:t>
      </w:r>
      <w:r w:rsidRPr="00091990">
        <w:t>set för fastigheten minus försäljningskostnader (mäklarkostnader etc.).</w:t>
      </w:r>
    </w:p>
    <w:p w:rsidR="00B13BEF" w:rsidRPr="00091990" w:rsidRDefault="00B13BEF" w:rsidP="00384610">
      <w:pPr>
        <w:pStyle w:val="Normaltindrag"/>
      </w:pPr>
      <w:r w:rsidRPr="00091990">
        <w:t>För att klassas som privatbostad måste någon av följande förutsättningar vara uppfyllda:</w:t>
      </w:r>
    </w:p>
    <w:p w:rsidR="00B13BEF" w:rsidRPr="00091990" w:rsidRDefault="00B13BEF" w:rsidP="00384610">
      <w:pPr>
        <w:pStyle w:val="PunktlistaBomb"/>
        <w:tabs>
          <w:tab w:val="clear" w:pos="360"/>
        </w:tabs>
      </w:pPr>
      <w:r w:rsidRPr="00091990">
        <w:t>Småhuset ska helt eller till övervägande del (dvs. mer än 50 %) a</w:t>
      </w:r>
      <w:r w:rsidRPr="00091990">
        <w:t>n</w:t>
      </w:r>
      <w:r w:rsidRPr="00091990">
        <w:t>vändas eller vara avsett att användas för permanent boende eller för fritidsboende för äg</w:t>
      </w:r>
      <w:r w:rsidRPr="00091990">
        <w:t>a</w:t>
      </w:r>
      <w:r w:rsidRPr="00091990">
        <w:t>ren eller denne närstående.</w:t>
      </w:r>
    </w:p>
    <w:p w:rsidR="00B13BEF" w:rsidRPr="00091990" w:rsidRDefault="00B13BEF" w:rsidP="00384610">
      <w:pPr>
        <w:pStyle w:val="PunktlistaBomb"/>
        <w:tabs>
          <w:tab w:val="clear" w:pos="360"/>
        </w:tabs>
        <w:spacing w:before="0"/>
      </w:pPr>
      <w:r w:rsidRPr="00091990">
        <w:t>Tvåfamiljsfastighet ska helt eller till väsentlig del (dvs. minst 40 %) vara avsett att användas för permanent boende eller för fritidsboende för äg</w:t>
      </w:r>
      <w:r w:rsidRPr="00091990">
        <w:t>a</w:t>
      </w:r>
      <w:r w:rsidRPr="00091990">
        <w:t xml:space="preserve">ren eller denne närstående. </w:t>
      </w:r>
    </w:p>
    <w:p w:rsidR="00B13BEF" w:rsidRPr="00091990" w:rsidRDefault="00B13BEF" w:rsidP="00384610">
      <w:pPr>
        <w:pStyle w:val="PunktlistaBomb"/>
        <w:tabs>
          <w:tab w:val="clear" w:pos="360"/>
        </w:tabs>
        <w:spacing w:before="0"/>
      </w:pPr>
      <w:r w:rsidRPr="00091990">
        <w:t>Avsikten med en obebyggd fastighet är att den ska bebyggas med en pr</w:t>
      </w:r>
      <w:r w:rsidRPr="00091990">
        <w:t>i</w:t>
      </w:r>
      <w:r w:rsidRPr="00091990">
        <w:t>vatbostad.</w:t>
      </w:r>
    </w:p>
    <w:p w:rsidR="00B13BEF" w:rsidRPr="00091990" w:rsidRDefault="00B13BEF" w:rsidP="00B13BEF">
      <w:r w:rsidRPr="00091990">
        <w:t>Den som sålt sin permanentbostad och köper en annan bostad kan få uppskov med kapitalvinstbeskattningen genom att på särskild blankett ansöka om uppskov i sin självdeklaration. Som permanentbostad räknas här:</w:t>
      </w:r>
    </w:p>
    <w:p w:rsidR="00B13BEF" w:rsidRPr="00091990" w:rsidRDefault="00B13BEF" w:rsidP="00384610">
      <w:pPr>
        <w:pStyle w:val="PunktlistaBomb"/>
        <w:tabs>
          <w:tab w:val="clear" w:pos="360"/>
        </w:tabs>
      </w:pPr>
      <w:r w:rsidRPr="00091990">
        <w:lastRenderedPageBreak/>
        <w:t>privatbostad där ägaren varit bosatt minst ett år omedelbart före försäl</w:t>
      </w:r>
      <w:r w:rsidRPr="00091990">
        <w:t>j</w:t>
      </w:r>
      <w:r w:rsidRPr="00091990">
        <w:t xml:space="preserve">ningen eller </w:t>
      </w:r>
    </w:p>
    <w:p w:rsidR="00B13BEF" w:rsidRPr="00091990" w:rsidRDefault="00B13BEF" w:rsidP="00384610">
      <w:pPr>
        <w:pStyle w:val="PunktlistaBomb"/>
        <w:tabs>
          <w:tab w:val="clear" w:pos="360"/>
        </w:tabs>
        <w:spacing w:before="0"/>
      </w:pPr>
      <w:r w:rsidRPr="00091990">
        <w:t>privatbostad där ägaren varit bosatt under minst tre av de senast fem åren.</w:t>
      </w:r>
    </w:p>
    <w:p w:rsidR="00B13BEF" w:rsidRPr="00091990" w:rsidRDefault="00B13BEF" w:rsidP="00CB732A">
      <w:r w:rsidRPr="00091990">
        <w:t>För att få uppskov måste vinsten uppgå till minst 50 000 kr. (I vissa tvång</w:t>
      </w:r>
      <w:r w:rsidRPr="00091990">
        <w:t>s</w:t>
      </w:r>
      <w:r w:rsidRPr="00091990">
        <w:t>försäljningsfall räcker det med en vinst på 10 000 kr.) Ersättningsbostaden ska vara ett småhus eller bostadsrätt, som anskaffas tid</w:t>
      </w:r>
      <w:r w:rsidRPr="00091990">
        <w:t>i</w:t>
      </w:r>
      <w:r w:rsidRPr="00091990">
        <w:t>gast året före och senast året efter försäljningen av den s.k. ursprungsbost</w:t>
      </w:r>
      <w:r w:rsidRPr="00091990">
        <w:t>a</w:t>
      </w:r>
      <w:r w:rsidRPr="00091990">
        <w:t>den. Tiden räknas här i kalenderår. En fastighet (småhus, fritidshus eller tomtmark för småhus) förvärvad andra kalenderåret före försäljningen av ursprungsbostaden eller tidigare kan också räknas som ersättningsbostad, om ny-, till- eller ombyg</w:t>
      </w:r>
      <w:r w:rsidRPr="00091990">
        <w:t>g</w:t>
      </w:r>
      <w:r w:rsidRPr="00091990">
        <w:t>nad har gjorts under tiden mellan den 1 januari året före försäljningen av ursprungsbostaden och den 2 maj andra året efter försäl</w:t>
      </w:r>
      <w:r w:rsidRPr="00091990">
        <w:t>j</w:t>
      </w:r>
      <w:r w:rsidRPr="00091990">
        <w:t>ningen. I dessa fall anses fastigheten vara köpt den 1 januari året före det år ursprungsbostaden såldes, men inköpspriset för sådan fastighet får inte vid beräkningen av up</w:t>
      </w:r>
      <w:r w:rsidRPr="00091990">
        <w:t>p</w:t>
      </w:r>
      <w:r w:rsidRPr="00091990">
        <w:t>skovsavdraget räknas in i anskaffningsutgiften. Om vederlaget för ersät</w:t>
      </w:r>
      <w:r w:rsidRPr="00091990">
        <w:t>t</w:t>
      </w:r>
      <w:r w:rsidRPr="00091990">
        <w:t>ningsbostaden är minst lika stort som det vederlag man fått för ursprungsb</w:t>
      </w:r>
      <w:r w:rsidRPr="00091990">
        <w:t>o</w:t>
      </w:r>
      <w:r w:rsidRPr="00091990">
        <w:t>staden kan uppskov beviljas med hela vinsten. Är ersättningsbostaden billig</w:t>
      </w:r>
      <w:r w:rsidRPr="00091990">
        <w:t>a</w:t>
      </w:r>
      <w:r w:rsidRPr="00091990">
        <w:t xml:space="preserve">re sätts uppskovet ned proportionellt. </w:t>
      </w:r>
    </w:p>
    <w:p w:rsidR="00B13BEF" w:rsidRPr="00091990" w:rsidRDefault="00B13BEF" w:rsidP="00384610">
      <w:pPr>
        <w:pStyle w:val="Normaltindrag"/>
      </w:pPr>
      <w:r w:rsidRPr="00091990">
        <w:t>Man måste bosätta sig i ersättningsbostaden senast den 2 maj andra året e</w:t>
      </w:r>
      <w:r w:rsidRPr="00091990">
        <w:t>f</w:t>
      </w:r>
      <w:r w:rsidRPr="00091990">
        <w:t xml:space="preserve">ter det att ursprungsbostaden avyttrades. Sker bosättningen senare, går rätten till uppskovsavdraget förlorad. Detta gäller oavsett vad förseningen beror på. </w:t>
      </w:r>
    </w:p>
    <w:p w:rsidR="00B13BEF" w:rsidRPr="00091990" w:rsidRDefault="00B13BEF" w:rsidP="00384610">
      <w:pPr>
        <w:pStyle w:val="Normaltindrag"/>
      </w:pPr>
      <w:r w:rsidRPr="00091990">
        <w:t>Ett exempel på en bostadskonsument som har råkat illa ut är en familj som år 2002 sålde sitt radhus. De ansökte om uppskov med vinsten. Ersättning</w:t>
      </w:r>
      <w:r w:rsidRPr="00091990">
        <w:t>s</w:t>
      </w:r>
      <w:r w:rsidRPr="00091990">
        <w:t>bostaden skulle byggas av en entr</w:t>
      </w:r>
      <w:r w:rsidRPr="00091990">
        <w:t>e</w:t>
      </w:r>
      <w:r w:rsidRPr="00091990">
        <w:t>prenör och vara klar i december 2003. Det bar sig emellertid inte bättre än att familjen råkade i tvist med entreprenören. Den nya villan står nu halvfärdig utan vare sig fasadbeklädnad eller i</w:t>
      </w:r>
      <w:r w:rsidRPr="00091990">
        <w:t>n</w:t>
      </w:r>
      <w:r w:rsidRPr="00091990">
        <w:t>redning och de bor hos släktingar då huset inte går att flytta in i, alltmedan advoka</w:t>
      </w:r>
      <w:r w:rsidRPr="00091990">
        <w:t>t</w:t>
      </w:r>
      <w:r w:rsidRPr="00091990">
        <w:t>räkningarna skjuter i hö</w:t>
      </w:r>
      <w:r w:rsidRPr="00091990">
        <w:t>j</w:t>
      </w:r>
      <w:r w:rsidRPr="00091990">
        <w:t>den, vilket i sig borde vara illa nog. Nu har emellertid Skatteverket krävt tillbaka uppskovsavdraget från den tidigare försäljningen. För att uppskov</w:t>
      </w:r>
      <w:r w:rsidRPr="00091990">
        <w:t>s</w:t>
      </w:r>
      <w:r w:rsidRPr="00091990">
        <w:t>avdraget skulle ha bestått, krävdes att familjen hade bosatt sig i huset senast den 2 maj 2004. Som nämnts gick det inte att flytta in i huset. Familjen står nu med en ekonomi i ruiner och lär få svårigheter att behålla huset (Kronofogdemyndi</w:t>
      </w:r>
      <w:r w:rsidRPr="00091990">
        <w:t>g</w:t>
      </w:r>
      <w:r w:rsidRPr="00091990">
        <w:t xml:space="preserve">heten har varit på besök för att driva in Skatteverkets fordran.). </w:t>
      </w:r>
    </w:p>
    <w:p w:rsidR="00CB732A" w:rsidRPr="00091990" w:rsidRDefault="00B13BEF" w:rsidP="00384610">
      <w:pPr>
        <w:pStyle w:val="Normaltindrag"/>
      </w:pPr>
      <w:r w:rsidRPr="00091990">
        <w:t>En person som har råkat i tvist med den entreprenör som uppför det nya huset och därför inte har kunnat flytta in i tid, går således miste om uppskov</w:t>
      </w:r>
      <w:r w:rsidRPr="00091990">
        <w:t>s</w:t>
      </w:r>
      <w:r w:rsidRPr="00091990">
        <w:t>avdraget. Följden härav blir ofta att personen ifråga inte klarar av att fortsätta driva tvisten mot entrepren</w:t>
      </w:r>
      <w:r w:rsidRPr="00091990">
        <w:t>ö</w:t>
      </w:r>
      <w:r w:rsidRPr="00091990">
        <w:t>ren utan får ge upp denna. En fastighetsägare som till följd av att ersättningbostaden blir förstörd genom brand eller naturhä</w:t>
      </w:r>
      <w:r w:rsidRPr="00091990">
        <w:t>n</w:t>
      </w:r>
      <w:r w:rsidRPr="00091990">
        <w:t>delse som orkanen i januari 2005, går också miste om up</w:t>
      </w:r>
      <w:r w:rsidRPr="00091990">
        <w:t>p</w:t>
      </w:r>
      <w:r w:rsidRPr="00091990">
        <w:t xml:space="preserve">skovsavdraget, när inflyttning inte kan ske i rätt tid. </w:t>
      </w:r>
    </w:p>
    <w:p w:rsidR="00B13BEF" w:rsidRPr="00091990" w:rsidRDefault="00B13BEF" w:rsidP="00384610">
      <w:pPr>
        <w:pStyle w:val="Normaltindrag"/>
      </w:pPr>
      <w:r w:rsidRPr="00091990">
        <w:t>Ur rättssäkerhetssynpunkt är det mycket otillfredsställande att fastighet</w:t>
      </w:r>
      <w:r w:rsidRPr="00091990">
        <w:t>s</w:t>
      </w:r>
      <w:r w:rsidRPr="00091990">
        <w:t>ägare som inte har kunnat flytta in i tid i ersättningsbostaden till följd av tvist med entreprenören eller att bostaden har blivit förstörd, går miste om up</w:t>
      </w:r>
      <w:r w:rsidRPr="00091990">
        <w:t>p</w:t>
      </w:r>
      <w:r w:rsidRPr="00091990">
        <w:t>skovsa</w:t>
      </w:r>
      <w:r w:rsidRPr="00091990">
        <w:t>v</w:t>
      </w:r>
      <w:r w:rsidRPr="00091990">
        <w:t>draget. För lagstiftaren borde det vara ett fall av force majeure och därmed ett laga skäl för att inte i tid uppfylla uppskovsregeln. Härtill kommer att en uppmjukning av uppskovslagstiftningen ur fiskalt perspektiv inte kostar särskilt mycket, då detta aldrig innebär befr</w:t>
      </w:r>
      <w:r w:rsidRPr="00091990">
        <w:t>i</w:t>
      </w:r>
      <w:r w:rsidRPr="00091990">
        <w:t xml:space="preserve">else från kapitalvinstbeskattning, utan endast ett uppskjutande av skatten. </w:t>
      </w:r>
    </w:p>
    <w:p w:rsidR="00B13BEF" w:rsidRPr="00091990" w:rsidRDefault="00B13BEF" w:rsidP="00B13BEF">
      <w:pPr>
        <w:pStyle w:val="Rubrik1"/>
        <w:spacing w:line="240" w:lineRule="auto"/>
      </w:pPr>
      <w:r w:rsidRPr="00091990">
        <w:t>Förslag</w:t>
      </w:r>
    </w:p>
    <w:p w:rsidR="00B13BEF" w:rsidRPr="00091990" w:rsidRDefault="00B13BEF" w:rsidP="00B13BEF">
      <w:pPr>
        <w:pStyle w:val="Normaltindrag"/>
        <w:ind w:firstLine="0"/>
      </w:pPr>
      <w:r w:rsidRPr="00091990">
        <w:t>Mot bakgrund av vad som ovan anförts, bör möjligheterna till uppskovsa</w:t>
      </w:r>
      <w:r w:rsidRPr="00091990">
        <w:t>v</w:t>
      </w:r>
      <w:r w:rsidRPr="00091990">
        <w:t>drag utvidgas på så sätt att möjligheten till uppskovsavdrag ska kvarstå när den skattskyldige:</w:t>
      </w:r>
    </w:p>
    <w:p w:rsidR="00B13BEF" w:rsidRPr="00091990" w:rsidRDefault="00B13BEF" w:rsidP="00384610">
      <w:pPr>
        <w:pStyle w:val="PunktlistaBomb"/>
        <w:tabs>
          <w:tab w:val="clear" w:pos="360"/>
        </w:tabs>
      </w:pPr>
      <w:r w:rsidRPr="00091990">
        <w:t>inte har kunnat bosätta sig i ersättningsbostaden senast den 2 maj andra året efter avyttringen av ursprungsbostaden, och</w:t>
      </w:r>
    </w:p>
    <w:p w:rsidR="00B13BEF" w:rsidRPr="00091990" w:rsidRDefault="00B13BEF" w:rsidP="00384610">
      <w:pPr>
        <w:pStyle w:val="PunktlistaBomb"/>
        <w:tabs>
          <w:tab w:val="clear" w:pos="360"/>
        </w:tabs>
        <w:spacing w:before="0"/>
      </w:pPr>
      <w:r w:rsidRPr="00091990">
        <w:t>när det med hänsyn till omständigheterna framstår som oskäligt att den skattskyldige ska gå miste om uppskovsavdraget.</w:t>
      </w:r>
    </w:p>
    <w:p w:rsidR="00B13BEF" w:rsidRPr="00091990" w:rsidRDefault="00B13BEF" w:rsidP="00B13BEF">
      <w:pPr>
        <w:pStyle w:val="Normaltindrag"/>
        <w:ind w:firstLine="0"/>
      </w:pPr>
      <w:r w:rsidRPr="00091990">
        <w:t xml:space="preserve">Exempel på vad som bör betraktas som oskäligt är när </w:t>
      </w:r>
    </w:p>
    <w:p w:rsidR="00B13BEF" w:rsidRPr="00091990" w:rsidRDefault="00B13BEF" w:rsidP="00384610">
      <w:pPr>
        <w:pStyle w:val="PunktlistaBomb"/>
        <w:tabs>
          <w:tab w:val="clear" w:pos="360"/>
        </w:tabs>
      </w:pPr>
      <w:r w:rsidRPr="00091990">
        <w:t>inflyttningen har omöjliggjorts av force majeure som brand, naturhändelse, entreprenörstvist eller entreprenörens ko</w:t>
      </w:r>
      <w:r w:rsidRPr="00091990">
        <w:t>n</w:t>
      </w:r>
      <w:r w:rsidRPr="00091990">
        <w:t>kurs, och</w:t>
      </w:r>
    </w:p>
    <w:p w:rsidR="00B13BEF" w:rsidRPr="00091990" w:rsidRDefault="00B13BEF" w:rsidP="00384610">
      <w:pPr>
        <w:pStyle w:val="PunktlistaBomb"/>
        <w:tabs>
          <w:tab w:val="clear" w:pos="360"/>
        </w:tabs>
        <w:spacing w:before="0"/>
      </w:pPr>
      <w:r w:rsidRPr="00091990">
        <w:t>bostadskonsumenten inte själv rimligen hade kunnat fö</w:t>
      </w:r>
      <w:r w:rsidRPr="00091990">
        <w:t>r</w:t>
      </w:r>
      <w:r w:rsidRPr="00091990">
        <w:t>utse och undvika händelsen.</w:t>
      </w:r>
    </w:p>
    <w:p w:rsidR="00B13BEF" w:rsidRPr="00091990" w:rsidRDefault="00B13BEF" w:rsidP="00B13BEF">
      <w:r w:rsidRPr="00091990">
        <w:t>Bestämmelserna föreslås träda i kraft omedelbart och tillämpas första gången vid 2005 års taxering. Formuleringen innebär att reglerna ges retroaktiv ve</w:t>
      </w:r>
      <w:r w:rsidRPr="00091990">
        <w:t>r</w:t>
      </w:r>
      <w:r w:rsidRPr="00091990">
        <w:t>kan. De kommer därmed att få betydelse för uppskov meddelade i anledning av försäljningar fr.o.m. inkomståret 2003 (senaste bosättningsdatum i ersät</w:t>
      </w:r>
      <w:r w:rsidRPr="00091990">
        <w:t>t</w:t>
      </w:r>
      <w:r w:rsidRPr="00091990">
        <w:t>ningsb</w:t>
      </w:r>
      <w:r w:rsidRPr="00091990">
        <w:t>o</w:t>
      </w:r>
      <w:r w:rsidR="00384610" w:rsidRPr="00091990">
        <w:t>stad –</w:t>
      </w:r>
      <w:r w:rsidRPr="00091990">
        <w:t xml:space="preserve"> 2 maj 2005).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4610" w:rsidRPr="00091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610" w:rsidRPr="00091990" w:rsidRDefault="00384610" w:rsidP="00384610">
            <w:pPr>
              <w:pStyle w:val="UnderskriftDatum"/>
              <w:spacing w:before="240"/>
            </w:pPr>
            <w:r w:rsidRPr="00091990">
              <w:t>Stockholm den 29 september 2005</w:t>
            </w:r>
          </w:p>
        </w:tc>
        <w:tc>
          <w:tcPr>
            <w:tcW w:w="3047" w:type="dxa"/>
          </w:tcPr>
          <w:p w:rsidR="00384610" w:rsidRPr="00091990" w:rsidRDefault="00384610" w:rsidP="00384610">
            <w:pPr>
              <w:pStyle w:val="Underskrifter"/>
              <w:spacing w:before="240"/>
            </w:pPr>
          </w:p>
        </w:tc>
      </w:tr>
      <w:tr w:rsidR="00384610" w:rsidRPr="000919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610" w:rsidRPr="00091990" w:rsidRDefault="00384610" w:rsidP="00384610">
            <w:pPr>
              <w:pStyle w:val="Underskrifter"/>
            </w:pPr>
            <w:r w:rsidRPr="00091990">
              <w:t>Lars Gustafsson (kd)</w:t>
            </w:r>
          </w:p>
        </w:tc>
        <w:tc>
          <w:tcPr>
            <w:tcW w:w="3047" w:type="dxa"/>
          </w:tcPr>
          <w:p w:rsidR="00384610" w:rsidRPr="00091990" w:rsidRDefault="00384610" w:rsidP="00384610">
            <w:pPr>
              <w:pStyle w:val="Underskrifter"/>
            </w:pPr>
            <w:r w:rsidRPr="00091990">
              <w:t>Per Landgren (kd)</w:t>
            </w:r>
          </w:p>
        </w:tc>
      </w:tr>
    </w:tbl>
    <w:p w:rsidR="00E84F25" w:rsidRPr="00091990" w:rsidRDefault="00E84F25" w:rsidP="00384610">
      <w:pPr>
        <w:pStyle w:val="Normaltindrag"/>
      </w:pPr>
    </w:p>
    <w:sectPr w:rsidR="00E84F25" w:rsidRPr="00091990" w:rsidSect="00384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C1B" w:rsidRPr="00091990" w:rsidRDefault="00357C1B">
      <w:r w:rsidRPr="00091990">
        <w:separator/>
      </w:r>
    </w:p>
  </w:endnote>
  <w:endnote w:type="continuationSeparator" w:id="0">
    <w:p w:rsidR="00357C1B" w:rsidRPr="00091990" w:rsidRDefault="00357C1B">
      <w:r w:rsidRPr="000919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BB" w:rsidRPr="00091990" w:rsidRDefault="00091990" w:rsidP="00384610">
    <w:pPr>
      <w:pStyle w:val="Sidfot"/>
    </w:pPr>
    <w:r w:rsidRPr="000919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35546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610" w:rsidRDefault="003846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4610" w:rsidRDefault="003846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BB" w:rsidRPr="00091990" w:rsidRDefault="00091990" w:rsidP="00384610">
    <w:pPr>
      <w:pStyle w:val="Sidfot"/>
    </w:pPr>
    <w:r w:rsidRPr="000919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3219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610" w:rsidRDefault="003846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610" w:rsidRDefault="003846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BB" w:rsidRPr="00091990" w:rsidRDefault="00091990" w:rsidP="00384610">
    <w:pPr>
      <w:pStyle w:val="Sidfot"/>
    </w:pPr>
    <w:r w:rsidRPr="000919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337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610" w:rsidRDefault="003846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610" w:rsidRDefault="003846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C1B" w:rsidRPr="00091990" w:rsidRDefault="00357C1B">
      <w:r w:rsidRPr="00091990">
        <w:separator/>
      </w:r>
    </w:p>
  </w:footnote>
  <w:footnote w:type="continuationSeparator" w:id="0">
    <w:p w:rsidR="00357C1B" w:rsidRPr="00091990" w:rsidRDefault="00357C1B">
      <w:r w:rsidRPr="000919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BB" w:rsidRPr="00091990" w:rsidRDefault="00091990" w:rsidP="00384610">
    <w:pPr>
      <w:pStyle w:val="Sidhuvud"/>
    </w:pPr>
    <w:r w:rsidRPr="000919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26054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610" w:rsidRDefault="003846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4610" w:rsidRDefault="003846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EBB" w:rsidRPr="00091990" w:rsidRDefault="00091990" w:rsidP="00384610">
    <w:pPr>
      <w:pStyle w:val="Sidhuvud"/>
    </w:pPr>
    <w:r w:rsidRPr="000919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86618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610" w:rsidRDefault="003846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4610" w:rsidRDefault="003846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610" w:rsidRPr="00091990" w:rsidRDefault="00384610">
    <w:pPr>
      <w:pStyle w:val="FSHNormal"/>
      <w:tabs>
        <w:tab w:val="right" w:pos="5840"/>
      </w:tabs>
    </w:pPr>
    <w:r w:rsidRPr="00091990">
      <w:br/>
    </w:r>
    <w:r w:rsidRPr="00091990">
      <w:fldChar w:fldCharType="begin" w:fldLock="1"/>
    </w:r>
    <w:r w:rsidRPr="00091990">
      <w:instrText xml:space="preserve"> DOCPROPERTY</w:instrText>
    </w:r>
    <w:r w:rsidRPr="00091990">
      <w:rPr>
        <w:sz w:val="18"/>
      </w:rPr>
      <w:instrText xml:space="preserve"> "YearUser" *\charformat </w:instrText>
    </w:r>
    <w:r w:rsidRPr="00091990">
      <w:fldChar w:fldCharType="separate"/>
    </w:r>
    <w:r w:rsidRPr="00091990">
      <w:t>2005/06</w:t>
    </w:r>
    <w:r w:rsidRPr="00091990">
      <w:fldChar w:fldCharType="end"/>
    </w:r>
    <w:r w:rsidRPr="00091990">
      <w:t xml:space="preserve"> </w:t>
    </w:r>
    <w:r w:rsidRPr="00091990">
      <w:tab/>
      <w:t xml:space="preserve">mnr: </w:t>
    </w:r>
    <w:r w:rsidRPr="00091990">
      <w:fldChar w:fldCharType="begin" w:fldLock="1"/>
    </w:r>
    <w:r w:rsidRPr="00091990">
      <w:instrText xml:space="preserve"> DOCPROPERTY</w:instrText>
    </w:r>
    <w:r w:rsidRPr="00091990">
      <w:rPr>
        <w:sz w:val="18"/>
      </w:rPr>
      <w:instrText xml:space="preserve"> "Motionsnummer" *\charformat </w:instrText>
    </w:r>
    <w:r w:rsidRPr="00091990">
      <w:fldChar w:fldCharType="separate"/>
    </w:r>
    <w:r w:rsidRPr="00091990">
      <w:t>Sk431</w:t>
    </w:r>
    <w:r w:rsidRPr="00091990">
      <w:fldChar w:fldCharType="end"/>
    </w:r>
    <w:r w:rsidRPr="00091990">
      <w:br/>
    </w:r>
    <w:r w:rsidRPr="00091990">
      <w:fldChar w:fldCharType="begin" w:fldLock="1"/>
    </w:r>
    <w:r w:rsidRPr="00091990">
      <w:instrText xml:space="preserve"> DOCPROPERTY</w:instrText>
    </w:r>
    <w:r w:rsidRPr="00091990">
      <w:rPr>
        <w:sz w:val="18"/>
      </w:rPr>
      <w:instrText xml:space="preserve"> "Samling" *\charformat </w:instrText>
    </w:r>
    <w:r w:rsidRPr="00091990">
      <w:fldChar w:fldCharType="end"/>
    </w:r>
    <w:r w:rsidRPr="00091990">
      <w:tab/>
      <w:t xml:space="preserve">pnr: </w:t>
    </w:r>
    <w:r w:rsidRPr="00091990">
      <w:fldChar w:fldCharType="begin" w:fldLock="1"/>
    </w:r>
    <w:r w:rsidRPr="00091990">
      <w:instrText xml:space="preserve"> DOCPROPERTY</w:instrText>
    </w:r>
    <w:r w:rsidRPr="00091990">
      <w:rPr>
        <w:sz w:val="18"/>
      </w:rPr>
      <w:instrText xml:space="preserve"> "Partinummer" *\charformat </w:instrText>
    </w:r>
    <w:r w:rsidRPr="00091990">
      <w:fldChar w:fldCharType="separate"/>
    </w:r>
    <w:r w:rsidRPr="00091990">
      <w:t>kd979</w:t>
    </w:r>
    <w:r w:rsidRPr="00091990">
      <w:fldChar w:fldCharType="end"/>
    </w:r>
  </w:p>
  <w:p w:rsidR="00384610" w:rsidRPr="00091990" w:rsidRDefault="00384610">
    <w:pPr>
      <w:pStyle w:val="FSHRub1"/>
    </w:pPr>
    <w:r w:rsidRPr="00091990">
      <w:t>Motion till riksdagen</w:t>
    </w:r>
    <w:r w:rsidRPr="00091990">
      <w:br/>
    </w:r>
    <w:r w:rsidRPr="00091990">
      <w:fldChar w:fldCharType="begin" w:fldLock="1"/>
    </w:r>
    <w:r w:rsidRPr="00091990">
      <w:instrText xml:space="preserve"> DOCPROPERTY "YearUser" *\charformat </w:instrText>
    </w:r>
    <w:r w:rsidRPr="00091990">
      <w:fldChar w:fldCharType="separate"/>
    </w:r>
    <w:r w:rsidRPr="00091990">
      <w:t>2005/06</w:t>
    </w:r>
    <w:r w:rsidRPr="00091990">
      <w:fldChar w:fldCharType="end"/>
    </w:r>
    <w:r w:rsidRPr="00091990">
      <w:t>:</w:t>
    </w:r>
    <w:r w:rsidRPr="00091990">
      <w:fldChar w:fldCharType="begin" w:fldLock="1"/>
    </w:r>
    <w:r w:rsidRPr="00091990">
      <w:instrText xml:space="preserve"> DOCPROPERTY "Motionsnummer" *\charformat </w:instrText>
    </w:r>
    <w:r w:rsidRPr="00091990">
      <w:fldChar w:fldCharType="separate"/>
    </w:r>
    <w:r w:rsidRPr="00091990">
      <w:t>Sk431</w:t>
    </w:r>
    <w:r w:rsidRPr="00091990">
      <w:fldChar w:fldCharType="end"/>
    </w:r>
  </w:p>
  <w:p w:rsidR="00384610" w:rsidRPr="00091990" w:rsidRDefault="00384610">
    <w:pPr>
      <w:pStyle w:val="FSHNormalS5"/>
    </w:pPr>
    <w:r w:rsidRPr="00091990">
      <w:fldChar w:fldCharType="begin" w:fldLock="1"/>
    </w:r>
    <w:r w:rsidRPr="00091990">
      <w:instrText xml:space="preserve"> DOCPROPERTY "MotionarText" *\charformat </w:instrText>
    </w:r>
    <w:r w:rsidRPr="00091990">
      <w:fldChar w:fldCharType="separate"/>
    </w:r>
    <w:r w:rsidRPr="00091990">
      <w:t>av Lars Gustafsson och Per Landgren (kd)</w:t>
    </w:r>
    <w:r w:rsidRPr="00091990">
      <w:fldChar w:fldCharType="end"/>
    </w:r>
    <w:r w:rsidRPr="00091990">
      <w:br/>
    </w:r>
    <w:r w:rsidRPr="00091990">
      <w:fldChar w:fldCharType="begin" w:fldLock="1"/>
    </w:r>
    <w:r w:rsidRPr="00091990">
      <w:instrText xml:space="preserve"> DOCPROPERTY "SvarFrasKort" *\charformat </w:instrText>
    </w:r>
    <w:r w:rsidRPr="00091990">
      <w:fldChar w:fldCharType="end"/>
    </w:r>
  </w:p>
  <w:p w:rsidR="00384610" w:rsidRPr="00091990" w:rsidRDefault="00384610">
    <w:pPr>
      <w:pStyle w:val="FSHTitel"/>
    </w:pPr>
    <w:r w:rsidRPr="00091990">
      <w:fldChar w:fldCharType="begin" w:fldLock="1"/>
    </w:r>
    <w:r w:rsidRPr="00091990">
      <w:instrText xml:space="preserve"> DOCPROPERTY</w:instrText>
    </w:r>
    <w:r w:rsidRPr="00091990">
      <w:rPr>
        <w:sz w:val="18"/>
      </w:rPr>
      <w:instrText xml:space="preserve"> "RubrikSvar" *\charformat </w:instrText>
    </w:r>
    <w:r w:rsidRPr="00091990">
      <w:fldChar w:fldCharType="separate"/>
    </w:r>
    <w:r w:rsidRPr="00091990">
      <w:t>Reavinstskatt</w:t>
    </w:r>
    <w:r w:rsidRPr="00091990">
      <w:fldChar w:fldCharType="end"/>
    </w:r>
  </w:p>
  <w:p w:rsidR="00384610" w:rsidRPr="00091990" w:rsidRDefault="00384610" w:rsidP="0038461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042630"/>
    <w:multiLevelType w:val="hybridMultilevel"/>
    <w:tmpl w:val="879E59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C90651"/>
    <w:multiLevelType w:val="hybridMultilevel"/>
    <w:tmpl w:val="F5F8BB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E4025B1"/>
    <w:multiLevelType w:val="hybridMultilevel"/>
    <w:tmpl w:val="7C1801CE"/>
    <w:lvl w:ilvl="0" w:tplc="041D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080194">
    <w:abstractNumId w:val="16"/>
  </w:num>
  <w:num w:numId="2" w16cid:durableId="1857302229">
    <w:abstractNumId w:val="10"/>
  </w:num>
  <w:num w:numId="3" w16cid:durableId="1361735037">
    <w:abstractNumId w:val="12"/>
  </w:num>
  <w:num w:numId="4" w16cid:durableId="592473394">
    <w:abstractNumId w:val="14"/>
  </w:num>
  <w:num w:numId="5" w16cid:durableId="1902866282">
    <w:abstractNumId w:val="8"/>
  </w:num>
  <w:num w:numId="6" w16cid:durableId="215706668">
    <w:abstractNumId w:val="3"/>
  </w:num>
  <w:num w:numId="7" w16cid:durableId="712464328">
    <w:abstractNumId w:val="2"/>
  </w:num>
  <w:num w:numId="8" w16cid:durableId="1271738175">
    <w:abstractNumId w:val="1"/>
  </w:num>
  <w:num w:numId="9" w16cid:durableId="990404035">
    <w:abstractNumId w:val="0"/>
  </w:num>
  <w:num w:numId="10" w16cid:durableId="1227033936">
    <w:abstractNumId w:val="9"/>
  </w:num>
  <w:num w:numId="11" w16cid:durableId="1550458633">
    <w:abstractNumId w:val="7"/>
  </w:num>
  <w:num w:numId="12" w16cid:durableId="1428385866">
    <w:abstractNumId w:val="6"/>
  </w:num>
  <w:num w:numId="13" w16cid:durableId="337002223">
    <w:abstractNumId w:val="5"/>
  </w:num>
  <w:num w:numId="14" w16cid:durableId="431704867">
    <w:abstractNumId w:val="4"/>
  </w:num>
  <w:num w:numId="15" w16cid:durableId="1352414558">
    <w:abstractNumId w:val="13"/>
  </w:num>
  <w:num w:numId="16" w16cid:durableId="273751719">
    <w:abstractNumId w:val="15"/>
  </w:num>
  <w:num w:numId="17" w16cid:durableId="828448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B732A"/>
    <w:rsid w:val="0004381F"/>
    <w:rsid w:val="00064BC3"/>
    <w:rsid w:val="00066775"/>
    <w:rsid w:val="00072FB9"/>
    <w:rsid w:val="00091990"/>
    <w:rsid w:val="00100531"/>
    <w:rsid w:val="00201DFB"/>
    <w:rsid w:val="00204A63"/>
    <w:rsid w:val="00212FF1"/>
    <w:rsid w:val="00230193"/>
    <w:rsid w:val="00230A14"/>
    <w:rsid w:val="0025068A"/>
    <w:rsid w:val="002818D3"/>
    <w:rsid w:val="002D11A8"/>
    <w:rsid w:val="002E5444"/>
    <w:rsid w:val="00357C1B"/>
    <w:rsid w:val="00384610"/>
    <w:rsid w:val="00397F1B"/>
    <w:rsid w:val="00445271"/>
    <w:rsid w:val="004A0504"/>
    <w:rsid w:val="004E38D9"/>
    <w:rsid w:val="005B145B"/>
    <w:rsid w:val="005B721F"/>
    <w:rsid w:val="00642F8B"/>
    <w:rsid w:val="00740D6D"/>
    <w:rsid w:val="00794149"/>
    <w:rsid w:val="007B67A7"/>
    <w:rsid w:val="007C6092"/>
    <w:rsid w:val="00A02EBB"/>
    <w:rsid w:val="00A053C6"/>
    <w:rsid w:val="00B13BEF"/>
    <w:rsid w:val="00B13BF0"/>
    <w:rsid w:val="00C1285C"/>
    <w:rsid w:val="00C27B7D"/>
    <w:rsid w:val="00CB732A"/>
    <w:rsid w:val="00CF7A43"/>
    <w:rsid w:val="00D1174F"/>
    <w:rsid w:val="00DC6C70"/>
    <w:rsid w:val="00E22893"/>
    <w:rsid w:val="00E360DE"/>
    <w:rsid w:val="00E53E20"/>
    <w:rsid w:val="00E75D28"/>
    <w:rsid w:val="00E84F25"/>
    <w:rsid w:val="00EF7BA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92217A-5741-4760-A86B-6F2A84CA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B13BEF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E53E2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8461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893</Words>
  <Characters>5292</Characters>
  <Application>Microsoft Office Word</Application>
  <DocSecurity>4</DocSecurity>
  <Lines>98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Sk431</vt:lpstr>
    </vt:vector>
  </TitlesOfParts>
  <Company>Riksdagen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Sk431</dc:title>
  <dc:subject>Sk431</dc:subject>
  <dc:creator>Riksdagen</dc:creator>
  <cp:keywords>Riksdagen</cp:keywords>
  <dc:description/>
  <cp:lastModifiedBy>Lars Brink</cp:lastModifiedBy>
  <cp:revision>2</cp:revision>
  <cp:lastPrinted>2005-11-16T06:16:00Z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Reavinstskatt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Reavinstskatt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Gustafsson och Per Landgren (kd)</vt:lpwstr>
  </property>
  <property fmtid="{D5CDD505-2E9C-101B-9397-08002B2CF9AE}" pid="26" name="MotionarLista">
    <vt:lpwstr>Gustafsson, Lars (kd)\Landgren, Per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Per Landgren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20052006000001070100000009790069</vt:lpwstr>
  </property>
  <property fmtid="{D5CDD505-2E9C-101B-9397-08002B2CF9AE}" pid="47" name="datum">
    <vt:lpwstr>050929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20052006000001070100000009790069</vt:lpwstr>
  </property>
  <property fmtid="{D5CDD505-2E9C-101B-9397-08002B2CF9AE}" pid="50" name="nummer">
    <vt:lpwstr>431</vt:lpwstr>
  </property>
  <property fmtid="{D5CDD505-2E9C-101B-9397-08002B2CF9AE}" pid="51" name="utskottsbeteckning">
    <vt:lpwstr>Sk</vt:lpwstr>
  </property>
</Properties>
</file>