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ECB" w:rsidRPr="00213ECB" w:rsidRDefault="00213ECB">
      <w:pPr>
        <w:pStyle w:val="Hemstlrubrik"/>
        <w:shd w:val="clear" w:color="000000" w:fill="auto"/>
      </w:pPr>
      <w:r w:rsidRPr="00213ECB">
        <w:t>Förslag till riksdagsbeslut</w:t>
      </w:r>
    </w:p>
    <w:p w:rsidR="00213ECB" w:rsidRPr="00213ECB" w:rsidRDefault="00213ECB">
      <w:pPr>
        <w:pStyle w:val="Hemstlatt"/>
        <w:shd w:val="clear" w:color="000000" w:fill="auto"/>
        <w:ind w:left="0"/>
      </w:pPr>
      <w:r w:rsidRPr="00213ECB">
        <w:t>Riksdagen beslutar höja grundavdraget ytterligare i förhållande till regeringens förslag så att alla pensionärer får minst 2 700 kr om året i sänkt skatt.</w:t>
      </w:r>
    </w:p>
    <w:p w:rsidR="00213ECB" w:rsidRPr="00213ECB" w:rsidRDefault="00213ECB">
      <w:pPr>
        <w:pStyle w:val="Rubrik1"/>
        <w:shd w:val="clear" w:color="000000" w:fill="auto"/>
      </w:pPr>
      <w:r w:rsidRPr="00213ECB">
        <w:t>Trygghet för våra äldre</w:t>
      </w:r>
    </w:p>
    <w:p w:rsidR="00213ECB" w:rsidRPr="00213ECB" w:rsidRDefault="00213ECB">
      <w:pPr>
        <w:shd w:val="clear" w:color="000000" w:fill="auto"/>
      </w:pPr>
      <w:r w:rsidRPr="00213ECB">
        <w:t>Pension är inget bidrag utan en uppskjuten lön; den är en ersättning för tidig</w:t>
      </w:r>
      <w:r w:rsidRPr="00213ECB">
        <w:t>a</w:t>
      </w:r>
      <w:r w:rsidRPr="00213ECB">
        <w:t>re utfört arbete. Under den förvärvsaktiva tiden har alltså pensionärerna a</w:t>
      </w:r>
      <w:r w:rsidRPr="00213ECB">
        <w:t>v</w:t>
      </w:r>
      <w:r w:rsidRPr="00213ECB">
        <w:t>stått en del av sina arbetsinkomster till den kommande pensionen. Vi socia</w:t>
      </w:r>
      <w:r w:rsidRPr="00213ECB">
        <w:t>l</w:t>
      </w:r>
      <w:r w:rsidRPr="00213ECB">
        <w:t>demokrater vill värna tryggheten för pensionärerna. Den pensionsöveren</w:t>
      </w:r>
      <w:r w:rsidRPr="00213ECB">
        <w:t>s</w:t>
      </w:r>
      <w:r w:rsidRPr="00213ECB">
        <w:t>kommelse som ägs av fem partier i riksdagen är ett av de viktigaste instr</w:t>
      </w:r>
      <w:r w:rsidRPr="00213ECB">
        <w:t>u</w:t>
      </w:r>
      <w:r w:rsidRPr="00213ECB">
        <w:t>menten för detta och måste vårdas väl.</w:t>
      </w:r>
    </w:p>
    <w:p w:rsidR="00213ECB" w:rsidRPr="00213ECB" w:rsidRDefault="00213ECB">
      <w:pPr>
        <w:pStyle w:val="Normaltindrag"/>
        <w:shd w:val="clear" w:color="000000" w:fill="auto"/>
      </w:pPr>
      <w:r w:rsidRPr="00213ECB">
        <w:t xml:space="preserve">Den socialdemokratiska regeringen genomförde en rad förbättringar för landets pensionärer. Det var inte minst åtgärder riktade till dem med minst marginaler, där införandet av </w:t>
      </w:r>
      <w:r w:rsidRPr="00213ECB">
        <w:t>det särskilda äldreförsörjningsstödet och ett flertal höjningar av bostadstilläggen varit viktiga delar. För att säkra den ek</w:t>
      </w:r>
      <w:r w:rsidRPr="00213ECB">
        <w:t>o</w:t>
      </w:r>
      <w:r w:rsidRPr="00213ECB">
        <w:t>nomiska standarden för pensionärer kan man dock inte enbart se till nivåerna på garantipensionen, bostadstillägget och äldreförsörjningsstödet. Minst lika viktigt har det varit att hålla nere avgifterna inom vård och omsorg. Med maxtaxa i äldreomsorgen, generellt låga avgifter och ett högkostnadsskydd inom vård och omsorg har pensionärers ekonomi också värnats. Men även här märks det</w:t>
      </w:r>
      <w:r w:rsidRPr="00213ECB">
        <w:t xml:space="preserve"> borgerliga systemskiftet. Avgifterna höjs, och detta drabbar pe</w:t>
      </w:r>
      <w:r w:rsidRPr="00213ECB">
        <w:t>n</w:t>
      </w:r>
      <w:r w:rsidRPr="00213ECB">
        <w:t>sionärerna dubbelt eftersom de inte får del av de skattesänkningar som rege</w:t>
      </w:r>
      <w:r w:rsidRPr="00213ECB">
        <w:t>r</w:t>
      </w:r>
      <w:r w:rsidRPr="00213ECB">
        <w:t>ingen genomför.</w:t>
      </w:r>
    </w:p>
    <w:p w:rsidR="00213ECB" w:rsidRPr="00213ECB" w:rsidRDefault="00213ECB">
      <w:pPr>
        <w:pStyle w:val="Normaltindrag"/>
        <w:shd w:val="clear" w:color="000000" w:fill="auto"/>
      </w:pPr>
      <w:r w:rsidRPr="00213ECB">
        <w:t>Alla i Sverige tjänar på att finansiera vård och omsorg på ett solidariskt sätt. Därför är det självklart för oss socialdemokrater att välja förstärkt äldr</w:t>
      </w:r>
      <w:r w:rsidRPr="00213ECB">
        <w:t>e</w:t>
      </w:r>
      <w:r w:rsidRPr="00213ECB">
        <w:t>omsorg framför fortsatta skattesänkningar för dem som tjänar allra mest, att välja bättre hemsjukvård för sjuka äldre framför skattesubventionerad stä</w:t>
      </w:r>
      <w:r w:rsidRPr="00213ECB">
        <w:t>d</w:t>
      </w:r>
      <w:r w:rsidRPr="00213ECB">
        <w:t>hjälp och att välja fler äldreboenden framför borttagen förmögenhetsskatt.</w:t>
      </w:r>
    </w:p>
    <w:p w:rsidR="00213ECB" w:rsidRPr="00213ECB" w:rsidRDefault="00213ECB">
      <w:pPr>
        <w:pStyle w:val="Rubrik1"/>
        <w:shd w:val="clear" w:color="000000" w:fill="auto"/>
      </w:pPr>
      <w:r w:rsidRPr="00213ECB">
        <w:lastRenderedPageBreak/>
        <w:t>Minska klyftan mellan förvärvsarbetande och pensionärer</w:t>
      </w:r>
    </w:p>
    <w:p w:rsidR="00213ECB" w:rsidRPr="00213ECB" w:rsidRDefault="00213ECB">
      <w:pPr>
        <w:shd w:val="clear" w:color="000000" w:fill="auto"/>
      </w:pPr>
      <w:r w:rsidRPr="00213ECB">
        <w:t>När pensionssystemet reformerades avskaffades det särskilda grundavdraget för folkpensionärer. Ett viktigt skäl för detta var att pension skulle beskattas som en vanlig inkomst. Men i och med förvärvsavdraget gäller inte längre principen om lika skatt för samma inkomst. Pensionärer betalar i dag mer i skatt än personer som arbetar, vid lika inkomster. Förra året presenterade vi socialdemokrater ett förslag för att minska denna klyfta. Detta förslag röstade den borgerliga majoriteten i riksdagen nej till. D</w:t>
      </w:r>
      <w:r w:rsidRPr="00213ECB">
        <w:t>en borgerliga regeringen har nu, efter massiva påtryckningar inte minst från landets pensionärer, tagit ett litet steg tillbaka från sina egna principer på skatteområdet. Pensionärer ska få sänkt skatt genom höjt grundavdrag. Garantipensionärerna får 2 600 kr om året, medan pensionärer med inkomster mellan 133 000 kr och ca 337 000 kr får ca 800 kr per år. Men den reträtten hjälper föga. Samtidigt som en min</w:t>
      </w:r>
      <w:r w:rsidRPr="00213ECB">
        <w:t>i</w:t>
      </w:r>
      <w:r w:rsidRPr="00213ECB">
        <w:t>mal återställare görs för pensionärerna föreslår regeringen nämligen ytterlig</w:t>
      </w:r>
      <w:r w:rsidRPr="00213ECB">
        <w:t>a</w:t>
      </w:r>
      <w:r w:rsidRPr="00213ECB">
        <w:t>re ett steg i förvärvs</w:t>
      </w:r>
      <w:r w:rsidRPr="00213ECB">
        <w:t>avdraget – som för tredje gången vidgar klyftan mellan löntagare och pensionärer. För en pensionär som har en pension på 12 500 kr i månaden betyder den skattesänkning som regeringen föreslår i budgetprop</w:t>
      </w:r>
      <w:r w:rsidRPr="00213ECB">
        <w:t>o</w:t>
      </w:r>
      <w:r w:rsidRPr="00213ECB">
        <w:t>sitionen endast en sänkning av skatten med 68 kr i månaden.</w:t>
      </w:r>
    </w:p>
    <w:p w:rsidR="00213ECB" w:rsidRPr="00213ECB" w:rsidRDefault="00213ECB">
      <w:pPr>
        <w:pStyle w:val="Normaltindrag"/>
        <w:shd w:val="clear" w:color="000000" w:fill="auto"/>
      </w:pPr>
      <w:r w:rsidRPr="00213ECB">
        <w:t>Den borgerliga regeringen och riksdagsmajoriteten har skapat en klyfta mellan pensionärerna och de förvärvsarbetande. Vi socialdemokrater accept</w:t>
      </w:r>
      <w:r w:rsidRPr="00213ECB">
        <w:t>e</w:t>
      </w:r>
      <w:r w:rsidRPr="00213ECB">
        <w:t>rar inte denna skillnad i beskattning av pension och lön. Vi tar i vår budge</w:t>
      </w:r>
      <w:r w:rsidRPr="00213ECB">
        <w:t>t</w:t>
      </w:r>
      <w:r w:rsidRPr="00213ECB">
        <w:t>motion för 2009 och i denna kommittémotion ett första steg för att kompens</w:t>
      </w:r>
      <w:r w:rsidRPr="00213ECB">
        <w:t>e</w:t>
      </w:r>
      <w:r w:rsidRPr="00213ECB">
        <w:t>ra pensionärerna och minska skillnaden i beskattning. Vi vill därför ha en mer omfattande skattesänkning än den som föreslås i regeringens budgetpropos</w:t>
      </w:r>
      <w:r w:rsidRPr="00213ECB">
        <w:t>i</w:t>
      </w:r>
      <w:r w:rsidRPr="00213ECB">
        <w:t xml:space="preserve">tion för 2009 och i särproposition 2008/09:38 </w:t>
      </w:r>
      <w:r w:rsidRPr="00213ECB">
        <w:rPr>
          <w:i/>
        </w:rPr>
        <w:t>Sänkt skatt för pensionärer</w:t>
      </w:r>
      <w:r w:rsidRPr="00213ECB">
        <w:t>.</w:t>
      </w:r>
    </w:p>
    <w:p w:rsidR="00213ECB" w:rsidRPr="00213ECB" w:rsidRDefault="00213ECB">
      <w:pPr>
        <w:pStyle w:val="Normaltindrag"/>
        <w:shd w:val="clear" w:color="000000" w:fill="auto"/>
      </w:pPr>
      <w:r w:rsidRPr="00213ECB">
        <w:t xml:space="preserve">Vi vill ha ett utökat grundavdrag som ger alla pensionärer minst 2 700 kr om året i sänkt skatt, dvs. minst 225 kr i månaden. Ingen </w:t>
      </w:r>
      <w:r w:rsidRPr="00213ECB">
        <w:t>får högre skatt jä</w:t>
      </w:r>
      <w:r w:rsidRPr="00213ECB">
        <w:t>m</w:t>
      </w:r>
      <w:r w:rsidRPr="00213ECB">
        <w:t>fört med regeringens förslag, och de flesta får tre gånger mer än med rege</w:t>
      </w:r>
      <w:r w:rsidRPr="00213ECB">
        <w:t>r</w:t>
      </w:r>
      <w:r w:rsidRPr="00213ECB">
        <w:t>ingens förslag.</w:t>
      </w:r>
    </w:p>
    <w:p w:rsidR="00213ECB" w:rsidRPr="00213ECB" w:rsidRDefault="00213ECB">
      <w:pPr>
        <w:pStyle w:val="Normaltindrag"/>
        <w:shd w:val="clear" w:color="000000" w:fill="auto"/>
      </w:pPr>
      <w:r w:rsidRPr="00213ECB">
        <w:t>Den skattesänkning vi föreslår i denna kommittémotion återfinns alltså i den socialdemokratiska budgetmotionen för 2009. Vi vill särskilt framhålla att inom ramen för varje förslag i budgetmotionen är effekterna för kommu</w:t>
      </w:r>
      <w:r w:rsidRPr="00213ECB">
        <w:t>n</w:t>
      </w:r>
      <w:r w:rsidRPr="00213ECB">
        <w:t>sektorn neutraliserade. Kommunsektorn påverkas alltså varken negativt eller positivt av våra förslag.</w:t>
      </w:r>
    </w:p>
    <w:p w:rsidR="00213ECB" w:rsidRPr="00213ECB" w:rsidRDefault="00213ECB">
      <w:pPr>
        <w:shd w:val="clear" w:color="000000" w:fill="auto"/>
        <w:rPr>
          <w:b/>
          <w:sz w:val="20"/>
        </w:rPr>
      </w:pPr>
      <w:r w:rsidRPr="00213ECB">
        <w:br w:type="page"/>
      </w:r>
      <w:r w:rsidRPr="00213ECB">
        <w:rPr>
          <w:b/>
          <w:sz w:val="20"/>
        </w:rPr>
        <w:t>Jämförelse av regeringens och Socialdemokraternas förslag av sänkt skatt för pensionärer, kronor per månad*</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66"/>
        <w:gridCol w:w="1094"/>
        <w:gridCol w:w="1094"/>
      </w:tblGrid>
      <w:tr w:rsidR="00000000" w:rsidRPr="00213ECB">
        <w:tc>
          <w:tcPr>
            <w:tcW w:w="3766" w:type="dxa"/>
            <w:tcBorders>
              <w:top w:val="single" w:sz="4" w:space="0" w:color="auto"/>
              <w:bottom w:val="single" w:sz="4" w:space="0" w:color="auto"/>
            </w:tcBorders>
          </w:tcPr>
          <w:p w:rsidR="00213ECB" w:rsidRPr="00213ECB" w:rsidRDefault="00213ECB">
            <w:pPr>
              <w:shd w:val="clear" w:color="000000" w:fill="auto"/>
              <w:spacing w:before="60" w:line="200" w:lineRule="exact"/>
              <w:rPr>
                <w:b/>
                <w:sz w:val="16"/>
                <w:szCs w:val="16"/>
              </w:rPr>
            </w:pPr>
            <w:r w:rsidRPr="00213ECB">
              <w:rPr>
                <w:b/>
                <w:sz w:val="16"/>
                <w:szCs w:val="16"/>
              </w:rPr>
              <w:t>Pensionär och inkomst</w:t>
            </w:r>
          </w:p>
        </w:tc>
        <w:tc>
          <w:tcPr>
            <w:tcW w:w="1094" w:type="dxa"/>
            <w:tcBorders>
              <w:top w:val="single" w:sz="4" w:space="0" w:color="auto"/>
              <w:bottom w:val="single" w:sz="4" w:space="0" w:color="auto"/>
            </w:tcBorders>
          </w:tcPr>
          <w:p w:rsidR="00213ECB" w:rsidRPr="00213ECB" w:rsidRDefault="00213ECB">
            <w:pPr>
              <w:shd w:val="clear" w:color="000000" w:fill="auto"/>
              <w:spacing w:before="60" w:line="200" w:lineRule="exact"/>
              <w:jc w:val="left"/>
              <w:rPr>
                <w:b/>
                <w:sz w:val="16"/>
                <w:szCs w:val="16"/>
              </w:rPr>
            </w:pPr>
            <w:r w:rsidRPr="00213ECB">
              <w:rPr>
                <w:b/>
                <w:sz w:val="16"/>
                <w:szCs w:val="16"/>
              </w:rPr>
              <w:t>Regeringens förslag</w:t>
            </w:r>
          </w:p>
        </w:tc>
        <w:tc>
          <w:tcPr>
            <w:tcW w:w="1094" w:type="dxa"/>
            <w:tcBorders>
              <w:top w:val="single" w:sz="4" w:space="0" w:color="auto"/>
              <w:bottom w:val="single" w:sz="4" w:space="0" w:color="auto"/>
            </w:tcBorders>
          </w:tcPr>
          <w:p w:rsidR="00213ECB" w:rsidRPr="00213ECB" w:rsidRDefault="00213ECB">
            <w:pPr>
              <w:shd w:val="clear" w:color="000000" w:fill="auto"/>
              <w:spacing w:before="60" w:line="200" w:lineRule="exact"/>
              <w:jc w:val="left"/>
              <w:rPr>
                <w:b/>
                <w:sz w:val="16"/>
                <w:szCs w:val="16"/>
              </w:rPr>
            </w:pPr>
            <w:r w:rsidRPr="00213ECB">
              <w:rPr>
                <w:b/>
                <w:sz w:val="16"/>
                <w:szCs w:val="16"/>
              </w:rPr>
              <w:t>Socialdem</w:t>
            </w:r>
            <w:r w:rsidRPr="00213ECB">
              <w:rPr>
                <w:b/>
                <w:sz w:val="16"/>
                <w:szCs w:val="16"/>
              </w:rPr>
              <w:t>o</w:t>
            </w:r>
            <w:r w:rsidRPr="00213ECB">
              <w:rPr>
                <w:b/>
                <w:sz w:val="16"/>
                <w:szCs w:val="16"/>
              </w:rPr>
              <w:t>kraternas förslag</w:t>
            </w:r>
          </w:p>
        </w:tc>
      </w:tr>
      <w:tr w:rsidR="00000000" w:rsidRPr="00213ECB">
        <w:tc>
          <w:tcPr>
            <w:tcW w:w="3766" w:type="dxa"/>
            <w:tcBorders>
              <w:top w:val="single" w:sz="4" w:space="0" w:color="auto"/>
            </w:tcBorders>
          </w:tcPr>
          <w:p w:rsidR="00213ECB" w:rsidRPr="00213ECB" w:rsidRDefault="00213ECB">
            <w:pPr>
              <w:shd w:val="clear" w:color="000000" w:fill="auto"/>
              <w:spacing w:before="60" w:line="200" w:lineRule="exact"/>
              <w:rPr>
                <w:sz w:val="16"/>
                <w:szCs w:val="16"/>
              </w:rPr>
            </w:pPr>
            <w:r w:rsidRPr="00213ECB">
              <w:rPr>
                <w:sz w:val="16"/>
                <w:szCs w:val="16"/>
              </w:rPr>
              <w:t>Årsinkomst, 50 000</w:t>
            </w:r>
          </w:p>
        </w:tc>
        <w:tc>
          <w:tcPr>
            <w:tcW w:w="1094" w:type="dxa"/>
            <w:tcBorders>
              <w:top w:val="single" w:sz="4" w:space="0" w:color="auto"/>
            </w:tcBorders>
          </w:tcPr>
          <w:p w:rsidR="00213ECB" w:rsidRPr="00213ECB" w:rsidRDefault="00213ECB">
            <w:pPr>
              <w:shd w:val="clear" w:color="000000" w:fill="auto"/>
              <w:spacing w:before="60" w:line="200" w:lineRule="exact"/>
              <w:jc w:val="right"/>
              <w:rPr>
                <w:sz w:val="16"/>
                <w:szCs w:val="16"/>
              </w:rPr>
            </w:pPr>
            <w:r w:rsidRPr="00213ECB">
              <w:rPr>
                <w:sz w:val="16"/>
                <w:szCs w:val="16"/>
              </w:rPr>
              <w:t>400–475</w:t>
            </w:r>
          </w:p>
        </w:tc>
        <w:tc>
          <w:tcPr>
            <w:tcW w:w="1094" w:type="dxa"/>
            <w:tcBorders>
              <w:top w:val="single" w:sz="4" w:space="0" w:color="auto"/>
            </w:tcBorders>
          </w:tcPr>
          <w:p w:rsidR="00213ECB" w:rsidRPr="00213ECB" w:rsidRDefault="00213ECB">
            <w:pPr>
              <w:shd w:val="clear" w:color="000000" w:fill="auto"/>
              <w:spacing w:before="60" w:line="200" w:lineRule="exact"/>
              <w:jc w:val="right"/>
              <w:rPr>
                <w:sz w:val="16"/>
                <w:szCs w:val="16"/>
              </w:rPr>
            </w:pPr>
            <w:r w:rsidRPr="00213ECB">
              <w:rPr>
                <w:sz w:val="16"/>
                <w:szCs w:val="16"/>
              </w:rPr>
              <w:t>400–475</w:t>
            </w:r>
          </w:p>
        </w:tc>
      </w:tr>
      <w:tr w:rsidR="00000000" w:rsidRPr="00213ECB">
        <w:tc>
          <w:tcPr>
            <w:tcW w:w="3766" w:type="dxa"/>
          </w:tcPr>
          <w:p w:rsidR="00213ECB" w:rsidRPr="00213ECB" w:rsidRDefault="00213ECB">
            <w:pPr>
              <w:shd w:val="clear" w:color="000000" w:fill="auto"/>
              <w:spacing w:before="60" w:line="200" w:lineRule="exact"/>
              <w:rPr>
                <w:sz w:val="16"/>
                <w:szCs w:val="16"/>
              </w:rPr>
            </w:pPr>
            <w:r w:rsidRPr="00213ECB">
              <w:rPr>
                <w:sz w:val="16"/>
                <w:szCs w:val="16"/>
              </w:rPr>
              <w:t>Årsinkomst, 100 000</w:t>
            </w:r>
          </w:p>
        </w:tc>
        <w:tc>
          <w:tcPr>
            <w:tcW w:w="1094" w:type="dxa"/>
          </w:tcPr>
          <w:p w:rsidR="00213ECB" w:rsidRPr="00213ECB" w:rsidRDefault="00213ECB">
            <w:pPr>
              <w:shd w:val="clear" w:color="000000" w:fill="auto"/>
              <w:spacing w:before="60" w:line="200" w:lineRule="exact"/>
              <w:jc w:val="right"/>
              <w:rPr>
                <w:sz w:val="16"/>
                <w:szCs w:val="16"/>
              </w:rPr>
            </w:pPr>
            <w:r w:rsidRPr="00213ECB">
              <w:rPr>
                <w:sz w:val="16"/>
                <w:szCs w:val="16"/>
              </w:rPr>
              <w:t>163–192</w:t>
            </w:r>
          </w:p>
        </w:tc>
        <w:tc>
          <w:tcPr>
            <w:tcW w:w="1094" w:type="dxa"/>
          </w:tcPr>
          <w:p w:rsidR="00213ECB" w:rsidRPr="00213ECB" w:rsidRDefault="00213ECB">
            <w:pPr>
              <w:shd w:val="clear" w:color="000000" w:fill="auto"/>
              <w:spacing w:before="60" w:line="200" w:lineRule="exact"/>
              <w:jc w:val="right"/>
              <w:rPr>
                <w:sz w:val="16"/>
                <w:szCs w:val="16"/>
              </w:rPr>
            </w:pPr>
            <w:r w:rsidRPr="00213ECB">
              <w:rPr>
                <w:sz w:val="16"/>
                <w:szCs w:val="16"/>
              </w:rPr>
              <w:t>225–267</w:t>
            </w:r>
          </w:p>
        </w:tc>
      </w:tr>
      <w:tr w:rsidR="00000000" w:rsidRPr="00213ECB">
        <w:tc>
          <w:tcPr>
            <w:tcW w:w="3766" w:type="dxa"/>
          </w:tcPr>
          <w:p w:rsidR="00213ECB" w:rsidRPr="00213ECB" w:rsidRDefault="00213ECB">
            <w:pPr>
              <w:shd w:val="clear" w:color="000000" w:fill="auto"/>
              <w:spacing w:before="60" w:line="200" w:lineRule="exact"/>
              <w:rPr>
                <w:sz w:val="16"/>
                <w:szCs w:val="16"/>
              </w:rPr>
            </w:pPr>
            <w:r w:rsidRPr="00213ECB">
              <w:rPr>
                <w:sz w:val="16"/>
                <w:szCs w:val="16"/>
              </w:rPr>
              <w:t>Årsinkomst, 130 000</w:t>
            </w:r>
          </w:p>
        </w:tc>
        <w:tc>
          <w:tcPr>
            <w:tcW w:w="1094" w:type="dxa"/>
          </w:tcPr>
          <w:p w:rsidR="00213ECB" w:rsidRPr="00213ECB" w:rsidRDefault="00213ECB">
            <w:pPr>
              <w:shd w:val="clear" w:color="000000" w:fill="auto"/>
              <w:spacing w:before="60" w:line="200" w:lineRule="exact"/>
              <w:jc w:val="right"/>
              <w:rPr>
                <w:sz w:val="16"/>
                <w:szCs w:val="16"/>
              </w:rPr>
            </w:pPr>
            <w:r w:rsidRPr="00213ECB">
              <w:rPr>
                <w:sz w:val="16"/>
                <w:szCs w:val="16"/>
              </w:rPr>
              <w:t>71–83</w:t>
            </w:r>
          </w:p>
        </w:tc>
        <w:tc>
          <w:tcPr>
            <w:tcW w:w="1094" w:type="dxa"/>
          </w:tcPr>
          <w:p w:rsidR="00213ECB" w:rsidRPr="00213ECB" w:rsidRDefault="00213ECB">
            <w:pPr>
              <w:shd w:val="clear" w:color="000000" w:fill="auto"/>
              <w:spacing w:before="60" w:line="200" w:lineRule="exact"/>
              <w:jc w:val="right"/>
              <w:rPr>
                <w:sz w:val="16"/>
                <w:szCs w:val="16"/>
              </w:rPr>
            </w:pPr>
            <w:r w:rsidRPr="00213ECB">
              <w:rPr>
                <w:sz w:val="16"/>
                <w:szCs w:val="16"/>
              </w:rPr>
              <w:t>225–267</w:t>
            </w:r>
          </w:p>
        </w:tc>
      </w:tr>
      <w:tr w:rsidR="00000000" w:rsidRPr="00213ECB">
        <w:tc>
          <w:tcPr>
            <w:tcW w:w="3766" w:type="dxa"/>
          </w:tcPr>
          <w:p w:rsidR="00213ECB" w:rsidRPr="00213ECB" w:rsidRDefault="00213ECB">
            <w:pPr>
              <w:shd w:val="clear" w:color="000000" w:fill="auto"/>
              <w:spacing w:before="60" w:line="200" w:lineRule="exact"/>
              <w:rPr>
                <w:sz w:val="16"/>
                <w:szCs w:val="16"/>
              </w:rPr>
            </w:pPr>
            <w:r w:rsidRPr="00213ECB">
              <w:rPr>
                <w:sz w:val="16"/>
                <w:szCs w:val="16"/>
              </w:rPr>
              <w:t>Årsinkomst, 150 000</w:t>
            </w:r>
          </w:p>
        </w:tc>
        <w:tc>
          <w:tcPr>
            <w:tcW w:w="1094" w:type="dxa"/>
          </w:tcPr>
          <w:p w:rsidR="00213ECB" w:rsidRPr="00213ECB" w:rsidRDefault="00213ECB">
            <w:pPr>
              <w:shd w:val="clear" w:color="000000" w:fill="auto"/>
              <w:spacing w:before="60" w:line="200" w:lineRule="exact"/>
              <w:jc w:val="right"/>
              <w:rPr>
                <w:sz w:val="16"/>
                <w:szCs w:val="16"/>
              </w:rPr>
            </w:pPr>
            <w:r w:rsidRPr="00213ECB">
              <w:rPr>
                <w:sz w:val="16"/>
                <w:szCs w:val="16"/>
              </w:rPr>
              <w:t>67–75</w:t>
            </w:r>
          </w:p>
        </w:tc>
        <w:tc>
          <w:tcPr>
            <w:tcW w:w="1094" w:type="dxa"/>
          </w:tcPr>
          <w:p w:rsidR="00213ECB" w:rsidRPr="00213ECB" w:rsidRDefault="00213ECB">
            <w:pPr>
              <w:shd w:val="clear" w:color="000000" w:fill="auto"/>
              <w:spacing w:before="60" w:line="200" w:lineRule="exact"/>
              <w:jc w:val="right"/>
              <w:rPr>
                <w:sz w:val="16"/>
                <w:szCs w:val="16"/>
              </w:rPr>
            </w:pPr>
            <w:r w:rsidRPr="00213ECB">
              <w:rPr>
                <w:sz w:val="16"/>
                <w:szCs w:val="16"/>
              </w:rPr>
              <w:t>225–267</w:t>
            </w:r>
          </w:p>
        </w:tc>
      </w:tr>
      <w:tr w:rsidR="00000000" w:rsidRPr="00213ECB">
        <w:tc>
          <w:tcPr>
            <w:tcW w:w="3766" w:type="dxa"/>
          </w:tcPr>
          <w:p w:rsidR="00213ECB" w:rsidRPr="00213ECB" w:rsidRDefault="00213ECB">
            <w:pPr>
              <w:shd w:val="clear" w:color="000000" w:fill="auto"/>
              <w:spacing w:before="60" w:line="200" w:lineRule="exact"/>
              <w:rPr>
                <w:sz w:val="16"/>
                <w:szCs w:val="16"/>
              </w:rPr>
            </w:pPr>
            <w:r w:rsidRPr="00213ECB">
              <w:rPr>
                <w:sz w:val="16"/>
                <w:szCs w:val="16"/>
              </w:rPr>
              <w:t>Årsinkomst över 400 000</w:t>
            </w:r>
          </w:p>
        </w:tc>
        <w:tc>
          <w:tcPr>
            <w:tcW w:w="1094" w:type="dxa"/>
          </w:tcPr>
          <w:p w:rsidR="00213ECB" w:rsidRPr="00213ECB" w:rsidRDefault="00213ECB">
            <w:pPr>
              <w:shd w:val="clear" w:color="000000" w:fill="auto"/>
              <w:spacing w:before="60" w:line="200" w:lineRule="exact"/>
              <w:jc w:val="right"/>
              <w:rPr>
                <w:sz w:val="16"/>
                <w:szCs w:val="16"/>
              </w:rPr>
            </w:pPr>
            <w:r w:rsidRPr="00213ECB">
              <w:rPr>
                <w:sz w:val="16"/>
                <w:szCs w:val="16"/>
              </w:rPr>
              <w:t>0</w:t>
            </w:r>
          </w:p>
        </w:tc>
        <w:tc>
          <w:tcPr>
            <w:tcW w:w="1094" w:type="dxa"/>
          </w:tcPr>
          <w:p w:rsidR="00213ECB" w:rsidRPr="00213ECB" w:rsidRDefault="00213ECB">
            <w:pPr>
              <w:shd w:val="clear" w:color="000000" w:fill="auto"/>
              <w:spacing w:before="60" w:line="200" w:lineRule="exact"/>
              <w:jc w:val="right"/>
              <w:rPr>
                <w:sz w:val="16"/>
                <w:szCs w:val="16"/>
              </w:rPr>
            </w:pPr>
            <w:r w:rsidRPr="00213ECB">
              <w:rPr>
                <w:sz w:val="16"/>
                <w:szCs w:val="16"/>
              </w:rPr>
              <w:t>225–267</w:t>
            </w:r>
          </w:p>
        </w:tc>
      </w:tr>
      <w:tr w:rsidR="00000000" w:rsidRPr="00213ECB">
        <w:tc>
          <w:tcPr>
            <w:tcW w:w="3766" w:type="dxa"/>
          </w:tcPr>
          <w:p w:rsidR="00213ECB" w:rsidRPr="00213ECB" w:rsidRDefault="00213ECB">
            <w:pPr>
              <w:shd w:val="clear" w:color="000000" w:fill="auto"/>
              <w:spacing w:before="60" w:line="200" w:lineRule="exact"/>
              <w:jc w:val="left"/>
              <w:rPr>
                <w:sz w:val="16"/>
                <w:szCs w:val="16"/>
              </w:rPr>
            </w:pPr>
            <w:r w:rsidRPr="00213ECB">
              <w:rPr>
                <w:sz w:val="16"/>
                <w:szCs w:val="16"/>
              </w:rPr>
              <w:t>Garantipensionär född 1937 eller tidigare</w:t>
            </w:r>
          </w:p>
        </w:tc>
        <w:tc>
          <w:tcPr>
            <w:tcW w:w="1094" w:type="dxa"/>
          </w:tcPr>
          <w:p w:rsidR="00213ECB" w:rsidRPr="00213ECB" w:rsidRDefault="00213ECB">
            <w:pPr>
              <w:shd w:val="clear" w:color="000000" w:fill="auto"/>
              <w:spacing w:before="60" w:line="200" w:lineRule="exact"/>
              <w:jc w:val="right"/>
              <w:rPr>
                <w:i/>
                <w:sz w:val="16"/>
                <w:szCs w:val="16"/>
              </w:rPr>
            </w:pPr>
          </w:p>
        </w:tc>
        <w:tc>
          <w:tcPr>
            <w:tcW w:w="1094" w:type="dxa"/>
          </w:tcPr>
          <w:p w:rsidR="00213ECB" w:rsidRPr="00213ECB" w:rsidRDefault="00213ECB">
            <w:pPr>
              <w:shd w:val="clear" w:color="000000" w:fill="auto"/>
              <w:spacing w:before="60" w:line="200" w:lineRule="exact"/>
              <w:jc w:val="right"/>
              <w:rPr>
                <w:i/>
                <w:sz w:val="16"/>
                <w:szCs w:val="16"/>
              </w:rPr>
            </w:pPr>
          </w:p>
        </w:tc>
      </w:tr>
      <w:tr w:rsidR="00000000" w:rsidRPr="00213ECB">
        <w:trPr>
          <w:trHeight w:val="70"/>
        </w:trPr>
        <w:tc>
          <w:tcPr>
            <w:tcW w:w="3766" w:type="dxa"/>
          </w:tcPr>
          <w:p w:rsidR="00213ECB" w:rsidRPr="00213ECB" w:rsidRDefault="00213ECB">
            <w:pPr>
              <w:shd w:val="clear" w:color="000000" w:fill="auto"/>
              <w:spacing w:before="60" w:line="200" w:lineRule="exact"/>
              <w:rPr>
                <w:sz w:val="16"/>
                <w:szCs w:val="16"/>
              </w:rPr>
            </w:pPr>
            <w:r w:rsidRPr="00213ECB">
              <w:rPr>
                <w:sz w:val="16"/>
                <w:szCs w:val="16"/>
              </w:rPr>
              <w:t>Gift/sambo, 82 800</w:t>
            </w:r>
          </w:p>
        </w:tc>
        <w:tc>
          <w:tcPr>
            <w:tcW w:w="1094" w:type="dxa"/>
          </w:tcPr>
          <w:p w:rsidR="00213ECB" w:rsidRPr="00213ECB" w:rsidRDefault="00213ECB">
            <w:pPr>
              <w:shd w:val="clear" w:color="000000" w:fill="auto"/>
              <w:spacing w:before="60" w:line="200" w:lineRule="exact"/>
              <w:jc w:val="right"/>
              <w:rPr>
                <w:sz w:val="16"/>
                <w:szCs w:val="16"/>
              </w:rPr>
            </w:pPr>
            <w:r w:rsidRPr="00213ECB">
              <w:rPr>
                <w:sz w:val="16"/>
                <w:szCs w:val="16"/>
              </w:rPr>
              <w:t>242–283</w:t>
            </w:r>
          </w:p>
        </w:tc>
        <w:tc>
          <w:tcPr>
            <w:tcW w:w="1094" w:type="dxa"/>
          </w:tcPr>
          <w:p w:rsidR="00213ECB" w:rsidRPr="00213ECB" w:rsidRDefault="00213ECB">
            <w:pPr>
              <w:shd w:val="clear" w:color="000000" w:fill="auto"/>
              <w:spacing w:before="60" w:line="200" w:lineRule="exact"/>
              <w:jc w:val="right"/>
              <w:rPr>
                <w:sz w:val="16"/>
                <w:szCs w:val="16"/>
              </w:rPr>
            </w:pPr>
            <w:r w:rsidRPr="00213ECB">
              <w:rPr>
                <w:sz w:val="16"/>
                <w:szCs w:val="16"/>
              </w:rPr>
              <w:t>242–283</w:t>
            </w:r>
          </w:p>
        </w:tc>
      </w:tr>
      <w:tr w:rsidR="00000000" w:rsidRPr="00213ECB">
        <w:tc>
          <w:tcPr>
            <w:tcW w:w="3766" w:type="dxa"/>
          </w:tcPr>
          <w:p w:rsidR="00213ECB" w:rsidRPr="00213ECB" w:rsidRDefault="00213ECB">
            <w:pPr>
              <w:shd w:val="clear" w:color="000000" w:fill="auto"/>
              <w:spacing w:before="60" w:line="200" w:lineRule="exact"/>
              <w:rPr>
                <w:sz w:val="16"/>
                <w:szCs w:val="16"/>
              </w:rPr>
            </w:pPr>
            <w:r w:rsidRPr="00213ECB">
              <w:rPr>
                <w:sz w:val="16"/>
                <w:szCs w:val="16"/>
              </w:rPr>
              <w:t>Ensamstående, 92 900</w:t>
            </w:r>
          </w:p>
        </w:tc>
        <w:tc>
          <w:tcPr>
            <w:tcW w:w="1094" w:type="dxa"/>
          </w:tcPr>
          <w:p w:rsidR="00213ECB" w:rsidRPr="00213ECB" w:rsidRDefault="00213ECB">
            <w:pPr>
              <w:shd w:val="clear" w:color="000000" w:fill="auto"/>
              <w:spacing w:before="60" w:line="200" w:lineRule="exact"/>
              <w:jc w:val="right"/>
              <w:rPr>
                <w:sz w:val="16"/>
                <w:szCs w:val="16"/>
              </w:rPr>
            </w:pPr>
            <w:r w:rsidRPr="00213ECB">
              <w:rPr>
                <w:sz w:val="16"/>
                <w:szCs w:val="16"/>
              </w:rPr>
              <w:t>192–225</w:t>
            </w:r>
          </w:p>
        </w:tc>
        <w:tc>
          <w:tcPr>
            <w:tcW w:w="1094" w:type="dxa"/>
          </w:tcPr>
          <w:p w:rsidR="00213ECB" w:rsidRPr="00213ECB" w:rsidRDefault="00213ECB">
            <w:pPr>
              <w:shd w:val="clear" w:color="000000" w:fill="auto"/>
              <w:spacing w:before="60" w:line="200" w:lineRule="exact"/>
              <w:jc w:val="right"/>
              <w:rPr>
                <w:sz w:val="16"/>
                <w:szCs w:val="16"/>
              </w:rPr>
            </w:pPr>
            <w:r w:rsidRPr="00213ECB">
              <w:rPr>
                <w:sz w:val="16"/>
                <w:szCs w:val="16"/>
              </w:rPr>
              <w:t>225–267</w:t>
            </w:r>
          </w:p>
        </w:tc>
      </w:tr>
      <w:tr w:rsidR="00000000" w:rsidRPr="00213ECB">
        <w:tc>
          <w:tcPr>
            <w:tcW w:w="3766" w:type="dxa"/>
          </w:tcPr>
          <w:p w:rsidR="00213ECB" w:rsidRPr="00213ECB" w:rsidRDefault="00213ECB">
            <w:pPr>
              <w:shd w:val="clear" w:color="000000" w:fill="auto"/>
              <w:spacing w:before="60" w:line="200" w:lineRule="exact"/>
              <w:jc w:val="left"/>
              <w:rPr>
                <w:sz w:val="16"/>
                <w:szCs w:val="16"/>
              </w:rPr>
            </w:pPr>
            <w:r w:rsidRPr="00213ECB">
              <w:rPr>
                <w:sz w:val="16"/>
                <w:szCs w:val="16"/>
              </w:rPr>
              <w:t>Garantipensionär född 1938 eller senare</w:t>
            </w:r>
          </w:p>
        </w:tc>
        <w:tc>
          <w:tcPr>
            <w:tcW w:w="1094" w:type="dxa"/>
          </w:tcPr>
          <w:p w:rsidR="00213ECB" w:rsidRPr="00213ECB" w:rsidRDefault="00213ECB">
            <w:pPr>
              <w:shd w:val="clear" w:color="000000" w:fill="auto"/>
              <w:spacing w:before="60" w:line="200" w:lineRule="exact"/>
              <w:jc w:val="right"/>
              <w:rPr>
                <w:sz w:val="16"/>
                <w:szCs w:val="16"/>
              </w:rPr>
            </w:pPr>
          </w:p>
        </w:tc>
        <w:tc>
          <w:tcPr>
            <w:tcW w:w="1094" w:type="dxa"/>
          </w:tcPr>
          <w:p w:rsidR="00213ECB" w:rsidRPr="00213ECB" w:rsidRDefault="00213ECB">
            <w:pPr>
              <w:shd w:val="clear" w:color="000000" w:fill="auto"/>
              <w:spacing w:before="60" w:line="200" w:lineRule="exact"/>
              <w:jc w:val="right"/>
              <w:rPr>
                <w:i/>
                <w:sz w:val="16"/>
                <w:szCs w:val="16"/>
              </w:rPr>
            </w:pPr>
          </w:p>
        </w:tc>
      </w:tr>
      <w:tr w:rsidR="00000000" w:rsidRPr="00213ECB">
        <w:tc>
          <w:tcPr>
            <w:tcW w:w="3766" w:type="dxa"/>
          </w:tcPr>
          <w:p w:rsidR="00213ECB" w:rsidRPr="00213ECB" w:rsidRDefault="00213ECB">
            <w:pPr>
              <w:shd w:val="clear" w:color="000000" w:fill="auto"/>
              <w:spacing w:before="60" w:line="200" w:lineRule="exact"/>
              <w:rPr>
                <w:sz w:val="16"/>
                <w:szCs w:val="16"/>
              </w:rPr>
            </w:pPr>
            <w:r w:rsidRPr="00213ECB">
              <w:rPr>
                <w:sz w:val="16"/>
                <w:szCs w:val="16"/>
              </w:rPr>
              <w:t>Gift/sambo, 81 300</w:t>
            </w:r>
          </w:p>
        </w:tc>
        <w:tc>
          <w:tcPr>
            <w:tcW w:w="1094" w:type="dxa"/>
          </w:tcPr>
          <w:p w:rsidR="00213ECB" w:rsidRPr="00213ECB" w:rsidRDefault="00213ECB">
            <w:pPr>
              <w:shd w:val="clear" w:color="000000" w:fill="auto"/>
              <w:spacing w:before="60" w:line="200" w:lineRule="exact"/>
              <w:jc w:val="right"/>
              <w:rPr>
                <w:sz w:val="16"/>
                <w:szCs w:val="16"/>
              </w:rPr>
            </w:pPr>
            <w:r w:rsidRPr="00213ECB">
              <w:rPr>
                <w:sz w:val="16"/>
                <w:szCs w:val="16"/>
              </w:rPr>
              <w:t>250–292</w:t>
            </w:r>
          </w:p>
        </w:tc>
        <w:tc>
          <w:tcPr>
            <w:tcW w:w="1094" w:type="dxa"/>
          </w:tcPr>
          <w:p w:rsidR="00213ECB" w:rsidRPr="00213ECB" w:rsidRDefault="00213ECB">
            <w:pPr>
              <w:shd w:val="clear" w:color="000000" w:fill="auto"/>
              <w:spacing w:before="60" w:line="200" w:lineRule="exact"/>
              <w:jc w:val="right"/>
              <w:rPr>
                <w:sz w:val="16"/>
                <w:szCs w:val="16"/>
              </w:rPr>
            </w:pPr>
            <w:r w:rsidRPr="00213ECB">
              <w:rPr>
                <w:sz w:val="16"/>
                <w:szCs w:val="16"/>
              </w:rPr>
              <w:t>250–292</w:t>
            </w:r>
          </w:p>
        </w:tc>
      </w:tr>
      <w:tr w:rsidR="00000000" w:rsidRPr="00213ECB">
        <w:tc>
          <w:tcPr>
            <w:tcW w:w="3766" w:type="dxa"/>
            <w:tcBorders>
              <w:bottom w:val="single" w:sz="4" w:space="0" w:color="auto"/>
            </w:tcBorders>
          </w:tcPr>
          <w:p w:rsidR="00213ECB" w:rsidRPr="00213ECB" w:rsidRDefault="00213ECB">
            <w:pPr>
              <w:shd w:val="clear" w:color="000000" w:fill="auto"/>
              <w:spacing w:before="60" w:line="200" w:lineRule="exact"/>
              <w:rPr>
                <w:sz w:val="16"/>
                <w:szCs w:val="16"/>
              </w:rPr>
            </w:pPr>
            <w:r w:rsidRPr="00213ECB">
              <w:rPr>
                <w:sz w:val="16"/>
                <w:szCs w:val="16"/>
              </w:rPr>
              <w:t>Ensamstående, 92 400</w:t>
            </w:r>
          </w:p>
        </w:tc>
        <w:tc>
          <w:tcPr>
            <w:tcW w:w="1094" w:type="dxa"/>
            <w:tcBorders>
              <w:bottom w:val="single" w:sz="4" w:space="0" w:color="auto"/>
            </w:tcBorders>
          </w:tcPr>
          <w:p w:rsidR="00213ECB" w:rsidRPr="00213ECB" w:rsidRDefault="00213ECB">
            <w:pPr>
              <w:shd w:val="clear" w:color="000000" w:fill="auto"/>
              <w:spacing w:before="60" w:line="200" w:lineRule="exact"/>
              <w:jc w:val="right"/>
              <w:rPr>
                <w:sz w:val="16"/>
                <w:szCs w:val="16"/>
              </w:rPr>
            </w:pPr>
            <w:r w:rsidRPr="00213ECB">
              <w:rPr>
                <w:sz w:val="16"/>
                <w:szCs w:val="16"/>
              </w:rPr>
              <w:t>200–242</w:t>
            </w:r>
          </w:p>
        </w:tc>
        <w:tc>
          <w:tcPr>
            <w:tcW w:w="1094" w:type="dxa"/>
            <w:tcBorders>
              <w:bottom w:val="single" w:sz="4" w:space="0" w:color="auto"/>
            </w:tcBorders>
          </w:tcPr>
          <w:p w:rsidR="00213ECB" w:rsidRPr="00213ECB" w:rsidRDefault="00213ECB">
            <w:pPr>
              <w:shd w:val="clear" w:color="000000" w:fill="auto"/>
              <w:spacing w:before="60" w:line="200" w:lineRule="exact"/>
              <w:jc w:val="right"/>
              <w:rPr>
                <w:sz w:val="16"/>
                <w:szCs w:val="16"/>
              </w:rPr>
            </w:pPr>
            <w:r w:rsidRPr="00213ECB">
              <w:rPr>
                <w:sz w:val="16"/>
                <w:szCs w:val="16"/>
              </w:rPr>
              <w:t>225–267</w:t>
            </w:r>
          </w:p>
        </w:tc>
      </w:tr>
    </w:tbl>
    <w:p w:rsidR="00213ECB" w:rsidRPr="00213ECB" w:rsidRDefault="00213ECB">
      <w:pPr>
        <w:shd w:val="clear" w:color="000000" w:fill="auto"/>
        <w:spacing w:line="200" w:lineRule="exact"/>
      </w:pPr>
      <w:r w:rsidRPr="00213ECB">
        <w:rPr>
          <w:sz w:val="20"/>
        </w:rPr>
        <w:t>*</w:t>
      </w:r>
      <w:r w:rsidRPr="00213ECB">
        <w:rPr>
          <w:sz w:val="16"/>
          <w:szCs w:val="16"/>
        </w:rPr>
        <w:t>Den slutgiltiga skattelättnaden beror på kommunalskattesatsen. Därför presenteras ett intervall under varje kategori. Ju högre kommunalskattesats, desto högre blir skattelättnaden.</w:t>
      </w:r>
    </w:p>
    <w:p w:rsidR="00213ECB" w:rsidRPr="00213ECB" w:rsidRDefault="00213ECB">
      <w:pPr>
        <w:pStyle w:val="Normaltindrag"/>
        <w:shd w:val="clear" w:color="000000" w:fill="auto"/>
        <w:spacing w:before="125" w:line="200" w:lineRule="exact"/>
        <w:ind w:firstLine="0"/>
        <w:rPr>
          <w:sz w:val="16"/>
          <w:szCs w:val="16"/>
        </w:rPr>
      </w:pPr>
      <w:r w:rsidRPr="00213ECB">
        <w:rPr>
          <w:sz w:val="16"/>
          <w:szCs w:val="16"/>
        </w:rPr>
        <w:t>Källor: Regeringens webbplats, riksdagens utredningstjänst (RUT) och Socialdemokraternas egna beräkningar.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ECB">
        <w:trPr>
          <w:cantSplit/>
        </w:trPr>
        <w:tc>
          <w:tcPr>
            <w:tcW w:w="3046" w:type="dxa"/>
          </w:tcPr>
          <w:p w:rsidR="00213ECB" w:rsidRPr="00213ECB" w:rsidRDefault="00213ECB">
            <w:pPr>
              <w:pStyle w:val="UnderskriftDatum"/>
              <w:shd w:val="clear" w:color="000000" w:fill="auto"/>
              <w:spacing w:before="240"/>
            </w:pPr>
            <w:r w:rsidRPr="00213ECB">
              <w:t>Stockholm den 5 november 2008</w:t>
            </w:r>
          </w:p>
        </w:tc>
        <w:tc>
          <w:tcPr>
            <w:tcW w:w="3047" w:type="dxa"/>
          </w:tcPr>
          <w:p w:rsidR="00213ECB" w:rsidRPr="00213ECB" w:rsidRDefault="00213ECB">
            <w:pPr>
              <w:pStyle w:val="Underskrifter"/>
              <w:shd w:val="clear" w:color="000000" w:fill="auto"/>
              <w:spacing w:before="240"/>
            </w:pPr>
          </w:p>
        </w:tc>
      </w:tr>
      <w:tr w:rsidR="00000000" w:rsidRPr="00213ECB">
        <w:trPr>
          <w:cantSplit/>
        </w:trPr>
        <w:tc>
          <w:tcPr>
            <w:tcW w:w="3046" w:type="dxa"/>
          </w:tcPr>
          <w:p w:rsidR="00213ECB" w:rsidRPr="00213ECB" w:rsidRDefault="00213ECB">
            <w:pPr>
              <w:pStyle w:val="Underskrifter"/>
              <w:shd w:val="clear" w:color="000000" w:fill="auto"/>
            </w:pPr>
            <w:r w:rsidRPr="00213ECB">
              <w:t>Lars Johansson (s)</w:t>
            </w:r>
          </w:p>
        </w:tc>
        <w:tc>
          <w:tcPr>
            <w:tcW w:w="3046" w:type="dxa"/>
          </w:tcPr>
          <w:p w:rsidR="00213ECB" w:rsidRPr="00213ECB" w:rsidRDefault="00213ECB">
            <w:pPr>
              <w:pStyle w:val="Underskrifter"/>
              <w:shd w:val="clear" w:color="000000" w:fill="auto"/>
            </w:pPr>
          </w:p>
        </w:tc>
      </w:tr>
      <w:tr w:rsidR="00000000" w:rsidRPr="00213ECB">
        <w:trPr>
          <w:cantSplit/>
        </w:trPr>
        <w:tc>
          <w:tcPr>
            <w:tcW w:w="3046" w:type="dxa"/>
          </w:tcPr>
          <w:p w:rsidR="00213ECB" w:rsidRPr="00213ECB" w:rsidRDefault="00213ECB">
            <w:pPr>
              <w:pStyle w:val="Underskrifter"/>
              <w:shd w:val="clear" w:color="000000" w:fill="auto"/>
            </w:pPr>
            <w:r w:rsidRPr="00213ECB">
              <w:t>Laila Bjurling (s)</w:t>
            </w:r>
          </w:p>
        </w:tc>
        <w:tc>
          <w:tcPr>
            <w:tcW w:w="3046" w:type="dxa"/>
          </w:tcPr>
          <w:p w:rsidR="00213ECB" w:rsidRPr="00213ECB" w:rsidRDefault="00213ECB">
            <w:pPr>
              <w:pStyle w:val="Underskrifter"/>
              <w:shd w:val="clear" w:color="000000" w:fill="auto"/>
            </w:pPr>
            <w:r w:rsidRPr="00213ECB">
              <w:t>Raimo Pärssinen (s)</w:t>
            </w:r>
          </w:p>
        </w:tc>
      </w:tr>
      <w:tr w:rsidR="00000000" w:rsidRPr="00213ECB">
        <w:trPr>
          <w:cantSplit/>
        </w:trPr>
        <w:tc>
          <w:tcPr>
            <w:tcW w:w="3046" w:type="dxa"/>
          </w:tcPr>
          <w:p w:rsidR="00213ECB" w:rsidRPr="00213ECB" w:rsidRDefault="00213ECB">
            <w:pPr>
              <w:pStyle w:val="Underskrifter"/>
              <w:shd w:val="clear" w:color="000000" w:fill="auto"/>
            </w:pPr>
            <w:r w:rsidRPr="00213ECB">
              <w:t>Christin Hagberg (s)</w:t>
            </w:r>
          </w:p>
        </w:tc>
        <w:tc>
          <w:tcPr>
            <w:tcW w:w="3046" w:type="dxa"/>
          </w:tcPr>
          <w:p w:rsidR="00213ECB" w:rsidRPr="00213ECB" w:rsidRDefault="00213ECB">
            <w:pPr>
              <w:pStyle w:val="Underskrifter"/>
              <w:shd w:val="clear" w:color="000000" w:fill="auto"/>
            </w:pPr>
            <w:r w:rsidRPr="00213ECB">
              <w:t>Fredrik Olovsson (s)</w:t>
            </w:r>
          </w:p>
        </w:tc>
      </w:tr>
      <w:tr w:rsidR="00000000" w:rsidRPr="00213ECB">
        <w:trPr>
          <w:cantSplit/>
        </w:trPr>
        <w:tc>
          <w:tcPr>
            <w:tcW w:w="3046" w:type="dxa"/>
          </w:tcPr>
          <w:p w:rsidR="00213ECB" w:rsidRPr="00213ECB" w:rsidRDefault="00213ECB">
            <w:pPr>
              <w:pStyle w:val="Underskrifter"/>
              <w:shd w:val="clear" w:color="000000" w:fill="auto"/>
            </w:pPr>
            <w:r w:rsidRPr="00213ECB">
              <w:t>Britta Rådström (s)</w:t>
            </w:r>
          </w:p>
        </w:tc>
        <w:tc>
          <w:tcPr>
            <w:tcW w:w="3046" w:type="dxa"/>
          </w:tcPr>
          <w:p w:rsidR="00213ECB" w:rsidRPr="00213ECB" w:rsidRDefault="00213ECB">
            <w:pPr>
              <w:pStyle w:val="Underskrifter"/>
              <w:shd w:val="clear" w:color="000000" w:fill="auto"/>
            </w:pPr>
            <w:r w:rsidRPr="00213ECB">
              <w:t>Hans Olsson (s)</w:t>
            </w:r>
          </w:p>
        </w:tc>
      </w:tr>
      <w:tr w:rsidR="00000000" w:rsidRPr="00213ECB">
        <w:trPr>
          <w:cantSplit/>
        </w:trPr>
        <w:tc>
          <w:tcPr>
            <w:tcW w:w="3046" w:type="dxa"/>
          </w:tcPr>
          <w:p w:rsidR="00213ECB" w:rsidRPr="00213ECB" w:rsidRDefault="00213ECB">
            <w:pPr>
              <w:pStyle w:val="Underskrifter"/>
              <w:shd w:val="clear" w:color="000000" w:fill="auto"/>
            </w:pPr>
            <w:r w:rsidRPr="00213ECB">
              <w:t>Birgitta Eriksson (s)</w:t>
            </w:r>
          </w:p>
        </w:tc>
        <w:tc>
          <w:tcPr>
            <w:tcW w:w="3046" w:type="dxa"/>
          </w:tcPr>
          <w:p w:rsidR="00213ECB" w:rsidRPr="00213ECB" w:rsidRDefault="00213ECB">
            <w:pPr>
              <w:pStyle w:val="Underskrifter"/>
              <w:shd w:val="clear" w:color="000000" w:fill="auto"/>
            </w:pPr>
          </w:p>
        </w:tc>
      </w:tr>
    </w:tbl>
    <w:p w:rsidR="00213ECB" w:rsidRPr="00213ECB" w:rsidRDefault="00213ECB">
      <w:pPr>
        <w:pStyle w:val="Normaltindrag"/>
        <w:shd w:val="clear" w:color="000000" w:fill="auto"/>
      </w:pPr>
    </w:p>
    <w:sectPr w:rsidR="00000000" w:rsidRPr="00213E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ECB" w:rsidRPr="00213ECB" w:rsidRDefault="00213ECB">
      <w:r w:rsidRPr="00213ECB">
        <w:separator/>
      </w:r>
    </w:p>
  </w:endnote>
  <w:endnote w:type="continuationSeparator" w:id="0">
    <w:p w:rsidR="00213ECB" w:rsidRPr="00213ECB" w:rsidRDefault="00213ECB">
      <w:r w:rsidRPr="00213E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CB" w:rsidRPr="00213ECB" w:rsidRDefault="00213ECB">
    <w:pPr>
      <w:pStyle w:val="Sidfot"/>
    </w:pPr>
    <w:r w:rsidRPr="00213E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5460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ECB" w:rsidRDefault="00213E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3ECB" w:rsidRDefault="00213E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CB" w:rsidRPr="00213ECB" w:rsidRDefault="00213ECB">
    <w:pPr>
      <w:pStyle w:val="Sidfot"/>
    </w:pPr>
    <w:r w:rsidRPr="00213E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3668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ECB" w:rsidRDefault="00213E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3ECB" w:rsidRDefault="00213E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CB" w:rsidRPr="00213ECB" w:rsidRDefault="00213ECB">
    <w:pPr>
      <w:pStyle w:val="Sidfot"/>
    </w:pPr>
    <w:r w:rsidRPr="00213E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643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ECB" w:rsidRDefault="00213E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3ECB" w:rsidRDefault="00213E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ECB" w:rsidRPr="00213ECB" w:rsidRDefault="00213ECB">
      <w:r w:rsidRPr="00213ECB">
        <w:separator/>
      </w:r>
    </w:p>
  </w:footnote>
  <w:footnote w:type="continuationSeparator" w:id="0">
    <w:p w:rsidR="00213ECB" w:rsidRPr="00213ECB" w:rsidRDefault="00213ECB">
      <w:r w:rsidRPr="00213E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CB" w:rsidRPr="00213ECB" w:rsidRDefault="00213ECB">
    <w:pPr>
      <w:pStyle w:val="Sidhuvud"/>
    </w:pPr>
    <w:r w:rsidRPr="00213E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181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ECB" w:rsidRDefault="00213E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3ECB" w:rsidRDefault="00213E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CB" w:rsidRPr="00213ECB" w:rsidRDefault="00213ECB">
    <w:pPr>
      <w:pStyle w:val="Sidhuvud"/>
    </w:pPr>
    <w:r w:rsidRPr="00213E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8158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ECB" w:rsidRDefault="00213E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3ECB" w:rsidRDefault="00213E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CB" w:rsidRPr="00213ECB" w:rsidRDefault="00213ECB">
    <w:pPr>
      <w:pStyle w:val="FSHNormal"/>
      <w:tabs>
        <w:tab w:val="right" w:pos="5840"/>
      </w:tabs>
    </w:pPr>
    <w:r w:rsidRPr="00213ECB">
      <w:br/>
    </w:r>
    <w:r w:rsidRPr="00213ECB">
      <w:fldChar w:fldCharType="begin" w:fldLock="1"/>
    </w:r>
    <w:r w:rsidRPr="00213ECB">
      <w:instrText xml:space="preserve"> DOCPROPERTY</w:instrText>
    </w:r>
    <w:r w:rsidRPr="00213ECB">
      <w:rPr>
        <w:sz w:val="18"/>
      </w:rPr>
      <w:instrText xml:space="preserve"> "YearUser" *\charformat </w:instrText>
    </w:r>
    <w:r w:rsidRPr="00213ECB">
      <w:fldChar w:fldCharType="separate"/>
    </w:r>
    <w:r w:rsidRPr="00213ECB">
      <w:t>2008/09</w:t>
    </w:r>
    <w:r w:rsidRPr="00213ECB">
      <w:fldChar w:fldCharType="end"/>
    </w:r>
    <w:r w:rsidRPr="00213ECB">
      <w:t xml:space="preserve"> </w:t>
    </w:r>
    <w:r w:rsidRPr="00213ECB">
      <w:tab/>
      <w:t xml:space="preserve">mnr: </w:t>
    </w:r>
    <w:r w:rsidRPr="00213ECB">
      <w:fldChar w:fldCharType="begin" w:fldLock="1"/>
    </w:r>
    <w:r w:rsidRPr="00213ECB">
      <w:instrText xml:space="preserve"> DOCPROPERTY</w:instrText>
    </w:r>
    <w:r w:rsidRPr="00213ECB">
      <w:rPr>
        <w:sz w:val="18"/>
      </w:rPr>
      <w:instrText xml:space="preserve"> "Motionsnummer" *\charformat </w:instrText>
    </w:r>
    <w:r w:rsidRPr="00213ECB">
      <w:fldChar w:fldCharType="separate"/>
    </w:r>
    <w:r w:rsidRPr="00213ECB">
      <w:t>Sk7</w:t>
    </w:r>
    <w:r w:rsidRPr="00213ECB">
      <w:fldChar w:fldCharType="end"/>
    </w:r>
    <w:r w:rsidRPr="00213ECB">
      <w:br/>
    </w:r>
    <w:r w:rsidRPr="00213ECB">
      <w:fldChar w:fldCharType="begin" w:fldLock="1"/>
    </w:r>
    <w:r w:rsidRPr="00213ECB">
      <w:instrText xml:space="preserve"> DOCPROPERTY</w:instrText>
    </w:r>
    <w:r w:rsidRPr="00213ECB">
      <w:rPr>
        <w:sz w:val="18"/>
      </w:rPr>
      <w:instrText xml:space="preserve"> "Samling" *\charformat </w:instrText>
    </w:r>
    <w:r w:rsidRPr="00213ECB">
      <w:fldChar w:fldCharType="end"/>
    </w:r>
    <w:r w:rsidRPr="00213ECB">
      <w:tab/>
      <w:t xml:space="preserve">pnr: </w:t>
    </w:r>
    <w:r w:rsidRPr="00213ECB">
      <w:fldChar w:fldCharType="begin" w:fldLock="1"/>
    </w:r>
    <w:r w:rsidRPr="00213ECB">
      <w:instrText xml:space="preserve"> DOCPROPERTY</w:instrText>
    </w:r>
    <w:r w:rsidRPr="00213ECB">
      <w:rPr>
        <w:sz w:val="18"/>
      </w:rPr>
      <w:instrText xml:space="preserve"> "Partinummer" *\charformat </w:instrText>
    </w:r>
    <w:r w:rsidRPr="00213ECB">
      <w:fldChar w:fldCharType="separate"/>
    </w:r>
    <w:r w:rsidRPr="00213ECB">
      <w:t>s33105</w:t>
    </w:r>
    <w:r w:rsidRPr="00213ECB">
      <w:fldChar w:fldCharType="end"/>
    </w:r>
  </w:p>
  <w:p w:rsidR="00213ECB" w:rsidRPr="00213ECB" w:rsidRDefault="00213ECB">
    <w:pPr>
      <w:pStyle w:val="FSHRub1"/>
    </w:pPr>
    <w:r w:rsidRPr="00213ECB">
      <w:t>Motion till riksdagen</w:t>
    </w:r>
    <w:r w:rsidRPr="00213ECB">
      <w:br/>
    </w:r>
    <w:r w:rsidRPr="00213ECB">
      <w:fldChar w:fldCharType="begin" w:fldLock="1"/>
    </w:r>
    <w:r w:rsidRPr="00213ECB">
      <w:instrText xml:space="preserve"> DOCPROPERTY "YearUser" *\charformat </w:instrText>
    </w:r>
    <w:r w:rsidRPr="00213ECB">
      <w:fldChar w:fldCharType="separate"/>
    </w:r>
    <w:r w:rsidRPr="00213ECB">
      <w:t>2008/09</w:t>
    </w:r>
    <w:r w:rsidRPr="00213ECB">
      <w:fldChar w:fldCharType="end"/>
    </w:r>
    <w:r w:rsidRPr="00213ECB">
      <w:t>:</w:t>
    </w:r>
    <w:r w:rsidRPr="00213ECB">
      <w:fldChar w:fldCharType="begin" w:fldLock="1"/>
    </w:r>
    <w:r w:rsidRPr="00213ECB">
      <w:instrText xml:space="preserve"> DOCPROPERTY "Motionsnummer" *\charformat </w:instrText>
    </w:r>
    <w:r w:rsidRPr="00213ECB">
      <w:fldChar w:fldCharType="separate"/>
    </w:r>
    <w:r w:rsidRPr="00213ECB">
      <w:t>Sk7</w:t>
    </w:r>
    <w:r w:rsidRPr="00213ECB">
      <w:fldChar w:fldCharType="end"/>
    </w:r>
  </w:p>
  <w:p w:rsidR="00213ECB" w:rsidRPr="00213ECB" w:rsidRDefault="00213ECB">
    <w:pPr>
      <w:pStyle w:val="FSHNormalS5"/>
    </w:pPr>
    <w:r w:rsidRPr="00213ECB">
      <w:fldChar w:fldCharType="begin" w:fldLock="1"/>
    </w:r>
    <w:r w:rsidRPr="00213ECB">
      <w:instrText xml:space="preserve"> DOCPROPERTY "MotionarText" *\charformat </w:instrText>
    </w:r>
    <w:r w:rsidRPr="00213ECB">
      <w:fldChar w:fldCharType="separate"/>
    </w:r>
    <w:r w:rsidRPr="00213ECB">
      <w:t>av Lars Johansson m.fl. (s)</w:t>
    </w:r>
    <w:r w:rsidRPr="00213ECB">
      <w:fldChar w:fldCharType="end"/>
    </w:r>
    <w:r w:rsidRPr="00213ECB">
      <w:br/>
    </w:r>
    <w:r w:rsidRPr="00213ECB">
      <w:fldChar w:fldCharType="begin" w:fldLock="1"/>
    </w:r>
    <w:r w:rsidRPr="00213ECB">
      <w:instrText xml:space="preserve"> DOCPROPERTY "SvarFrasKort" *\charformat </w:instrText>
    </w:r>
    <w:r w:rsidRPr="00213ECB">
      <w:fldChar w:fldCharType="separate"/>
    </w:r>
    <w:r w:rsidRPr="00213ECB">
      <w:t>med anledning av prop. 2008/09:38</w:t>
    </w:r>
    <w:r w:rsidRPr="00213ECB">
      <w:fldChar w:fldCharType="end"/>
    </w:r>
  </w:p>
  <w:p w:rsidR="00213ECB" w:rsidRPr="00213ECB" w:rsidRDefault="00213ECB">
    <w:pPr>
      <w:pStyle w:val="FSHTitel"/>
    </w:pPr>
    <w:r w:rsidRPr="00213ECB">
      <w:fldChar w:fldCharType="begin" w:fldLock="1"/>
    </w:r>
    <w:r w:rsidRPr="00213ECB">
      <w:instrText xml:space="preserve"> DOCPROPERTY</w:instrText>
    </w:r>
    <w:r w:rsidRPr="00213ECB">
      <w:rPr>
        <w:sz w:val="18"/>
      </w:rPr>
      <w:instrText xml:space="preserve"> "RubrikSvar" *\charformat </w:instrText>
    </w:r>
    <w:r w:rsidRPr="00213ECB">
      <w:fldChar w:fldCharType="separate"/>
    </w:r>
    <w:r w:rsidRPr="00213ECB">
      <w:t>Sänkt skatt för pensionärer</w:t>
    </w:r>
    <w:r w:rsidRPr="00213ECB">
      <w:fldChar w:fldCharType="end"/>
    </w:r>
  </w:p>
  <w:p w:rsidR="00213ECB" w:rsidRPr="00213ECB" w:rsidRDefault="00213ECB">
    <w:pPr>
      <w:pStyle w:val="Normal00"/>
    </w:pPr>
  </w:p>
  <w:p w:rsidR="00213ECB" w:rsidRPr="00213ECB" w:rsidRDefault="00213E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4229652">
    <w:abstractNumId w:val="8"/>
  </w:num>
  <w:num w:numId="2" w16cid:durableId="518086815">
    <w:abstractNumId w:val="9"/>
  </w:num>
  <w:num w:numId="3" w16cid:durableId="1934588862">
    <w:abstractNumId w:val="8"/>
  </w:num>
  <w:num w:numId="4" w16cid:durableId="1768503389">
    <w:abstractNumId w:val="9"/>
  </w:num>
  <w:num w:numId="5" w16cid:durableId="146559472">
    <w:abstractNumId w:val="13"/>
  </w:num>
  <w:num w:numId="6" w16cid:durableId="1000743480">
    <w:abstractNumId w:val="10"/>
  </w:num>
  <w:num w:numId="7" w16cid:durableId="1793788107">
    <w:abstractNumId w:val="11"/>
  </w:num>
  <w:num w:numId="8" w16cid:durableId="397754400">
    <w:abstractNumId w:val="12"/>
  </w:num>
  <w:num w:numId="9" w16cid:durableId="1041322922">
    <w:abstractNumId w:val="8"/>
  </w:num>
  <w:num w:numId="10" w16cid:durableId="2048142160">
    <w:abstractNumId w:val="3"/>
  </w:num>
  <w:num w:numId="11" w16cid:durableId="1206021787">
    <w:abstractNumId w:val="2"/>
  </w:num>
  <w:num w:numId="12" w16cid:durableId="85276914">
    <w:abstractNumId w:val="1"/>
  </w:num>
  <w:num w:numId="13" w16cid:durableId="1606687947">
    <w:abstractNumId w:val="0"/>
  </w:num>
  <w:num w:numId="14" w16cid:durableId="1204714933">
    <w:abstractNumId w:val="9"/>
  </w:num>
  <w:num w:numId="15" w16cid:durableId="1745224052">
    <w:abstractNumId w:val="7"/>
  </w:num>
  <w:num w:numId="16" w16cid:durableId="1626498959">
    <w:abstractNumId w:val="6"/>
  </w:num>
  <w:num w:numId="17" w16cid:durableId="548764548">
    <w:abstractNumId w:val="5"/>
  </w:num>
  <w:num w:numId="18" w16cid:durableId="1186745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29"/>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39349C"/>
    <w:rsid w:val="00213ECB"/>
    <w:rsid w:val="003934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15:chartTrackingRefBased/>
  <w15:docId w15:val="{D82C2517-EBA3-4FC4-82B8-19F08E8A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4590</Characters>
  <Application>Microsoft Office Word</Application>
  <DocSecurity>4</DocSecurity>
  <Lines>120</Lines>
  <Paragraphs>63</Paragraphs>
  <ScaleCrop>false</ScaleCrop>
  <HeadingPairs>
    <vt:vector size="2" baseType="variant">
      <vt:variant>
        <vt:lpstr>Rubrik</vt:lpstr>
      </vt:variant>
      <vt:variant>
        <vt:i4>1</vt:i4>
      </vt:variant>
    </vt:vector>
  </HeadingPairs>
  <TitlesOfParts>
    <vt:vector size="1" baseType="lpstr">
      <vt:lpstr>s33105</vt:lpstr>
    </vt:vector>
  </TitlesOfParts>
  <Company>Riksdagen</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s33105</dc:title>
  <dc:subject>s33105</dc:subject>
  <dc:creator>Riksdagen</dc:creator>
  <cp:keywords>Riksdagen</cp:keywords>
  <dc:description>TKG-ktrl, MSMQ4mb, PersReg-Distribution mm b-&gt;ny fplogga c-&gt;nygamla s-rosen</dc:description>
  <cp:lastModifiedBy>Lars Brink</cp:lastModifiedBy>
  <cp:revision>2</cp:revision>
  <cp:lastPrinted>2008-11-07T15:03:00Z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mot2000_495_2008-10-29</vt:lpwstr>
  </property>
  <property fmtid="{D5CDD505-2E9C-101B-9397-08002B2CF9AE}" pid="3" name="version">
    <vt:lpwstr>mot2000_495_2008-10-29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2008/09:38 Sänkt skatt för pensionärer</vt:lpwstr>
  </property>
  <property fmtid="{D5CDD505-2E9C-101B-9397-08002B2CF9AE}" pid="11" name="SvarFrasKort">
    <vt:lpwstr>med anledning av prop. 2008/09:38</vt:lpwstr>
  </property>
  <property fmtid="{D5CDD505-2E9C-101B-9397-08002B2CF9AE}" pid="12" name="Svar">
    <vt:lpwstr>Proposition</vt:lpwstr>
  </property>
  <property fmtid="{D5CDD505-2E9C-101B-9397-08002B2CF9AE}" pid="13" name="SvarNr">
    <vt:lpwstr>2008/09:38</vt:lpwstr>
  </property>
  <property fmtid="{D5CDD505-2E9C-101B-9397-08002B2CF9AE}" pid="14" name="RubrikSvar">
    <vt:lpwstr>Sänkt skatt för pensionärer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Sk7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november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20082009000000000115000331050075</vt:lpwstr>
  </property>
  <property fmtid="{D5CDD505-2E9C-101B-9397-08002B2CF9AE}" pid="47" name="datum">
    <vt:lpwstr>081105</vt:lpwstr>
  </property>
  <property fmtid="{D5CDD505-2E9C-101B-9397-08002B2CF9AE}" pid="48" name="avsändar-e-post">
    <vt:lpwstr>kata.hansson@riksdagen.se</vt:lpwstr>
  </property>
  <property fmtid="{D5CDD505-2E9C-101B-9397-08002B2CF9AE}" pid="49" name="id">
    <vt:lpwstr>20082009000000000115000331050075</vt:lpwstr>
  </property>
  <property fmtid="{D5CDD505-2E9C-101B-9397-08002B2CF9AE}" pid="50" name="nummer">
    <vt:lpwstr>7</vt:lpwstr>
  </property>
  <property fmtid="{D5CDD505-2E9C-101B-9397-08002B2CF9AE}" pid="51" name="utskottsbeteckning">
    <vt:lpwstr>Sk</vt:lpwstr>
  </property>
  <property fmtid="{D5CDD505-2E9C-101B-9397-08002B2CF9AE}" pid="52" name="GlobalUID">
    <vt:lpwstr>{B681FF03-6C2A-400A-BD30-50A5326EBF7F}</vt:lpwstr>
  </property>
  <property fmtid="{D5CDD505-2E9C-101B-9397-08002B2CF9AE}" pid="53" name="Överföringar">
    <vt:i4>0</vt:i4>
  </property>
  <property fmtid="{D5CDD505-2E9C-101B-9397-08002B2CF9AE}" pid="54" name="Checksum">
    <vt:lpwstr>*1014419852258*</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081110 08:45:10.387</vt:lpwstr>
  </property>
  <property fmtid="{D5CDD505-2E9C-101B-9397-08002B2CF9AE}" pid="58" name="urixGuid">
    <vt:lpwstr>{850E3222-49E7-4BE3-A390-C0CE72331C23}</vt:lpwstr>
  </property>
</Properties>
</file>