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3649CA">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7E2D24" w:rsidRPr="003649CA" w:rsidRDefault="003649CA">
            <w:pPr>
              <w:pStyle w:val="EntLogo"/>
              <w:rPr>
                <w:color w:val="000000"/>
                <w:szCs w:val="24"/>
                <w:lang w:val="sv-SE"/>
              </w:rPr>
            </w:pPr>
            <w:r w:rsidRPr="003649CA">
              <w:rPr>
                <w:noProof/>
                <w:color w:val="000000"/>
                <w:szCs w:val="24"/>
                <w:lang w:val="sv-SE"/>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3649CA">
        <w:tblPrEx>
          <w:tblCellMar>
            <w:top w:w="0" w:type="dxa"/>
            <w:left w:w="0" w:type="dxa"/>
            <w:bottom w:w="0" w:type="dxa"/>
            <w:right w:w="0" w:type="dxa"/>
          </w:tblCellMar>
        </w:tblPrEx>
        <w:trPr>
          <w:cantSplit/>
          <w:trHeight w:val="1120"/>
        </w:trPr>
        <w:tc>
          <w:tcPr>
            <w:tcW w:w="4821" w:type="dxa"/>
            <w:gridSpan w:val="2"/>
          </w:tcPr>
          <w:p w:rsidR="007E2D24" w:rsidRPr="003649CA" w:rsidRDefault="007E2D24">
            <w:pPr>
              <w:pStyle w:val="EntInstit"/>
              <w:rPr>
                <w:color w:val="000000"/>
                <w:szCs w:val="24"/>
                <w:lang w:val="sv-SE"/>
              </w:rPr>
            </w:pPr>
            <w:bookmarkStart w:id="0" w:name="Entete"/>
            <w:bookmarkEnd w:id="0"/>
            <w:r w:rsidRPr="003649CA">
              <w:rPr>
                <w:color w:val="000000"/>
                <w:szCs w:val="24"/>
                <w:lang w:val="sv-SE"/>
              </w:rPr>
              <w:t>COUNCIL OF</w:t>
            </w:r>
          </w:p>
          <w:p w:rsidR="007E2D24" w:rsidRPr="003649CA" w:rsidRDefault="007E2D24">
            <w:pPr>
              <w:pStyle w:val="EntInstit"/>
              <w:rPr>
                <w:color w:val="000000"/>
                <w:szCs w:val="24"/>
                <w:lang w:val="sv-SE"/>
              </w:rPr>
            </w:pPr>
            <w:r w:rsidRPr="003649CA">
              <w:rPr>
                <w:color w:val="000000"/>
                <w:szCs w:val="24"/>
                <w:lang w:val="sv-SE"/>
              </w:rPr>
              <w:t>THE EUROPEAN UNION</w:t>
            </w:r>
          </w:p>
        </w:tc>
        <w:tc>
          <w:tcPr>
            <w:tcW w:w="1701" w:type="dxa"/>
          </w:tcPr>
          <w:p w:rsidR="007E2D24" w:rsidRPr="003649CA" w:rsidRDefault="007E2D24">
            <w:pPr>
              <w:jc w:val="right"/>
              <w:rPr>
                <w:b/>
                <w:color w:val="000000"/>
              </w:rPr>
            </w:pPr>
          </w:p>
        </w:tc>
        <w:tc>
          <w:tcPr>
            <w:tcW w:w="4820" w:type="dxa"/>
            <w:gridSpan w:val="2"/>
          </w:tcPr>
          <w:p w:rsidR="007E2D24" w:rsidRPr="003649CA" w:rsidRDefault="007E2D24">
            <w:pPr>
              <w:pStyle w:val="EntRefer"/>
              <w:rPr>
                <w:color w:val="000000"/>
                <w:szCs w:val="24"/>
                <w:lang w:val="sv-SE"/>
              </w:rPr>
            </w:pPr>
            <w:bookmarkStart w:id="1" w:name="Lieu"/>
            <w:bookmarkEnd w:id="1"/>
            <w:r w:rsidRPr="003649CA">
              <w:rPr>
                <w:color w:val="000000"/>
                <w:szCs w:val="24"/>
                <w:lang w:val="sv-SE"/>
              </w:rPr>
              <w:t xml:space="preserve">Brussels, </w:t>
            </w:r>
            <w:bookmarkStart w:id="2" w:name="Date"/>
            <w:bookmarkStart w:id="3" w:name="DateEntree"/>
            <w:bookmarkEnd w:id="2"/>
            <w:bookmarkEnd w:id="3"/>
            <w:r w:rsidRPr="003649CA">
              <w:rPr>
                <w:color w:val="000000"/>
                <w:szCs w:val="24"/>
                <w:lang w:val="sv-SE"/>
              </w:rPr>
              <w:t>28 April 2006</w:t>
            </w:r>
          </w:p>
          <w:p w:rsidR="007E2D24" w:rsidRPr="003649CA" w:rsidRDefault="007E2D24">
            <w:pPr>
              <w:pStyle w:val="EntRefer"/>
              <w:rPr>
                <w:color w:val="000000"/>
                <w:szCs w:val="24"/>
                <w:lang w:val="sv-SE"/>
              </w:rPr>
            </w:pPr>
            <w:bookmarkStart w:id="4" w:name="LangueOrig"/>
            <w:bookmarkEnd w:id="4"/>
          </w:p>
        </w:tc>
      </w:tr>
      <w:tr w:rsidR="00000000" w:rsidRPr="003649C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7E2D24" w:rsidRPr="003649CA" w:rsidRDefault="007E2D24">
            <w:pPr>
              <w:pStyle w:val="EntRefer"/>
              <w:jc w:val="center"/>
              <w:rPr>
                <w:i/>
                <w:color w:val="000000"/>
                <w:szCs w:val="24"/>
                <w:u w:val="single"/>
                <w:lang w:val="sv-SE"/>
              </w:rPr>
            </w:pPr>
            <w:bookmarkStart w:id="5" w:name="DossierInterInst"/>
            <w:bookmarkEnd w:id="5"/>
          </w:p>
        </w:tc>
        <w:tc>
          <w:tcPr>
            <w:tcW w:w="1701" w:type="dxa"/>
            <w:vAlign w:val="center"/>
          </w:tcPr>
          <w:p w:rsidR="007E2D24" w:rsidRPr="003649CA" w:rsidRDefault="007E2D24">
            <w:pPr>
              <w:rPr>
                <w:b/>
                <w:color w:val="000000"/>
              </w:rPr>
            </w:pPr>
          </w:p>
        </w:tc>
        <w:tc>
          <w:tcPr>
            <w:tcW w:w="3970" w:type="dxa"/>
          </w:tcPr>
          <w:p w:rsidR="007E2D24" w:rsidRPr="003649CA" w:rsidRDefault="007E2D24">
            <w:pPr>
              <w:pStyle w:val="EntRefer"/>
              <w:rPr>
                <w:color w:val="000000"/>
                <w:szCs w:val="24"/>
                <w:lang w:val="sv-SE"/>
              </w:rPr>
            </w:pPr>
            <w:bookmarkStart w:id="6" w:name="Cote"/>
            <w:bookmarkEnd w:id="6"/>
            <w:r w:rsidRPr="003649CA">
              <w:rPr>
                <w:color w:val="000000"/>
                <w:szCs w:val="24"/>
                <w:lang w:val="sv-SE"/>
              </w:rPr>
              <w:t>8638/06</w:t>
            </w:r>
          </w:p>
          <w:p w:rsidR="007E2D24" w:rsidRPr="003649CA" w:rsidRDefault="007E2D24">
            <w:pPr>
              <w:pStyle w:val="EntRefer"/>
              <w:rPr>
                <w:color w:val="000000"/>
                <w:szCs w:val="24"/>
                <w:lang w:val="sv-SE"/>
              </w:rPr>
            </w:pPr>
          </w:p>
          <w:p w:rsidR="007E2D24" w:rsidRPr="003649CA" w:rsidRDefault="007E2D24">
            <w:pPr>
              <w:pStyle w:val="EntRefer"/>
              <w:rPr>
                <w:lang w:val="sv-SE"/>
              </w:rPr>
            </w:pPr>
            <w:bookmarkStart w:id="7" w:name="CoteRev"/>
            <w:bookmarkEnd w:id="7"/>
            <w:r w:rsidRPr="003649CA">
              <w:rPr>
                <w:lang w:val="sv-SE"/>
              </w:rPr>
              <w:t>LIMITE</w:t>
            </w:r>
          </w:p>
          <w:p w:rsidR="007E2D24" w:rsidRPr="003649CA" w:rsidRDefault="007E2D24">
            <w:pPr>
              <w:pStyle w:val="EntRefer"/>
              <w:rPr>
                <w:color w:val="000000"/>
                <w:szCs w:val="24"/>
                <w:lang w:val="sv-SE"/>
              </w:rPr>
            </w:pPr>
          </w:p>
          <w:p w:rsidR="007E2D24" w:rsidRPr="003649CA" w:rsidRDefault="007E2D24">
            <w:pPr>
              <w:pStyle w:val="EntRefer"/>
              <w:rPr>
                <w:color w:val="000000"/>
                <w:szCs w:val="24"/>
                <w:lang w:val="sv-SE"/>
              </w:rPr>
            </w:pPr>
            <w:bookmarkStart w:id="8" w:name="CoteSec"/>
            <w:bookmarkEnd w:id="8"/>
          </w:p>
          <w:p w:rsidR="007E2D24" w:rsidRPr="003649CA" w:rsidRDefault="007E2D24">
            <w:pPr>
              <w:pStyle w:val="EntRefer"/>
              <w:rPr>
                <w:color w:val="000000"/>
                <w:szCs w:val="24"/>
                <w:lang w:val="sv-SE"/>
              </w:rPr>
            </w:pPr>
          </w:p>
        </w:tc>
      </w:tr>
      <w:tr w:rsidR="00000000" w:rsidRPr="003649CA">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7E2D24" w:rsidRPr="003649CA" w:rsidRDefault="007E2D24">
            <w:pPr>
              <w:pStyle w:val="EntRefer"/>
              <w:jc w:val="center"/>
              <w:rPr>
                <w:i/>
                <w:color w:val="000000"/>
                <w:szCs w:val="24"/>
                <w:u w:val="single"/>
                <w:lang w:val="sv-SE"/>
              </w:rPr>
            </w:pPr>
            <w:bookmarkStart w:id="9" w:name="SousEmbargo"/>
            <w:bookmarkEnd w:id="9"/>
          </w:p>
        </w:tc>
        <w:tc>
          <w:tcPr>
            <w:tcW w:w="1701" w:type="dxa"/>
            <w:vAlign w:val="center"/>
          </w:tcPr>
          <w:p w:rsidR="007E2D24" w:rsidRPr="003649CA" w:rsidRDefault="007E2D24">
            <w:pPr>
              <w:rPr>
                <w:b/>
                <w:color w:val="000000"/>
              </w:rPr>
            </w:pPr>
          </w:p>
        </w:tc>
        <w:tc>
          <w:tcPr>
            <w:tcW w:w="3970" w:type="dxa"/>
          </w:tcPr>
          <w:p w:rsidR="007E2D24" w:rsidRPr="003649CA" w:rsidRDefault="007E2D24">
            <w:pPr>
              <w:pStyle w:val="EntRefer"/>
              <w:rPr>
                <w:color w:val="000000"/>
                <w:szCs w:val="24"/>
                <w:lang w:val="sv-SE"/>
              </w:rPr>
            </w:pPr>
            <w:r w:rsidRPr="003649CA">
              <w:rPr>
                <w:color w:val="000000"/>
                <w:szCs w:val="24"/>
                <w:lang w:val="sv-SE"/>
              </w:rPr>
              <w:t>CULT 34</w:t>
            </w:r>
          </w:p>
          <w:p w:rsidR="007E2D24" w:rsidRPr="003649CA" w:rsidRDefault="007E2D24">
            <w:pPr>
              <w:pStyle w:val="EntRefer"/>
              <w:rPr>
                <w:color w:val="000000"/>
                <w:szCs w:val="24"/>
                <w:lang w:val="sv-SE"/>
              </w:rPr>
            </w:pPr>
            <w:r w:rsidRPr="003649CA">
              <w:rPr>
                <w:color w:val="000000"/>
                <w:szCs w:val="24"/>
                <w:lang w:val="sv-SE"/>
              </w:rPr>
              <w:t>AUDIO 13</w:t>
            </w:r>
          </w:p>
          <w:p w:rsidR="007E2D24" w:rsidRPr="003649CA" w:rsidRDefault="007E2D24">
            <w:pPr>
              <w:pStyle w:val="EntRefer"/>
              <w:rPr>
                <w:color w:val="000000"/>
                <w:szCs w:val="24"/>
                <w:lang w:val="sv-SE"/>
              </w:rPr>
            </w:pPr>
            <w:r w:rsidRPr="003649CA">
              <w:rPr>
                <w:color w:val="000000"/>
                <w:szCs w:val="24"/>
                <w:lang w:val="sv-SE"/>
              </w:rPr>
              <w:t>TELECOM 39</w:t>
            </w:r>
          </w:p>
          <w:p w:rsidR="007E2D24" w:rsidRPr="003649CA" w:rsidRDefault="007E2D24">
            <w:pPr>
              <w:pStyle w:val="EntRefer"/>
              <w:rPr>
                <w:color w:val="000000"/>
                <w:szCs w:val="24"/>
                <w:lang w:val="sv-SE"/>
              </w:rPr>
            </w:pPr>
          </w:p>
        </w:tc>
      </w:tr>
    </w:tbl>
    <w:p w:rsidR="007E2D24" w:rsidRPr="003649CA" w:rsidRDefault="007E2D24">
      <w:pPr>
        <w:pStyle w:val="EntRefer"/>
        <w:rPr>
          <w:color w:val="000000"/>
          <w:szCs w:val="24"/>
          <w:lang w:val="sv-SE"/>
        </w:rPr>
      </w:pPr>
      <w:bookmarkStart w:id="10" w:name="AC"/>
    </w:p>
    <w:p w:rsidR="007E2D24" w:rsidRPr="003649CA" w:rsidRDefault="007E2D24">
      <w:pPr>
        <w:pStyle w:val="EntRefer"/>
        <w:outlineLvl w:val="0"/>
        <w:rPr>
          <w:color w:val="000000"/>
          <w:szCs w:val="24"/>
          <w:lang w:val="sv-SE"/>
        </w:rPr>
      </w:pPr>
      <w:bookmarkStart w:id="11" w:name="Title"/>
      <w:bookmarkEnd w:id="11"/>
      <w:r w:rsidRPr="003649CA">
        <w:rPr>
          <w:color w:val="000000"/>
          <w:szCs w:val="24"/>
          <w:lang w:val="sv-SE"/>
        </w:rPr>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3649CA">
        <w:tblPrEx>
          <w:tblCellMar>
            <w:top w:w="0" w:type="dxa"/>
            <w:left w:w="0" w:type="dxa"/>
            <w:bottom w:w="0" w:type="dxa"/>
            <w:right w:w="0" w:type="dxa"/>
          </w:tblCellMar>
        </w:tblPrEx>
        <w:tc>
          <w:tcPr>
            <w:tcW w:w="1701" w:type="dxa"/>
            <w:tcBorders>
              <w:top w:val="single" w:sz="4" w:space="0" w:color="auto"/>
            </w:tcBorders>
          </w:tcPr>
          <w:p w:rsidR="007E2D24" w:rsidRPr="003649CA" w:rsidRDefault="007E2D24">
            <w:pPr>
              <w:pStyle w:val="EntEmet"/>
              <w:rPr>
                <w:color w:val="000000"/>
                <w:szCs w:val="24"/>
                <w:lang w:val="sv-SE"/>
              </w:rPr>
            </w:pPr>
            <w:bookmarkStart w:id="12" w:name="Ref"/>
            <w:bookmarkStart w:id="13" w:name="RefDu"/>
            <w:r w:rsidRPr="003649CA">
              <w:rPr>
                <w:color w:val="000000"/>
                <w:szCs w:val="24"/>
                <w:lang w:val="sv-SE"/>
              </w:rPr>
              <w:t>from :</w:t>
            </w:r>
            <w:bookmarkEnd w:id="13"/>
          </w:p>
        </w:tc>
        <w:tc>
          <w:tcPr>
            <w:tcW w:w="7938" w:type="dxa"/>
            <w:tcBorders>
              <w:top w:val="single" w:sz="4" w:space="0" w:color="auto"/>
            </w:tcBorders>
          </w:tcPr>
          <w:p w:rsidR="007E2D24" w:rsidRPr="003649CA" w:rsidRDefault="007E2D24">
            <w:pPr>
              <w:pStyle w:val="EntEmet"/>
              <w:rPr>
                <w:color w:val="000000"/>
                <w:szCs w:val="24"/>
                <w:lang w:val="sv-SE"/>
              </w:rPr>
            </w:pPr>
            <w:r w:rsidRPr="003649CA">
              <w:rPr>
                <w:color w:val="000000"/>
                <w:szCs w:val="24"/>
                <w:lang w:val="sv-SE"/>
              </w:rPr>
              <w:t>Presidency</w:t>
            </w:r>
          </w:p>
        </w:tc>
      </w:tr>
      <w:tr w:rsidR="00000000" w:rsidRPr="003649CA">
        <w:tblPrEx>
          <w:tblCellMar>
            <w:top w:w="0" w:type="dxa"/>
            <w:left w:w="0" w:type="dxa"/>
            <w:bottom w:w="0" w:type="dxa"/>
            <w:right w:w="0" w:type="dxa"/>
          </w:tblCellMar>
        </w:tblPrEx>
        <w:tc>
          <w:tcPr>
            <w:tcW w:w="1701" w:type="dxa"/>
            <w:tcBorders>
              <w:bottom w:val="single" w:sz="4" w:space="0" w:color="auto"/>
            </w:tcBorders>
          </w:tcPr>
          <w:p w:rsidR="007E2D24" w:rsidRPr="003649CA" w:rsidRDefault="007E2D24">
            <w:pPr>
              <w:pStyle w:val="EntEmet"/>
              <w:rPr>
                <w:color w:val="000000"/>
                <w:szCs w:val="24"/>
                <w:lang w:val="sv-SE"/>
              </w:rPr>
            </w:pPr>
            <w:bookmarkStart w:id="14" w:name="RefA"/>
            <w:bookmarkStart w:id="15" w:name="RefRow_A"/>
            <w:r w:rsidRPr="003649CA">
              <w:rPr>
                <w:color w:val="000000"/>
                <w:szCs w:val="24"/>
                <w:lang w:val="sv-SE"/>
              </w:rPr>
              <w:t>to :</w:t>
            </w:r>
            <w:bookmarkEnd w:id="14"/>
          </w:p>
        </w:tc>
        <w:tc>
          <w:tcPr>
            <w:tcW w:w="7938" w:type="dxa"/>
            <w:tcBorders>
              <w:bottom w:val="single" w:sz="4" w:space="0" w:color="auto"/>
            </w:tcBorders>
          </w:tcPr>
          <w:p w:rsidR="007E2D24" w:rsidRPr="003649CA" w:rsidRDefault="007E2D24">
            <w:pPr>
              <w:pStyle w:val="EntEmet"/>
              <w:rPr>
                <w:color w:val="000000"/>
                <w:szCs w:val="24"/>
                <w:lang w:val="sv-SE"/>
              </w:rPr>
            </w:pPr>
            <w:r w:rsidRPr="003649CA">
              <w:rPr>
                <w:color w:val="000000"/>
                <w:szCs w:val="24"/>
                <w:lang w:val="sv-SE"/>
              </w:rPr>
              <w:t>Permanent Representatives Committee (Part 1)</w:t>
            </w:r>
          </w:p>
        </w:tc>
      </w:tr>
      <w:bookmarkEnd w:id="12"/>
      <w:bookmarkEnd w:id="15"/>
      <w:tr w:rsidR="00000000" w:rsidRPr="003649CA">
        <w:tblPrEx>
          <w:tblCellMar>
            <w:top w:w="0" w:type="dxa"/>
            <w:left w:w="0" w:type="dxa"/>
            <w:bottom w:w="0" w:type="dxa"/>
            <w:right w:w="0" w:type="dxa"/>
          </w:tblCellMar>
        </w:tblPrEx>
        <w:tc>
          <w:tcPr>
            <w:tcW w:w="1701" w:type="dxa"/>
            <w:tcBorders>
              <w:top w:val="single" w:sz="4" w:space="0" w:color="auto"/>
              <w:bottom w:val="single" w:sz="4" w:space="0" w:color="auto"/>
            </w:tcBorders>
          </w:tcPr>
          <w:p w:rsidR="007E2D24" w:rsidRPr="003649CA" w:rsidRDefault="007E2D24">
            <w:pPr>
              <w:pStyle w:val="EntEmet"/>
              <w:rPr>
                <w:color w:val="000000"/>
                <w:szCs w:val="24"/>
                <w:lang w:val="sv-SE"/>
              </w:rPr>
            </w:pPr>
            <w:r w:rsidRPr="003649CA">
              <w:rPr>
                <w:color w:val="000000"/>
                <w:szCs w:val="24"/>
                <w:lang w:val="sv-SE"/>
              </w:rPr>
              <w:t>Subject :</w:t>
            </w:r>
          </w:p>
        </w:tc>
        <w:tc>
          <w:tcPr>
            <w:tcW w:w="7938" w:type="dxa"/>
            <w:tcBorders>
              <w:top w:val="single" w:sz="4" w:space="0" w:color="auto"/>
              <w:bottom w:val="single" w:sz="4" w:space="0" w:color="auto"/>
            </w:tcBorders>
          </w:tcPr>
          <w:p w:rsidR="007E2D24" w:rsidRPr="003649CA" w:rsidRDefault="007E2D24">
            <w:pPr>
              <w:rPr>
                <w:rFonts w:ascii="Times New Roman" w:hAnsi="Times New Roman"/>
                <w:color w:val="000000"/>
              </w:rPr>
            </w:pPr>
            <w:bookmarkStart w:id="16" w:name="Subject"/>
            <w:bookmarkEnd w:id="16"/>
            <w:r w:rsidRPr="003649CA">
              <w:rPr>
                <w:rFonts w:ascii="Times New Roman" w:hAnsi="Times New Roman"/>
                <w:b/>
                <w:color w:val="000000"/>
              </w:rPr>
              <w:t>Strengthening the European creative industries: a contribution to growth and employment</w:t>
            </w:r>
          </w:p>
          <w:p w:rsidR="007E2D24" w:rsidRPr="003649CA" w:rsidRDefault="007E2D24">
            <w:pPr>
              <w:pStyle w:val="Par-dash"/>
              <w:numPr>
                <w:ilvl w:val="0"/>
                <w:numId w:val="0"/>
              </w:numPr>
              <w:tabs>
                <w:tab w:val="num" w:pos="1134"/>
              </w:tabs>
              <w:spacing w:line="240" w:lineRule="auto"/>
              <w:ind w:left="1134" w:hanging="567"/>
              <w:rPr>
                <w:i/>
                <w:color w:val="000000"/>
                <w:lang w:val="sv-SE"/>
              </w:rPr>
            </w:pPr>
            <w:r w:rsidRPr="003649CA">
              <w:rPr>
                <w:i/>
                <w:color w:val="000000"/>
                <w:lang w:val="sv-SE"/>
              </w:rPr>
              <w:t>Presidency conclusions/exchange of views</w:t>
            </w:r>
          </w:p>
          <w:p w:rsidR="007E2D24" w:rsidRPr="003649CA" w:rsidRDefault="007E2D24">
            <w:pPr>
              <w:pStyle w:val="EntEmet"/>
              <w:rPr>
                <w:color w:val="000000"/>
                <w:szCs w:val="24"/>
                <w:lang w:val="sv-SE"/>
              </w:rPr>
            </w:pPr>
          </w:p>
        </w:tc>
      </w:tr>
    </w:tbl>
    <w:p w:rsidR="007E2D24" w:rsidRPr="003649CA" w:rsidRDefault="007E2D24">
      <w:pPr>
        <w:rPr>
          <w:color w:val="000000"/>
        </w:rPr>
      </w:pPr>
    </w:p>
    <w:p w:rsidR="007E2D24" w:rsidRPr="003649CA" w:rsidRDefault="007E2D24">
      <w:pPr>
        <w:rPr>
          <w:rFonts w:ascii="Times New Roman" w:hAnsi="Times New Roman"/>
          <w:color w:val="000000"/>
        </w:rPr>
      </w:pPr>
    </w:p>
    <w:p w:rsidR="007E2D24" w:rsidRPr="003649CA" w:rsidRDefault="007E2D24">
      <w:pPr>
        <w:widowControl w:val="0"/>
        <w:numPr>
          <w:ilvl w:val="0"/>
          <w:numId w:val="5"/>
        </w:numPr>
        <w:tabs>
          <w:tab w:val="left" w:pos="3969"/>
        </w:tabs>
        <w:spacing w:line="360" w:lineRule="auto"/>
        <w:rPr>
          <w:rFonts w:ascii="Times New Roman" w:hAnsi="Times New Roman"/>
          <w:color w:val="000000"/>
        </w:rPr>
      </w:pPr>
      <w:r w:rsidRPr="003649CA">
        <w:rPr>
          <w:rFonts w:ascii="Times New Roman" w:hAnsi="Times New Roman"/>
          <w:color w:val="000000"/>
        </w:rPr>
        <w:t xml:space="preserve">On 2 and 3 March 2006 an </w:t>
      </w:r>
      <w:bookmarkEnd w:id="10"/>
      <w:r w:rsidRPr="003649CA">
        <w:rPr>
          <w:rFonts w:ascii="Times New Roman" w:hAnsi="Times New Roman"/>
          <w:color w:val="000000"/>
        </w:rPr>
        <w:t>EU Expert Seminar on “</w:t>
      </w:r>
      <w:r w:rsidRPr="003649CA">
        <w:rPr>
          <w:rFonts w:ascii="Times New Roman" w:hAnsi="Times New Roman"/>
          <w:i/>
          <w:color w:val="000000"/>
        </w:rPr>
        <w:t>Content for Competitiveness,</w:t>
      </w:r>
      <w:r w:rsidRPr="003649CA">
        <w:rPr>
          <w:rFonts w:ascii="Times New Roman" w:hAnsi="Times New Roman"/>
          <w:color w:val="000000"/>
        </w:rPr>
        <w:t xml:space="preserve">” organised by the Austrian Presidency, was held in Vienna. The conclusions from this seminar are attached in Annex, and it is the intention of the Presidency that these conclusions should be taken up as Presidency Conclusions regarding the above agenda point at the Education Youth and Culture Council of 18-19 May 2006. </w:t>
      </w:r>
    </w:p>
    <w:p w:rsidR="007E2D24" w:rsidRPr="003649CA" w:rsidRDefault="007E2D24">
      <w:pPr>
        <w:tabs>
          <w:tab w:val="left" w:pos="3969"/>
        </w:tabs>
        <w:rPr>
          <w:rFonts w:ascii="Times New Roman" w:hAnsi="Times New Roman"/>
          <w:color w:val="000000"/>
        </w:rPr>
      </w:pPr>
    </w:p>
    <w:p w:rsidR="007E2D24" w:rsidRPr="003649CA" w:rsidRDefault="007E2D24">
      <w:pPr>
        <w:widowControl w:val="0"/>
        <w:numPr>
          <w:ilvl w:val="0"/>
          <w:numId w:val="5"/>
        </w:numPr>
        <w:tabs>
          <w:tab w:val="left" w:pos="3969"/>
        </w:tabs>
        <w:spacing w:line="360" w:lineRule="auto"/>
        <w:rPr>
          <w:rFonts w:ascii="Times New Roman" w:hAnsi="Times New Roman"/>
          <w:color w:val="000000"/>
        </w:rPr>
      </w:pPr>
      <w:r w:rsidRPr="003649CA">
        <w:rPr>
          <w:rFonts w:ascii="Times New Roman" w:hAnsi="Times New Roman"/>
          <w:color w:val="000000"/>
        </w:rPr>
        <w:t xml:space="preserve">The Expert Seminar has once again shown that content and creative industries possess a large potential for creating growth and employment and thus contributing towards the goal set out for Europe in the Lisbon agenda. It has also underlined the necessity of a coherent policy related to content and creative industries, in particular to exploit the full potential of ICT for these industries. </w:t>
      </w:r>
    </w:p>
    <w:p w:rsidR="007E2D24" w:rsidRPr="003649CA" w:rsidRDefault="007E2D24">
      <w:pPr>
        <w:rPr>
          <w:rFonts w:ascii="Times New Roman" w:hAnsi="Times New Roman"/>
          <w:color w:val="000000"/>
        </w:rPr>
      </w:pPr>
    </w:p>
    <w:p w:rsidR="007E2D24" w:rsidRPr="003649CA" w:rsidRDefault="007E2D24">
      <w:pPr>
        <w:widowControl w:val="0"/>
        <w:numPr>
          <w:ilvl w:val="0"/>
          <w:numId w:val="5"/>
        </w:numPr>
        <w:spacing w:line="360" w:lineRule="auto"/>
        <w:rPr>
          <w:rFonts w:ascii="Times New Roman" w:hAnsi="Times New Roman"/>
          <w:color w:val="000000"/>
        </w:rPr>
      </w:pPr>
      <w:r w:rsidRPr="003649CA">
        <w:rPr>
          <w:rFonts w:ascii="Times New Roman" w:hAnsi="Times New Roman"/>
          <w:color w:val="000000"/>
        </w:rPr>
        <w:t xml:space="preserve">These results are very much in line with various initiatives recently undertaken: </w:t>
      </w:r>
    </w:p>
    <w:p w:rsidR="007E2D24" w:rsidRPr="003649CA" w:rsidRDefault="007E2D24">
      <w:pPr>
        <w:rPr>
          <w:rFonts w:ascii="Times New Roman" w:hAnsi="Times New Roman"/>
          <w:color w:val="000000"/>
        </w:rPr>
      </w:pPr>
    </w:p>
    <w:p w:rsidR="007E2D24" w:rsidRPr="003649CA" w:rsidRDefault="007E2D24">
      <w:pPr>
        <w:numPr>
          <w:ilvl w:val="0"/>
          <w:numId w:val="4"/>
        </w:numPr>
        <w:spacing w:line="360" w:lineRule="auto"/>
        <w:rPr>
          <w:rFonts w:ascii="Times New Roman" w:hAnsi="Times New Roman"/>
          <w:color w:val="000000"/>
        </w:rPr>
      </w:pPr>
      <w:r w:rsidRPr="003649CA">
        <w:rPr>
          <w:rFonts w:ascii="Times New Roman" w:hAnsi="Times New Roman"/>
          <w:color w:val="000000"/>
        </w:rPr>
        <w:lastRenderedPageBreak/>
        <w:t>In 2004 the Council adopted the “Work Plan for Culture” (2005-2006) (Resolution 13839/04 CULT 102). One of the priorities defined in the Work Plan is to examine the potential of cultural industries to contribute towards reaching Lisbon targets.</w:t>
      </w:r>
    </w:p>
    <w:p w:rsidR="007E2D24" w:rsidRPr="003649CA" w:rsidRDefault="007E2D24">
      <w:pPr>
        <w:numPr>
          <w:ilvl w:val="0"/>
          <w:numId w:val="4"/>
        </w:numPr>
        <w:spacing w:line="360" w:lineRule="auto"/>
        <w:rPr>
          <w:rFonts w:ascii="Times New Roman" w:hAnsi="Times New Roman"/>
          <w:color w:val="000000"/>
        </w:rPr>
      </w:pPr>
      <w:r w:rsidRPr="003649CA">
        <w:rPr>
          <w:rFonts w:ascii="Times New Roman" w:hAnsi="Times New Roman"/>
          <w:color w:val="000000"/>
        </w:rPr>
        <w:t>In 2005 the European Commission presented a communication entitled "i2010 – A European Information Society for growth and employment” (COM[2005] 229 final). This communication indicates the steps necessary to make the Information Society and ICT an integral part of the Lisbon agenda and an important factor for growth and employment in Europe.</w:t>
      </w:r>
    </w:p>
    <w:p w:rsidR="007E2D24" w:rsidRPr="003649CA" w:rsidRDefault="007E2D24">
      <w:pPr>
        <w:ind w:left="360"/>
        <w:rPr>
          <w:rFonts w:ascii="Times New Roman" w:hAnsi="Times New Roman"/>
          <w:color w:val="000000"/>
        </w:rPr>
      </w:pPr>
    </w:p>
    <w:p w:rsidR="007E2D24" w:rsidRPr="003649CA" w:rsidRDefault="007E2D24">
      <w:pPr>
        <w:widowControl w:val="0"/>
        <w:numPr>
          <w:ilvl w:val="0"/>
          <w:numId w:val="5"/>
        </w:numPr>
        <w:spacing w:line="360" w:lineRule="auto"/>
        <w:rPr>
          <w:rFonts w:ascii="Times New Roman" w:hAnsi="Times New Roman"/>
          <w:color w:val="000000"/>
        </w:rPr>
      </w:pPr>
      <w:r w:rsidRPr="003649CA">
        <w:rPr>
          <w:rFonts w:ascii="Times New Roman" w:hAnsi="Times New Roman"/>
          <w:color w:val="000000"/>
        </w:rPr>
        <w:t>On the basis of these initiatives and the results of the EU Expert Seminar “</w:t>
      </w:r>
      <w:r w:rsidRPr="003649CA">
        <w:rPr>
          <w:rFonts w:ascii="Times New Roman" w:hAnsi="Times New Roman"/>
          <w:i/>
          <w:color w:val="000000"/>
        </w:rPr>
        <w:t>Content for Competitiveness</w:t>
      </w:r>
      <w:r w:rsidRPr="003649CA">
        <w:rPr>
          <w:rFonts w:ascii="Times New Roman" w:hAnsi="Times New Roman"/>
          <w:color w:val="000000"/>
        </w:rPr>
        <w:t xml:space="preserve">”, the Presidency intends to hold an exchange of views at the Council focusing on the following two questions addressed to Ministers: </w:t>
      </w:r>
    </w:p>
    <w:p w:rsidR="007E2D24" w:rsidRPr="003649CA" w:rsidRDefault="007E2D24">
      <w:pPr>
        <w:rPr>
          <w:rFonts w:ascii="Times New Roman" w:hAnsi="Times New Roman"/>
          <w:color w:val="000000"/>
        </w:rPr>
      </w:pPr>
    </w:p>
    <w:p w:rsidR="007E2D24" w:rsidRPr="003649CA" w:rsidRDefault="007E2D24">
      <w:pPr>
        <w:numPr>
          <w:ilvl w:val="0"/>
          <w:numId w:val="3"/>
        </w:numPr>
        <w:tabs>
          <w:tab w:val="clear" w:pos="900"/>
          <w:tab w:val="num" w:pos="1440"/>
        </w:tabs>
        <w:spacing w:line="360" w:lineRule="auto"/>
        <w:ind w:left="1440"/>
        <w:rPr>
          <w:rFonts w:ascii="Times New Roman" w:hAnsi="Times New Roman"/>
          <w:i/>
          <w:color w:val="000000"/>
        </w:rPr>
      </w:pPr>
      <w:r w:rsidRPr="003649CA">
        <w:rPr>
          <w:rFonts w:ascii="Times New Roman" w:hAnsi="Times New Roman"/>
          <w:i/>
          <w:color w:val="000000"/>
        </w:rPr>
        <w:t xml:space="preserve">Considering the growing interaction between the cultural, audiovisual and ICT sectors, which are the priorities for content and creative industries that are relevant for the updating of the Work Plan for Culture and the implementation of the i2010 initiative? </w:t>
      </w:r>
    </w:p>
    <w:p w:rsidR="007E2D24" w:rsidRPr="003649CA" w:rsidRDefault="007E2D24">
      <w:pPr>
        <w:tabs>
          <w:tab w:val="num" w:pos="720"/>
        </w:tabs>
        <w:ind w:left="1080"/>
        <w:rPr>
          <w:rFonts w:ascii="Times New Roman" w:hAnsi="Times New Roman"/>
          <w:i/>
          <w:color w:val="000000"/>
        </w:rPr>
      </w:pPr>
    </w:p>
    <w:p w:rsidR="007E2D24" w:rsidRPr="003649CA" w:rsidRDefault="007E2D24">
      <w:pPr>
        <w:numPr>
          <w:ilvl w:val="0"/>
          <w:numId w:val="3"/>
        </w:numPr>
        <w:tabs>
          <w:tab w:val="clear" w:pos="900"/>
          <w:tab w:val="num" w:pos="1440"/>
        </w:tabs>
        <w:spacing w:line="360" w:lineRule="auto"/>
        <w:ind w:left="1440"/>
        <w:rPr>
          <w:rFonts w:ascii="Times New Roman" w:hAnsi="Times New Roman"/>
          <w:i/>
          <w:color w:val="000000"/>
        </w:rPr>
      </w:pPr>
      <w:r w:rsidRPr="003649CA">
        <w:rPr>
          <w:rFonts w:ascii="Times New Roman" w:hAnsi="Times New Roman"/>
          <w:i/>
          <w:color w:val="000000"/>
        </w:rPr>
        <w:t>Considering the growing interaction between cultural, audiovisual and ICT sectors and the importance of these sectors for growth and employment in Europe, how can the ongoing dialogue between all stakeholders be improved on the European Level?</w:t>
      </w:r>
    </w:p>
    <w:p w:rsidR="007E2D24" w:rsidRPr="003649CA" w:rsidRDefault="007E2D24">
      <w:pPr>
        <w:rPr>
          <w:rFonts w:ascii="Times New Roman" w:hAnsi="Times New Roman"/>
          <w:color w:val="000000"/>
        </w:rPr>
      </w:pPr>
    </w:p>
    <w:p w:rsidR="007E2D24" w:rsidRPr="003649CA" w:rsidRDefault="007E2D24">
      <w:pPr>
        <w:spacing w:line="360" w:lineRule="auto"/>
        <w:ind w:left="709"/>
        <w:rPr>
          <w:rFonts w:ascii="Times New Roman" w:hAnsi="Times New Roman"/>
          <w:b/>
          <w:color w:val="000000"/>
        </w:rPr>
      </w:pPr>
      <w:r w:rsidRPr="003649CA">
        <w:rPr>
          <w:rFonts w:ascii="Times New Roman" w:hAnsi="Times New Roman"/>
          <w:color w:val="000000"/>
        </w:rPr>
        <w:t xml:space="preserve">Due to the large number of delegations involved, Ministers will have only a very limited time to express themselves on this matter and the Presidency would therefore suggest that each Minister focuses on the aspects of these questions which are of key interest or concern to him/her.  </w:t>
      </w:r>
    </w:p>
    <w:p w:rsidR="007E2D24" w:rsidRPr="003649CA" w:rsidRDefault="007E2D24">
      <w:pPr>
        <w:jc w:val="center"/>
        <w:rPr>
          <w:rFonts w:ascii="Times New Roman" w:hAnsi="Times New Roman"/>
          <w:b/>
          <w:color w:val="000000"/>
        </w:rPr>
      </w:pPr>
      <w:r w:rsidRPr="003649CA">
        <w:rPr>
          <w:rFonts w:ascii="Times New Roman" w:hAnsi="Times New Roman"/>
          <w:b/>
          <w:color w:val="000000"/>
        </w:rPr>
        <w:t>_________________</w:t>
      </w:r>
    </w:p>
    <w:p w:rsidR="007E2D24" w:rsidRPr="003649CA" w:rsidRDefault="007E2D24">
      <w:pPr>
        <w:jc w:val="right"/>
        <w:rPr>
          <w:rFonts w:ascii="Times New Roman" w:hAnsi="Times New Roman"/>
          <w:b/>
          <w:color w:val="000000"/>
        </w:rPr>
      </w:pPr>
      <w:r w:rsidRPr="003649CA">
        <w:rPr>
          <w:rFonts w:ascii="Times New Roman" w:hAnsi="Times New Roman"/>
          <w:b/>
          <w:color w:val="000000"/>
        </w:rPr>
        <w:br w:type="page"/>
        <w:t>ANNEX</w:t>
      </w:r>
    </w:p>
    <w:p w:rsidR="007E2D24" w:rsidRPr="003649CA" w:rsidRDefault="007E2D24">
      <w:pPr>
        <w:jc w:val="center"/>
        <w:rPr>
          <w:rFonts w:ascii="Times New Roman" w:hAnsi="Times New Roman"/>
          <w:b/>
          <w:color w:val="000000"/>
        </w:rPr>
      </w:pPr>
    </w:p>
    <w:p w:rsidR="007E2D24" w:rsidRPr="003649CA" w:rsidRDefault="007E2D24">
      <w:pPr>
        <w:spacing w:line="360" w:lineRule="auto"/>
        <w:jc w:val="center"/>
        <w:rPr>
          <w:rFonts w:ascii="Times New Roman" w:hAnsi="Times New Roman"/>
          <w:b/>
          <w:color w:val="000000"/>
        </w:rPr>
      </w:pPr>
      <w:r w:rsidRPr="003649CA">
        <w:rPr>
          <w:rFonts w:ascii="Times New Roman" w:hAnsi="Times New Roman"/>
          <w:b/>
          <w:color w:val="000000"/>
        </w:rPr>
        <w:t>Conclusions of the Presidency on EU Expert Seminar “Content for Competitiveness – Strengthening European Creative Industries in the light of the i2010 Strategy"</w:t>
      </w:r>
    </w:p>
    <w:p w:rsidR="007E2D24" w:rsidRPr="003649CA" w:rsidRDefault="007E2D24">
      <w:pPr>
        <w:spacing w:line="360" w:lineRule="auto"/>
        <w:jc w:val="center"/>
        <w:rPr>
          <w:rFonts w:ascii="Times New Roman" w:hAnsi="Times New Roman"/>
          <w:b/>
          <w:color w:val="000000"/>
        </w:rPr>
      </w:pPr>
      <w:r w:rsidRPr="003649CA">
        <w:rPr>
          <w:rFonts w:ascii="Times New Roman" w:hAnsi="Times New Roman"/>
          <w:b/>
          <w:color w:val="000000"/>
        </w:rPr>
        <w:t>(Vienna, 2 and 3 March 2006)</w:t>
      </w:r>
    </w:p>
    <w:p w:rsidR="007E2D24" w:rsidRPr="003649CA" w:rsidRDefault="007E2D24">
      <w:pPr>
        <w:jc w:val="center"/>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t xml:space="preserve">In close collaboration with the European Commission, the Austrian Presidency organised the EU Expert Seminar “Content for Competitiveness – Strengthening European Creative Industries in the light of the i2010 Strategy” on 2 and 3 March in Vienna. </w:t>
      </w:r>
    </w:p>
    <w:p w:rsidR="007E2D24" w:rsidRPr="003649CA" w:rsidRDefault="007E2D24">
      <w:pPr>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t xml:space="preserve">The main objective of this Expert Seminar was to raise awareness of the fact that the content and creative industries play a significant role both in the creation of economic value and in the cultural production of European diversity and uniqueness. </w:t>
      </w:r>
    </w:p>
    <w:p w:rsidR="007E2D24" w:rsidRPr="003649CA" w:rsidRDefault="007E2D24">
      <w:pPr>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t xml:space="preserve">Within the framework of the Seminar the various content-related instruments and measures at Community level were reviewed from the Lisbon perspective of growth, employment, innovation and competitiveness. In doing so, the possibility of or the opportunities for amendments and/or extensions of existing instruments and measures for responding to technological and economic changes were discussed in detail. </w:t>
      </w:r>
    </w:p>
    <w:p w:rsidR="007E2D24" w:rsidRPr="003649CA" w:rsidRDefault="007E2D24">
      <w:pPr>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t>As a result of the unique participation of the European Commission in the form of the Directorates General for Information Society and Media, Education and Culture, Competition, Internal Market and Services, Regional Policy, as well as Employment, Social Affairs and Equal Opportunities, it was possible to see the enormous spectrum of economic, cultural, social and legal issues that must be considered in connection with the production and marketing of content in the areas of television, cinema, the music ind</w:t>
      </w:r>
      <w:r w:rsidRPr="003649CA">
        <w:rPr>
          <w:rFonts w:ascii="Times New Roman" w:hAnsi="Times New Roman"/>
          <w:color w:val="000000"/>
        </w:rPr>
        <w:t>ustry, press, publishing, and online material. It is by means of this deliberately interdisciplinary approach that the significance and implications of the i2010 Initiative on an entire sector, namely content and creative industries, could be shown. At the same time, the importance of addressing cultural industries, as planned in the Work Plan for Culture 2005-2006, was also underlined.</w:t>
      </w:r>
    </w:p>
    <w:p w:rsidR="007E2D24" w:rsidRPr="003649CA" w:rsidRDefault="007E2D24">
      <w:pPr>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br w:type="page"/>
        <w:t>From the seminar’s discussions, the following core conclusions can be drawn:</w:t>
      </w:r>
    </w:p>
    <w:p w:rsidR="007E2D24" w:rsidRPr="003649CA" w:rsidRDefault="007E2D24">
      <w:pPr>
        <w:spacing w:line="360" w:lineRule="auto"/>
        <w:rPr>
          <w:rFonts w:ascii="Times New Roman" w:hAnsi="Times New Roman"/>
          <w:color w:val="000000"/>
        </w:rPr>
      </w:pP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 xml:space="preserve">Creativity is an important source of competitiveness in a knowledge-based society and the use of ICT for production and distribution of content is a key factor in promoting growth and employment. Nevertheless, it is important not to see culture and the market, creativity and competition, in opposition to each other. On the contrary: creativity and innovation must be present in all fields of policy. </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The networking and bundling of policies in the fields of technology, economics and culture are threshold requirements for an effective strengthening of the content and creative industries. The potential of European content and creative industries for growth and employment must be better exploited and a coordinated and coherent policy stance at Community level must take into consideration the phenomena of technological convergence and analyse the economic and cultural implications of this for the content an</w:t>
      </w:r>
      <w:r w:rsidRPr="003649CA">
        <w:rPr>
          <w:rFonts w:ascii="Times New Roman" w:hAnsi="Times New Roman"/>
          <w:color w:val="000000"/>
        </w:rPr>
        <w:t>d creative industries.</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 xml:space="preserve">Europe must be much more aware of its strengths, especially its cultural and linguistic diversity, and should grasp the idea of the common European area as the most important market for content and creative industries. Technological convergence creates new business models in almost all content fields, such as online films or legal online music platforms. </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Appropriate financing instruments, especially risk capital, coming from both public and private sources as well as tax incentives could be of assistance for the further development of Europe’s content industry. Support mechanisms and promotion instruments for content (e.g. subsidies in the film sector; financing for public service broadcasting) at European, national and regional levels, are still indispensable in order to be able to produce and distribute quality European content. At the same time, interve</w:t>
      </w:r>
      <w:r w:rsidRPr="003649CA">
        <w:rPr>
          <w:rFonts w:ascii="Times New Roman" w:hAnsi="Times New Roman"/>
          <w:color w:val="000000"/>
        </w:rPr>
        <w:t xml:space="preserve">ntion mechanisms must be adapted to the new technological and economic conditions. </w:t>
      </w:r>
    </w:p>
    <w:p w:rsidR="007E2D24" w:rsidRPr="003649CA" w:rsidRDefault="007E2D24">
      <w:pPr>
        <w:spacing w:line="360" w:lineRule="auto"/>
        <w:ind w:left="1080"/>
        <w:rPr>
          <w:rFonts w:ascii="Times New Roman" w:hAnsi="Times New Roman"/>
          <w:color w:val="000000"/>
        </w:rPr>
      </w:pPr>
      <w:r w:rsidRPr="003649CA">
        <w:rPr>
          <w:rFonts w:ascii="Times New Roman" w:hAnsi="Times New Roman"/>
          <w:color w:val="000000"/>
        </w:rPr>
        <w:br w:type="page"/>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 xml:space="preserve">The creation of a stable regulatory environment providing legal security and the promotion of creativity in its varied forms are top priorities. New measures and instruments, such as the measures promoting the availability of public sector information or the digital libraries project, could play an important role in this connection. Nevertheless, a considerable number of questions are still under discussion, in particular in the field of intellectual property. Undoubtedly, intellectual property law models </w:t>
      </w:r>
      <w:r w:rsidRPr="003649CA">
        <w:rPr>
          <w:rFonts w:ascii="Times New Roman" w:hAnsi="Times New Roman"/>
          <w:color w:val="000000"/>
        </w:rPr>
        <w:t>must ensure fair remuneration for all actors involved in the content creation process. At the same time intellectual property law must be adapted to changing requirements and challenges, without jeopardizing its essence.</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The unanimous acceptance of the UNESCO Convention on the Protection and Promotion of the Diversity of Cultural Expressions by the European Union and the Member States constitutes an obligation to strengthen Europe's cultural diversity. With the use of ICT it is possible to distribute varied</w:t>
      </w:r>
      <w:r w:rsidRPr="003649CA">
        <w:rPr>
          <w:rFonts w:ascii="Times New Roman" w:hAnsi="Times New Roman"/>
          <w:color w:val="000000"/>
        </w:rPr>
        <w:t xml:space="preserve"> cultural offerings in a very effective way, while at the same time protecting producers’ rights.</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Competition law, through the application of antitrust and merger rules, contributes to preserving open market structures by avoiding the creation of bottlenecks at the various stages of the content distribution chain. It can thus also contribute to promoting cultural diversity.</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Content and creative industries need comparable statistics and data analysis. The study on the Economy of Culture in Europe, currently under way on behalf of the European Commission, could be an important contribution in this context, together with the data collection of Eurostat by means of the annual Community survey on ICT usage in households and by individuals.</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In the coming years a large number of new jobs in the content and creative industries in Europe could be created. This increase in employment could be achieved inter alia by better combining flexibility and security in the job market, by creating more legal security for producers and by bringing user-friendly technologies for consumers onto the market. A balance of interests between economic necessity and what is acceptable in society and social policy must be found.</w:t>
      </w:r>
    </w:p>
    <w:p w:rsidR="007E2D24" w:rsidRPr="003649CA" w:rsidRDefault="007E2D24">
      <w:pPr>
        <w:ind w:left="1080"/>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br w:type="page"/>
        <w:t>The European Commission sets priorities and takes initiatives in numerous fields of policy in order to contribute to achieving the objectives set:</w:t>
      </w:r>
    </w:p>
    <w:p w:rsidR="007E2D24" w:rsidRPr="003649CA" w:rsidRDefault="007E2D24">
      <w:pPr>
        <w:spacing w:line="360" w:lineRule="auto"/>
        <w:rPr>
          <w:rFonts w:ascii="Times New Roman" w:hAnsi="Times New Roman"/>
          <w:color w:val="000000"/>
        </w:rPr>
      </w:pP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EU cultural policy contributes to promote cultural diversity both inside the EU and at international level, as recently illustrated by the adoption of the UNESCO Convention on the Protection and Promotion of the Diversity of Cultural Expressions.</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The i2010 initiative aims to create a Single European Information Space. As part of this, technological convergence an be used as a driving force for growth and innovation in both the content and ICT sectors. Initiatives such as the revision of the Television Without Frontiers Directive, the Digital Libraries, the MEDIA or eContent plus programmes or the Film Online, all of these contribute to creating an enabling environment for a great diversity of content services to develop in Europe.</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EU competition policy contributes to opening up the content market, making sure that content is available through the increasing number of distribution platforms. State aid policy also identifies the circumstances in which public intervention may be necessary to achieve fundamental European policy objectives, such as cultural diversity. It also defines how Member States can best support audiovisual production or public service broadcasters without creating unnecessary distortion of competition. The Commiss</w:t>
      </w:r>
      <w:r w:rsidRPr="003649CA">
        <w:rPr>
          <w:rFonts w:ascii="Times New Roman" w:hAnsi="Times New Roman"/>
          <w:color w:val="000000"/>
        </w:rPr>
        <w:t>ion will revise the Broadcasting Communication in 2007-2008 (taking into account the new media environment) and revise the rules on state aid to films, which expire in 2007.</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The EU copyright policy objective is to provide for proper protection and exploitation of copyright in the Internal Market. As a result of technological changes and globalisation of the content market, improving the management of copyright on a Europe-wide level is becoming essential to the development of innovative content services. Th</w:t>
      </w:r>
      <w:r w:rsidRPr="003649CA">
        <w:rPr>
          <w:rFonts w:ascii="Times New Roman" w:hAnsi="Times New Roman"/>
          <w:color w:val="000000"/>
        </w:rPr>
        <w:t>e recent recommendation on collective cross-border management of copyright for online music services constitutes a first step in the improved exploitation of copyright across Europe.</w:t>
      </w:r>
    </w:p>
    <w:p w:rsidR="007E2D24" w:rsidRPr="003649CA" w:rsidRDefault="007E2D24">
      <w:pPr>
        <w:spacing w:line="360" w:lineRule="auto"/>
        <w:ind w:left="1080"/>
        <w:rPr>
          <w:rFonts w:ascii="Times New Roman" w:hAnsi="Times New Roman"/>
          <w:color w:val="000000"/>
        </w:rPr>
      </w:pPr>
      <w:r w:rsidRPr="003649CA">
        <w:rPr>
          <w:rFonts w:ascii="Times New Roman" w:hAnsi="Times New Roman"/>
          <w:color w:val="000000"/>
        </w:rPr>
        <w:br w:type="page"/>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The EU employment strategy provides guidance through guidelines and recommendations to Member States. The content and creative activities are a good example of where progress towards “flexicurity” can unleash significant employment potential.</w:t>
      </w:r>
    </w:p>
    <w:p w:rsidR="007E2D24" w:rsidRPr="003649CA" w:rsidRDefault="007E2D24">
      <w:pPr>
        <w:numPr>
          <w:ilvl w:val="1"/>
          <w:numId w:val="2"/>
        </w:numPr>
        <w:spacing w:line="360" w:lineRule="auto"/>
        <w:rPr>
          <w:rFonts w:ascii="Times New Roman" w:hAnsi="Times New Roman"/>
          <w:color w:val="000000"/>
        </w:rPr>
      </w:pPr>
      <w:r w:rsidRPr="003649CA">
        <w:rPr>
          <w:rFonts w:ascii="Times New Roman" w:hAnsi="Times New Roman"/>
          <w:color w:val="000000"/>
        </w:rPr>
        <w:t>EU regional policy supports small and medium-sized players in content and creative industries, notably at local level by ensuring transfer of experiences at regional level (bringing together regional authorities, businesses and population from several Member States) in areas ranging from the cultural sphere, to business-related projects or comprehensive regional ICT development programmes, including the content-related dimension.</w:t>
      </w:r>
    </w:p>
    <w:p w:rsidR="007E2D24" w:rsidRPr="003649CA" w:rsidRDefault="007E2D24">
      <w:pPr>
        <w:ind w:left="1080"/>
        <w:rPr>
          <w:rFonts w:ascii="Times New Roman" w:hAnsi="Times New Roman"/>
          <w:color w:val="000000"/>
        </w:rPr>
      </w:pPr>
    </w:p>
    <w:p w:rsidR="007E2D24" w:rsidRPr="003649CA" w:rsidRDefault="007E2D24">
      <w:pPr>
        <w:numPr>
          <w:ilvl w:val="0"/>
          <w:numId w:val="2"/>
        </w:numPr>
        <w:tabs>
          <w:tab w:val="clear" w:pos="720"/>
          <w:tab w:val="num" w:pos="540"/>
        </w:tabs>
        <w:spacing w:line="360" w:lineRule="auto"/>
        <w:ind w:left="540" w:hanging="540"/>
        <w:rPr>
          <w:rFonts w:ascii="Times New Roman" w:hAnsi="Times New Roman"/>
          <w:color w:val="000000"/>
        </w:rPr>
      </w:pPr>
      <w:r w:rsidRPr="003649CA">
        <w:rPr>
          <w:rFonts w:ascii="Times New Roman" w:hAnsi="Times New Roman"/>
          <w:color w:val="000000"/>
        </w:rPr>
        <w:t xml:space="preserve">The Austrian Presidency underlines that efforts must continue in the future to coordinate the European and national endeavours in promoting the content and creative industries for the purposes of a coherent approach. In order to achieve the objective of having the content and creative industries providing a long term contribution to growth and employment, a concerted effort needs to be made. </w:t>
      </w:r>
    </w:p>
    <w:p w:rsidR="007E2D24" w:rsidRPr="003649CA" w:rsidRDefault="007E2D24">
      <w:pPr>
        <w:rPr>
          <w:rFonts w:ascii="Times New Roman" w:hAnsi="Times New Roman"/>
          <w:color w:val="000000"/>
        </w:rPr>
      </w:pPr>
    </w:p>
    <w:p w:rsidR="007E2D24" w:rsidRPr="003649CA" w:rsidRDefault="007E2D24">
      <w:pPr>
        <w:spacing w:line="360" w:lineRule="auto"/>
        <w:ind w:left="540"/>
        <w:rPr>
          <w:rFonts w:ascii="Times New Roman" w:hAnsi="Times New Roman"/>
          <w:color w:val="000000"/>
        </w:rPr>
      </w:pPr>
      <w:r w:rsidRPr="003649CA">
        <w:rPr>
          <w:rFonts w:ascii="Times New Roman" w:hAnsi="Times New Roman"/>
          <w:color w:val="000000"/>
        </w:rPr>
        <w:t>In this respect, timing is an essential factor: the possibilities and opportunities for Europe’s content and creative industries arising from the digital revolution can only be taken advantage of if Europe moves quickly. If this is not the case, there is a danger that Europe might fall further behind other world regions in the global economy.</w:t>
      </w:r>
    </w:p>
    <w:p w:rsidR="007E2D24" w:rsidRPr="003649CA" w:rsidRDefault="007E2D24">
      <w:pPr>
        <w:ind w:left="540"/>
        <w:rPr>
          <w:rFonts w:ascii="Times New Roman" w:hAnsi="Times New Roman"/>
          <w:color w:val="000000"/>
        </w:rPr>
      </w:pPr>
    </w:p>
    <w:p w:rsidR="007E2D24" w:rsidRPr="003649CA" w:rsidRDefault="007E2D24">
      <w:pPr>
        <w:spacing w:line="360" w:lineRule="auto"/>
        <w:ind w:left="540"/>
        <w:rPr>
          <w:rFonts w:ascii="Times New Roman" w:hAnsi="Times New Roman"/>
          <w:color w:val="000000"/>
        </w:rPr>
      </w:pPr>
      <w:r w:rsidRPr="003649CA">
        <w:rPr>
          <w:rFonts w:ascii="Times New Roman" w:hAnsi="Times New Roman"/>
          <w:color w:val="000000"/>
        </w:rPr>
        <w:t>Individual policy areas pursued at European level, in particular by the European Commission, as well as national policies, all have their own specific role to play. But coordination is essential. The Austr</w:t>
      </w:r>
      <w:r w:rsidRPr="003649CA">
        <w:rPr>
          <w:rFonts w:ascii="Times New Roman" w:hAnsi="Times New Roman"/>
          <w:color w:val="000000"/>
        </w:rPr>
        <w:t>ian Presidency has, for this reason, addressed questions to all Member States on how to enable a regular dialogue between all relevant actors to be organised at European level.</w:t>
      </w:r>
    </w:p>
    <w:p w:rsidR="007E2D24" w:rsidRPr="003649CA" w:rsidRDefault="007E2D24">
      <w:pPr>
        <w:ind w:left="540"/>
        <w:rPr>
          <w:rFonts w:ascii="Times New Roman" w:hAnsi="Times New Roman"/>
          <w:color w:val="000000"/>
        </w:rPr>
      </w:pPr>
    </w:p>
    <w:p w:rsidR="007E2D24" w:rsidRPr="003649CA" w:rsidRDefault="007E2D24">
      <w:pPr>
        <w:jc w:val="center"/>
        <w:outlineLvl w:val="0"/>
        <w:rPr>
          <w:rFonts w:ascii="Times New Roman" w:hAnsi="Times New Roman"/>
          <w:color w:val="000000"/>
        </w:rPr>
      </w:pPr>
      <w:r w:rsidRPr="003649CA">
        <w:rPr>
          <w:rFonts w:ascii="Times New Roman" w:hAnsi="Times New Roman"/>
          <w:color w:val="000000"/>
        </w:rPr>
        <w:t>________________</w:t>
      </w:r>
    </w:p>
    <w:p w:rsidR="007E2D24" w:rsidRPr="003649CA" w:rsidRDefault="007E2D24">
      <w:pPr>
        <w:rPr>
          <w:rFonts w:ascii="Times New Roman" w:hAnsi="Times New Roman"/>
          <w:color w:val="000000"/>
        </w:rPr>
      </w:pPr>
    </w:p>
    <w:p w:rsidR="007E2D24" w:rsidRPr="003649CA" w:rsidRDefault="007E2D24">
      <w:pPr>
        <w:tabs>
          <w:tab w:val="left" w:pos="6615"/>
        </w:tabs>
        <w:rPr>
          <w:rFonts w:ascii="Times New Roman" w:hAnsi="Times New Roman"/>
        </w:rPr>
      </w:pPr>
      <w:r w:rsidRPr="003649CA">
        <w:rPr>
          <w:rFonts w:ascii="Times New Roman" w:hAnsi="Times New Roman"/>
        </w:rPr>
        <w:tab/>
      </w:r>
    </w:p>
    <w:sectPr w:rsidR="007E2D24" w:rsidRPr="003649CA">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D24" w:rsidRPr="003649CA" w:rsidRDefault="007E2D24">
      <w:r w:rsidRPr="003649CA">
        <w:separator/>
      </w:r>
    </w:p>
  </w:endnote>
  <w:endnote w:type="continuationSeparator" w:id="0">
    <w:p w:rsidR="007E2D24" w:rsidRPr="003649CA" w:rsidRDefault="007E2D24">
      <w:r w:rsidRPr="00364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24" w:rsidRPr="003649CA" w:rsidRDefault="007E2D24">
    <w:pPr>
      <w:pStyle w:val="Sidfot"/>
      <w:pBdr>
        <w:bottom w:val="single" w:sz="4" w:space="1" w:color="auto"/>
      </w:pBdr>
      <w:spacing w:after="60"/>
      <w:rPr>
        <w:lang w:val="sv-SE"/>
      </w:rPr>
    </w:pPr>
  </w:p>
  <w:p w:rsidR="007E2D24" w:rsidRPr="003649CA" w:rsidRDefault="007E2D24">
    <w:pPr>
      <w:pStyle w:val="Sidfot"/>
      <w:rPr>
        <w:lang w:val="sv-SE"/>
      </w:rPr>
    </w:pPr>
    <w:bookmarkStart w:id="17" w:name="CoteFooter"/>
    <w:bookmarkEnd w:id="17"/>
    <w:r w:rsidRPr="003649CA">
      <w:rPr>
        <w:lang w:val="sv-SE"/>
      </w:rPr>
      <w:t>8638/06</w:t>
    </w:r>
    <w:r w:rsidRPr="003649CA">
      <w:rPr>
        <w:lang w:val="sv-SE"/>
      </w:rPr>
      <w:tab/>
    </w:r>
    <w:bookmarkStart w:id="18" w:name="SuplCote"/>
    <w:bookmarkEnd w:id="18"/>
    <w:r w:rsidRPr="003649CA">
      <w:rPr>
        <w:lang w:val="sv-SE"/>
      </w:rPr>
      <w:tab/>
    </w:r>
    <w:bookmarkStart w:id="19" w:name="Init"/>
    <w:bookmarkEnd w:id="19"/>
    <w:r w:rsidRPr="003649CA">
      <w:rPr>
        <w:lang w:val="sv-SE"/>
      </w:rPr>
      <w:t>NP/ms</w:t>
    </w:r>
    <w:r w:rsidRPr="003649CA">
      <w:rPr>
        <w:lang w:val="sv-SE"/>
      </w:rPr>
      <w:tab/>
    </w:r>
    <w:r w:rsidRPr="003649CA">
      <w:rPr>
        <w:rStyle w:val="Sidnummer"/>
        <w:lang w:val="sv-SE"/>
      </w:rPr>
      <w:fldChar w:fldCharType="begin" w:fldLock="1"/>
    </w:r>
    <w:r w:rsidRPr="003649CA">
      <w:rPr>
        <w:rStyle w:val="Sidnummer"/>
        <w:lang w:val="sv-SE"/>
      </w:rPr>
      <w:instrText xml:space="preserve"> PAGE </w:instrText>
    </w:r>
    <w:r w:rsidRPr="003649CA">
      <w:rPr>
        <w:rStyle w:val="Sidnummer"/>
        <w:lang w:val="sv-SE"/>
      </w:rPr>
      <w:fldChar w:fldCharType="separate"/>
    </w:r>
    <w:r w:rsidRPr="003649CA">
      <w:rPr>
        <w:rStyle w:val="Sidnummer"/>
        <w:lang w:val="sv-SE"/>
      </w:rPr>
      <w:t>1</w:t>
    </w:r>
    <w:r w:rsidRPr="003649CA">
      <w:rPr>
        <w:rStyle w:val="Sidnummer"/>
        <w:lang w:val="sv-SE"/>
      </w:rPr>
      <w:fldChar w:fldCharType="end"/>
    </w:r>
  </w:p>
  <w:p w:rsidR="007E2D24" w:rsidRPr="003649CA" w:rsidRDefault="007E2D24">
    <w:pPr>
      <w:pStyle w:val="Sidfot"/>
      <w:tabs>
        <w:tab w:val="clear" w:pos="7371"/>
        <w:tab w:val="left" w:pos="7230"/>
      </w:tabs>
      <w:rPr>
        <w:lang w:val="sv-SE"/>
      </w:rPr>
    </w:pPr>
    <w:r w:rsidRPr="003649CA">
      <w:rPr>
        <w:lang w:val="sv-SE"/>
      </w:rPr>
      <w:tab/>
    </w:r>
    <w:bookmarkStart w:id="20" w:name="DG"/>
    <w:bookmarkEnd w:id="20"/>
    <w:r w:rsidRPr="003649CA">
      <w:rPr>
        <w:lang w:val="sv-SE"/>
      </w:rPr>
      <w:t>DG I</w:t>
    </w:r>
    <w:r w:rsidRPr="003649CA">
      <w:rPr>
        <w:lang w:val="sv-SE"/>
      </w:rPr>
      <w:tab/>
    </w:r>
    <w:bookmarkStart w:id="21" w:name="FooterCoteSec"/>
    <w:r w:rsidRPr="003649CA">
      <w:rPr>
        <w:b/>
        <w:sz w:val="36"/>
        <w:szCs w:val="36"/>
        <w:lang w:val="sv-SE"/>
      </w:rPr>
      <w:t>LIMITE</w:t>
    </w:r>
    <w:r w:rsidRPr="003649CA">
      <w:rPr>
        <w:b/>
        <w:position w:val="-4"/>
        <w:sz w:val="36"/>
        <w:lang w:val="sv-SE"/>
      </w:rPr>
      <w:t xml:space="preserve"> </w:t>
    </w:r>
    <w:bookmarkEnd w:id="21"/>
    <w:r w:rsidRPr="003649CA">
      <w:rPr>
        <w:b/>
        <w:position w:val="-4"/>
        <w:sz w:val="36"/>
        <w:lang w:val="sv-SE"/>
      </w:rPr>
      <w:t> </w:t>
    </w:r>
    <w:bookmarkStart w:id="22" w:name="Langue"/>
    <w:r w:rsidRPr="003649CA">
      <w:rPr>
        <w:b/>
        <w:position w:val="-4"/>
        <w:sz w:val="36"/>
        <w:lang w:val="sv-SE"/>
      </w:rPr>
      <w:t xml:space="preserve"> EN</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D24" w:rsidRPr="003649CA" w:rsidRDefault="007E2D24">
      <w:r w:rsidRPr="003649CA">
        <w:separator/>
      </w:r>
    </w:p>
  </w:footnote>
  <w:footnote w:type="continuationSeparator" w:id="0">
    <w:p w:rsidR="007E2D24" w:rsidRPr="003649CA" w:rsidRDefault="007E2D24">
      <w:r w:rsidRPr="003649C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39E"/>
    <w:multiLevelType w:val="hybridMultilevel"/>
    <w:tmpl w:val="DEA892DC"/>
    <w:lvl w:ilvl="0" w:tplc="0C07000F">
      <w:start w:val="1"/>
      <w:numFmt w:val="decimal"/>
      <w:lvlText w:val="%1."/>
      <w:lvlJc w:val="left"/>
      <w:pPr>
        <w:tabs>
          <w:tab w:val="num" w:pos="720"/>
        </w:tabs>
        <w:ind w:left="720" w:hanging="360"/>
      </w:pPr>
      <w:rPr>
        <w:rFonts w:hint="default"/>
      </w:rPr>
    </w:lvl>
    <w:lvl w:ilvl="1" w:tplc="0C070001">
      <w:start w:val="1"/>
      <w:numFmt w:val="bullet"/>
      <w:lvlText w:val=""/>
      <w:lvlJc w:val="left"/>
      <w:pPr>
        <w:tabs>
          <w:tab w:val="num" w:pos="1440"/>
        </w:tabs>
        <w:ind w:left="1440" w:hanging="360"/>
      </w:pPr>
      <w:rPr>
        <w:rFonts w:ascii="Symbol" w:hAnsi="Symbol" w:hint="default"/>
      </w:rPr>
    </w:lvl>
    <w:lvl w:ilvl="2" w:tplc="7C20625E">
      <w:start w:val="3"/>
      <w:numFmt w:val="decimal"/>
      <w:lvlText w:val="%3."/>
      <w:lvlJc w:val="left"/>
      <w:pPr>
        <w:tabs>
          <w:tab w:val="num" w:pos="2340"/>
        </w:tabs>
        <w:ind w:left="2340" w:hanging="360"/>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340029A3"/>
    <w:multiLevelType w:val="hybridMultilevel"/>
    <w:tmpl w:val="91947286"/>
    <w:lvl w:ilvl="0" w:tplc="DF66058A">
      <w:start w:val="1"/>
      <w:numFmt w:val="decimal"/>
      <w:lvlText w:val="%1."/>
      <w:lvlJc w:val="left"/>
      <w:pPr>
        <w:tabs>
          <w:tab w:val="num" w:pos="720"/>
        </w:tabs>
        <w:ind w:left="720" w:hanging="360"/>
      </w:pPr>
      <w:rPr>
        <w:b w:val="0"/>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6B295F53"/>
    <w:multiLevelType w:val="hybridMultilevel"/>
    <w:tmpl w:val="882C6992"/>
    <w:lvl w:ilvl="0" w:tplc="FFFFFFFF">
      <w:start w:val="1"/>
      <w:numFmt w:val="bullet"/>
      <w:lvlText w:val=""/>
      <w:lvlJc w:val="left"/>
      <w:pPr>
        <w:tabs>
          <w:tab w:val="num" w:pos="1080"/>
        </w:tabs>
        <w:ind w:left="1080" w:hanging="360"/>
      </w:pPr>
      <w:rPr>
        <w:rFonts w:ascii="Wingdings" w:hAnsi="Wingdings" w:hint="default"/>
      </w:rPr>
    </w:lvl>
    <w:lvl w:ilvl="1" w:tplc="080C000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771089B"/>
    <w:multiLevelType w:val="hybridMultilevel"/>
    <w:tmpl w:val="BB02B458"/>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101149710">
    <w:abstractNumId w:val="1"/>
  </w:num>
  <w:num w:numId="2" w16cid:durableId="670985821">
    <w:abstractNumId w:val="0"/>
  </w:num>
  <w:num w:numId="3" w16cid:durableId="754008615">
    <w:abstractNumId w:val="4"/>
  </w:num>
  <w:num w:numId="4" w16cid:durableId="274139633">
    <w:abstractNumId w:val="3"/>
  </w:num>
  <w:num w:numId="5" w16cid:durableId="510802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97"/>
    <w:rsid w:val="003649CA"/>
    <w:rsid w:val="007E2D24"/>
    <w:rsid w:val="008426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DDF4E-E83A-4536-8A12-3A38950E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sv-SE"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widowControl w:val="0"/>
      <w:tabs>
        <w:tab w:val="center" w:pos="4820"/>
        <w:tab w:val="center" w:pos="7371"/>
        <w:tab w:val="right" w:pos="9639"/>
      </w:tabs>
    </w:pPr>
    <w:rPr>
      <w:rFonts w:ascii="Times New Roman" w:hAnsi="Times New Roman"/>
      <w:szCs w:val="20"/>
      <w:lang w:val="en-GB" w:eastAsia="fr-BE"/>
    </w:rPr>
  </w:style>
  <w:style w:type="paragraph" w:customStyle="1" w:styleId="EntInstit">
    <w:name w:val="EntInstit"/>
    <w:basedOn w:val="Normal"/>
    <w:pPr>
      <w:widowControl w:val="0"/>
      <w:jc w:val="right"/>
    </w:pPr>
    <w:rPr>
      <w:rFonts w:ascii="Times New Roman" w:hAnsi="Times New Roman"/>
      <w:b/>
      <w:szCs w:val="20"/>
      <w:lang w:val="en-GB" w:eastAsia="fr-BE"/>
    </w:rPr>
  </w:style>
  <w:style w:type="paragraph" w:customStyle="1" w:styleId="EntRefer">
    <w:name w:val="EntRefer"/>
    <w:basedOn w:val="Normal"/>
    <w:pPr>
      <w:widowControl w:val="0"/>
    </w:pPr>
    <w:rPr>
      <w:rFonts w:ascii="Times New Roman" w:hAnsi="Times New Roman"/>
      <w:b/>
      <w:szCs w:val="20"/>
      <w:lang w:val="en-GB"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pPr>
    <w:rPr>
      <w:rFonts w:ascii="Times New Roman" w:hAnsi="Times New Roman"/>
      <w:szCs w:val="20"/>
      <w:lang w:val="en-GB" w:eastAsia="fr-BE"/>
    </w:rPr>
  </w:style>
  <w:style w:type="paragraph" w:customStyle="1" w:styleId="Par-dash">
    <w:name w:val="Par-dash"/>
    <w:basedOn w:val="Normal"/>
    <w:next w:val="Normal"/>
    <w:pPr>
      <w:widowControl w:val="0"/>
      <w:numPr>
        <w:numId w:val="1"/>
      </w:numPr>
      <w:spacing w:line="360" w:lineRule="auto"/>
    </w:pPr>
    <w:rPr>
      <w:rFonts w:ascii="Times New Roman" w:hAnsi="Times New Roman"/>
      <w:szCs w:val="20"/>
      <w:lang w:val="en-GB" w:eastAsia="fr-BE"/>
    </w:rPr>
  </w:style>
  <w:style w:type="paragraph" w:customStyle="1" w:styleId="EntLogo">
    <w:name w:val="EntLogo"/>
    <w:basedOn w:val="Normal"/>
    <w:next w:val="EntInstit"/>
    <w:pPr>
      <w:widowControl w:val="0"/>
      <w:spacing w:line="360" w:lineRule="auto"/>
    </w:pPr>
    <w:rPr>
      <w:rFonts w:ascii="Times New Roman" w:hAnsi="Times New Roman"/>
      <w:b/>
      <w:szCs w:val="20"/>
      <w:lang w:val="en-GB" w:eastAsia="fr-BE"/>
    </w:rPr>
  </w:style>
  <w:style w:type="character" w:styleId="Sidnummer">
    <w:name w:val="page number"/>
    <w:basedOn w:val="Standardstycketeckensnitt"/>
    <w:semiHidden/>
  </w:style>
  <w:style w:type="paragraph" w:styleId="Dokumentversikt">
    <w:name w:val="Document Map"/>
    <w:basedOn w:val="Normal"/>
    <w:semiHidden/>
    <w:pPr>
      <w:shd w:val="clear" w:color="auto" w:fill="000080"/>
    </w:pPr>
    <w:rPr>
      <w:rFonts w:ascii="Tahoma" w:hAnsi="Tahoma" w:cs="Tahoma"/>
    </w:rPr>
  </w:style>
  <w:style w:type="paragraph" w:styleId="Sidhuvud">
    <w:name w:val="head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d2003\globaldot\menu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menue.dot</Template>
  <TotalTime>0</TotalTime>
  <Pages>2</Pages>
  <Words>1960</Words>
  <Characters>11038</Characters>
  <Application>Microsoft Office Word</Application>
  <DocSecurity>4</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Bundeskanzleramt</Company>
  <LinksUpToDate>false</LinksUpToDate>
  <CharactersWithSpaces>12935</CharactersWithSpaces>
  <SharedDoc>false</SharedDoc>
  <HLinks>
    <vt:vector size="6" baseType="variant">
      <vt:variant>
        <vt:i4>1835014</vt:i4>
      </vt:variant>
      <vt:variant>
        <vt:i4>-1</vt:i4>
      </vt:variant>
      <vt:variant>
        <vt:i4>1026</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2006-04-28T10:22:00Z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conclusions final</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Ulrike LECHNER</vt:lpwstr>
  </property>
  <property fmtid="{D5CDD505-2E9C-101B-9397-08002B2CF9AE}" pid="10" name="FSC#COOELAK@1.1001:OwnerExtension">
    <vt:lpwstr>2815</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 (Verfassungsdienst)</vt:lpwstr>
  </property>
  <property fmtid="{D5CDD505-2E9C-101B-9397-08002B2CF9AE}" pid="16" name="FSC#COOELAK@1.1001:CreatedAt">
    <vt:lpwstr>27.04.2006 17:33:55</vt:lpwstr>
  </property>
  <property fmtid="{D5CDD505-2E9C-101B-9397-08002B2CF9AE}" pid="17" name="FSC#COOELAK@1.1001:OU">
    <vt:lpwstr>BKA - V (Verfassungsdienst)</vt:lpwstr>
  </property>
  <property fmtid="{D5CDD505-2E9C-101B-9397-08002B2CF9AE}" pid="18" name="FSC#COOELAK@1.1001:Priority">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*COO.3000.101.23.1102138*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*conclusions final*</vt:lpwstr>
  </property>
  <property fmtid="{D5CDD505-2E9C-101B-9397-08002B2CF9AE}" pid="41" name="FSC#COOELAK@1.1001:FileRefBarCode">
    <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ulrike.lechner@bka.gv.at</vt:lpwstr>
  </property>
  <property fmtid="{D5CDD505-2E9C-101B-9397-08002B2CF9AE}" pid="52" name="FSC#EIBPRECONFIG@1.1001:OUEmail">
    <vt:lpwstr>v@bka.gv.at</vt:lpwstr>
  </property>
  <property fmtid="{D5CDD505-2E9C-101B-9397-08002B2CF9AE}" pid="53" name="FSC#EIBPRECONFIG@1.1001:OwnerGender">
    <vt:lpwstr>Weiblich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1014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_AdHocReviewCycleID">
    <vt:i4>-2118609865</vt:i4>
  </property>
  <property fmtid="{D5CDD505-2E9C-101B-9397-08002B2CF9AE}" pid="70" name="_EmailSubject">
    <vt:lpwstr/>
  </property>
  <property fmtid="{D5CDD505-2E9C-101B-9397-08002B2CF9AE}" pid="71" name="_AuthorEmail">
    <vt:lpwstr>Peter.Haunold@fabasoft.com</vt:lpwstr>
  </property>
  <property fmtid="{D5CDD505-2E9C-101B-9397-08002B2CF9AE}" pid="72" name="_AuthorEmailDisplayName">
    <vt:lpwstr>Haunold, Peter</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COOELAK@1.1001:IncomingNumber">
    <vt:lpwstr/>
  </property>
  <property fmtid="{D5CDD505-2E9C-101B-9397-08002B2CF9AE}" pid="79" name="FSC#COOELAK@1.1001:IncomingSubject">
    <vt:lpwstr/>
  </property>
  <property fmtid="{D5CDD505-2E9C-101B-9397-08002B2CF9AE}" pid="80" name="FSC#COOELAK@1.1001:ProcessResponsible">
    <vt:lpwstr/>
  </property>
  <property fmtid="{D5CDD505-2E9C-101B-9397-08002B2CF9AE}" pid="81" name="FSC#COOELAK@1.1001:ProcessResponsiblePhone">
    <vt:lpwstr/>
  </property>
  <property fmtid="{D5CDD505-2E9C-101B-9397-08002B2CF9AE}" pid="82" name="FSC#COOELAK@1.1001:ProcessResponsibleMail">
    <vt:lpwstr/>
  </property>
  <property fmtid="{D5CDD505-2E9C-101B-9397-08002B2CF9AE}" pid="83" name="FSC#COOELAK@1.1001:ProcessResponsibleFax">
    <vt:lpwstr/>
  </property>
  <property fmtid="{D5CDD505-2E9C-101B-9397-08002B2CF9AE}" pid="84" name="FSC#COOELAK@1.1001:ApproverFirstName">
    <vt:lpwstr/>
  </property>
  <property fmtid="{D5CDD505-2E9C-101B-9397-08002B2CF9AE}" pid="85" name="FSC#COOELAK@1.1001:ApproverSurName">
    <vt:lpwstr/>
  </property>
  <property fmtid="{D5CDD505-2E9C-101B-9397-08002B2CF9AE}" pid="86" name="FSC#COOELAK@1.1001:ApproverTitle">
    <vt:lpwstr/>
  </property>
  <property fmtid="{D5CDD505-2E9C-101B-9397-08002B2CF9AE}" pid="87" name="FSC#COOELAK@1.1001:ExternalDate">
    <vt:lpwstr/>
  </property>
  <property fmtid="{D5CDD505-2E9C-101B-9397-08002B2CF9AE}" pid="88" name="FSC#COOELAK@1.1001:SettlementApprovedAt">
    <vt:lpwstr/>
  </property>
  <property fmtid="{D5CDD505-2E9C-101B-9397-08002B2CF9AE}" pid="89" name="FSC#COOELAK@1.1001:BaseNumber">
    <vt:lpwstr/>
  </property>
  <property fmtid="{D5CDD505-2E9C-101B-9397-08002B2CF9AE}" pid="90" name="FSC#EIBPRECONFIG@1.1001:EIBInternalApprovedAt">
    <vt:lpwstr/>
  </property>
  <property fmtid="{D5CDD505-2E9C-101B-9397-08002B2CF9AE}" pid="91" name="FSC#EIBPRECONFIG@1.1001:EIBInternalApprovedBy">
    <vt:lpwstr/>
  </property>
  <property fmtid="{D5CDD505-2E9C-101B-9397-08002B2CF9AE}" pid="92" name="FSC#EIBPRECONFIG@1.1001:EIBSettlementApprovedBy">
    <vt:lpwstr/>
  </property>
  <property fmtid="{D5CDD505-2E9C-101B-9397-08002B2CF9AE}" pid="93" name="FSC#EIBPRECONFIG@1.1001:currentuser">
    <vt:lpwstr>COO.3000.100.1.156838</vt:lpwstr>
  </property>
  <property fmtid="{D5CDD505-2E9C-101B-9397-08002B2CF9AE}" pid="94" name="FSC#EIBPRECONFIG@1.1001:currentuserrolegroup">
    <vt:lpwstr>COO.3000.100.1.2694</vt:lpwstr>
  </property>
  <property fmtid="{D5CDD505-2E9C-101B-9397-08002B2CF9AE}" pid="95" name="FSC#EIBPRECONFIG@1.1001:currentuserroleposition">
    <vt:lpwstr>COO.1.1001.1.4328</vt:lpwstr>
  </property>
  <property fmtid="{D5CDD505-2E9C-101B-9397-08002B2CF9AE}" pid="96" name="FSC#EIBPRECONFIG@1.1001:currentuserroot">
    <vt:lpwstr>COO.3000.101.19.358535</vt:lpwstr>
  </property>
  <property fmtid="{D5CDD505-2E9C-101B-9397-08002B2CF9AE}" pid="97" name="FSC#EIBPRECONFIG@1.1001:toplevelobject">
    <vt:lpwstr/>
  </property>
  <property fmtid="{D5CDD505-2E9C-101B-9397-08002B2CF9AE}" pid="98" name="FSC#EIBPRECONFIG@1.1001:objchangedby">
    <vt:lpwstr>LECHNER, Ulrike, Mag</vt:lpwstr>
  </property>
  <property fmtid="{D5CDD505-2E9C-101B-9397-08002B2CF9AE}" pid="99" name="FSC#EIBPRECONFIG@1.1001:objchangedat">
    <vt:lpwstr>28.04.2006 10:40:58</vt:lpwstr>
  </property>
  <property fmtid="{D5CDD505-2E9C-101B-9397-08002B2CF9AE}" pid="100" name="FSC#EIBPRECONFIG@1.1001:objname">
    <vt:lpwstr>conclusions final</vt:lpwstr>
  </property>
  <property fmtid="{D5CDD505-2E9C-101B-9397-08002B2CF9AE}" pid="101" name="FSC#EIBPRECONFIG@1.1001:EIBProcessResponsiblePhone">
    <vt:lpwstr/>
  </property>
  <property fmtid="{D5CDD505-2E9C-101B-9397-08002B2CF9AE}" pid="102" name="FSC#EIBPRECONFIG@1.1001:EIBProcessResponsibleMail">
    <vt:lpwstr/>
  </property>
  <property fmtid="{D5CDD505-2E9C-101B-9397-08002B2CF9AE}" pid="103" name="FSC#EIBPRECONFIG@1.1001:EIBProcessResponsibleFax">
    <vt:lpwstr/>
  </property>
  <property fmtid="{D5CDD505-2E9C-101B-9397-08002B2CF9AE}" pid="104" name="FSC#EIBPRECONFIG@1.1001:EIBProcessResponsible">
    <vt:lpwstr/>
  </property>
  <property fmtid="{D5CDD505-2E9C-101B-9397-08002B2CF9AE}" pid="105" name="_ReviewingToolsShownOnce">
    <vt:lpwstr/>
  </property>
  <property fmtid="{D5CDD505-2E9C-101B-9397-08002B2CF9AE}" pid="106" name="FSC#eBKAI6Musterkomponente@3000.101:WD_Subject">
    <vt:lpwstr/>
  </property>
  <property fmtid="{D5CDD505-2E9C-101B-9397-08002B2CF9AE}" pid="107" name="FSC#COOSYSTEM@1.1:Container">
    <vt:lpwstr>COO.3000.101.23.1102138</vt:lpwstr>
  </property>
</Properties>
</file>