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4AA2" w:rsidRDefault="0025164D" w14:paraId="5B2CFFD3" w14:textId="77777777">
      <w:pPr>
        <w:pStyle w:val="Rubrik1"/>
        <w:spacing w:after="300"/>
      </w:pPr>
      <w:sdt>
        <w:sdtPr>
          <w:alias w:val="CC_Boilerplate_4"/>
          <w:tag w:val="CC_Boilerplate_4"/>
          <w:id w:val="-1644581176"/>
          <w:lock w:val="sdtLocked"/>
          <w:placeholder>
            <w:docPart w:val="E9E216D1EA57404986A4FB485422B692"/>
          </w:placeholder>
          <w:text/>
        </w:sdtPr>
        <w:sdtEndPr/>
        <w:sdtContent>
          <w:r w:rsidRPr="009B062B" w:rsidR="00AF30DD">
            <w:t>Förslag till riksdagsbeslut</w:t>
          </w:r>
        </w:sdtContent>
      </w:sdt>
      <w:bookmarkEnd w:id="0"/>
      <w:bookmarkEnd w:id="1"/>
    </w:p>
    <w:sdt>
      <w:sdtPr>
        <w:alias w:val="Yrkande 1"/>
        <w:tag w:val="2e33de77-d33f-45ab-b765-9cf4f70e17bc"/>
        <w:id w:val="-1773700654"/>
        <w:lock w:val="sdtLocked"/>
      </w:sdtPr>
      <w:sdtEndPr/>
      <w:sdtContent>
        <w:p w:rsidR="00ED0C8C" w:rsidRDefault="00311E1F" w14:paraId="1761FF26" w14:textId="77777777">
          <w:pPr>
            <w:pStyle w:val="Frslagstext"/>
          </w:pPr>
          <w:r>
            <w:t>Riksdagen avslår proposition 2023/24:126 Natura 2000-tillstånd i samband med ansökan om bearbetningskoncession enligt minerallagen.</w:t>
          </w:r>
        </w:p>
      </w:sdtContent>
    </w:sdt>
    <w:sdt>
      <w:sdtPr>
        <w:alias w:val="Yrkande 2"/>
        <w:tag w:val="1762ce31-9790-4afb-9a83-2c2ada27a68d"/>
        <w:id w:val="-1579122540"/>
        <w:lock w:val="sdtLocked"/>
      </w:sdtPr>
      <w:sdtEndPr/>
      <w:sdtContent>
        <w:p w:rsidR="00ED0C8C" w:rsidRDefault="00311E1F" w14:paraId="03C4B1E9" w14:textId="77777777">
          <w:pPr>
            <w:pStyle w:val="Frslagstext"/>
          </w:pPr>
          <w:r>
            <w:t>Riksdagen ställer sig bakom det som anförs i motionen om en ändrad skrivning i 4 kap. 2 § minerallagen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1AA8830744C4CCDB78068D832E22C41"/>
        </w:placeholder>
        <w:text/>
      </w:sdtPr>
      <w:sdtEndPr>
        <w:rPr>
          <w14:numSpacing w14:val="default"/>
        </w:rPr>
      </w:sdtEndPr>
      <w:sdtContent>
        <w:p w:rsidRPr="009B062B" w:rsidR="006D79C9" w:rsidP="00333E95" w:rsidRDefault="00B85A29" w14:paraId="2823AF1B" w14:textId="5D2225D7">
          <w:pPr>
            <w:pStyle w:val="Rubrik1"/>
          </w:pPr>
          <w:r>
            <w:t>Inledning</w:t>
          </w:r>
        </w:p>
      </w:sdtContent>
    </w:sdt>
    <w:bookmarkEnd w:displacedByCustomXml="prev" w:id="3"/>
    <w:bookmarkEnd w:displacedByCustomXml="prev" w:id="4"/>
    <w:p w:rsidR="00046AD8" w:rsidP="00046AD8" w:rsidRDefault="00046AD8" w14:paraId="472F68F5" w14:textId="11DB6DF4">
      <w:pPr>
        <w:pStyle w:val="Normalutanindragellerluft"/>
      </w:pPr>
      <w:r>
        <w:t>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lokalbefolk</w:t>
      </w:r>
      <w:r w:rsidR="00B85A29">
        <w:softHyphen/>
      </w:r>
      <w:r>
        <w:t>ningen, vår natur och vårt urfolk, samtidigt som vi bidrar konstruktivt till en mer hållbar tillgång till, och användning av, mineral och metall.</w:t>
      </w:r>
    </w:p>
    <w:p w:rsidRPr="00A44AA2" w:rsidR="00046AD8" w:rsidP="00A44AA2" w:rsidRDefault="00046AD8" w14:paraId="55F92C56" w14:textId="77777777">
      <w:pPr>
        <w:pStyle w:val="Rubrik2"/>
      </w:pPr>
      <w:r w:rsidRPr="00A44AA2">
        <w:lastRenderedPageBreak/>
        <w:t>Regeringens förslag</w:t>
      </w:r>
    </w:p>
    <w:p w:rsidR="00046AD8" w:rsidP="00046AD8" w:rsidRDefault="00046AD8" w14:paraId="5326B4F6" w14:textId="21AC3A74">
      <w:pPr>
        <w:pStyle w:val="Normalutanindragellerluft"/>
      </w:pPr>
      <w:r>
        <w:t>Regeringen</w:t>
      </w:r>
      <w:r w:rsidR="001B370E">
        <w:t xml:space="preserve"> föreslår i</w:t>
      </w:r>
      <w:r>
        <w:t xml:space="preserve"> proposition 2023/24:126 att prövning av påverkan på Natura 2000 </w:t>
      </w:r>
      <w:r w:rsidRPr="00B85A29">
        <w:rPr>
          <w:spacing w:val="-3"/>
        </w:rPr>
        <w:t>(</w:t>
      </w:r>
      <w:r w:rsidRPr="00B85A29" w:rsidR="001B370E">
        <w:rPr>
          <w:spacing w:val="-3"/>
        </w:rPr>
        <w:t xml:space="preserve">4 kap. 8 § </w:t>
      </w:r>
      <w:r w:rsidRPr="00B85A29">
        <w:rPr>
          <w:spacing w:val="-3"/>
        </w:rPr>
        <w:t>miljöbalken) ska ske i samband med miljötillståndsprövning av en gruva, i stäl</w:t>
      </w:r>
      <w:r w:rsidRPr="00B85A29" w:rsidR="00B85A29">
        <w:rPr>
          <w:spacing w:val="-3"/>
        </w:rPr>
        <w:softHyphen/>
      </w:r>
      <w:r w:rsidRPr="00B85A29">
        <w:rPr>
          <w:spacing w:val="-3"/>
        </w:rPr>
        <w:t>let</w:t>
      </w:r>
      <w:r>
        <w:t xml:space="preserve"> </w:t>
      </w:r>
      <w:r w:rsidRPr="00B85A29">
        <w:rPr>
          <w:spacing w:val="-3"/>
        </w:rPr>
        <w:t>för vid prövning av bearbetningskoncession. I sin proposition föreslår regeringen även</w:t>
      </w:r>
      <w:r>
        <w:t xml:space="preserve"> </w:t>
      </w:r>
      <w:r w:rsidRPr="00B85A29" w:rsidR="001B370E">
        <w:rPr>
          <w:spacing w:val="-3"/>
        </w:rPr>
        <w:t>att ”u</w:t>
      </w:r>
      <w:r w:rsidRPr="00B85A29">
        <w:rPr>
          <w:spacing w:val="-3"/>
        </w:rPr>
        <w:t>ppgifterna i miljökonsekvensbeskrivningen ska ha den omfattning och detaljerings</w:t>
      </w:r>
      <w:r w:rsidRPr="00B85A29" w:rsidR="00B85A29">
        <w:rPr>
          <w:spacing w:val="-3"/>
        </w:rPr>
        <w:softHyphen/>
      </w:r>
      <w:r w:rsidRPr="00B85A29">
        <w:rPr>
          <w:spacing w:val="-3"/>
        </w:rPr>
        <w:t>grad</w:t>
      </w:r>
      <w:r>
        <w:t xml:space="preserve"> som behövs för prövningen av koncessionsansökan”.</w:t>
      </w:r>
    </w:p>
    <w:p w:rsidR="00046AD8" w:rsidP="00A44AA2" w:rsidRDefault="00046AD8" w14:paraId="06226B98" w14:textId="16A94502">
      <w:r>
        <w:t>De centrala stegen i processen från prospektering till gruvverksamhet är undersök</w:t>
      </w:r>
      <w:r w:rsidR="00B85A29">
        <w:softHyphen/>
      </w:r>
      <w:r>
        <w:t xml:space="preserve">ningstillstånd, bearbetningskoncession, miljötillstånd, markanvisning samt bygg- och </w:t>
      </w:r>
      <w:proofErr w:type="spellStart"/>
      <w:r>
        <w:t>marklov</w:t>
      </w:r>
      <w:proofErr w:type="spellEnd"/>
      <w:r>
        <w:t>. I</w:t>
      </w:r>
      <w:r w:rsidR="001B370E">
        <w:t xml:space="preserve"> </w:t>
      </w:r>
      <w:r>
        <w:t>dag sker prövningen enligt 3</w:t>
      </w:r>
      <w:r w:rsidR="001B370E">
        <w:t> </w:t>
      </w:r>
      <w:r>
        <w:t>och 4</w:t>
      </w:r>
      <w:r w:rsidR="001B370E">
        <w:t> </w:t>
      </w:r>
      <w:r>
        <w:t>kap</w:t>
      </w:r>
      <w:r w:rsidR="001B370E">
        <w:t>.</w:t>
      </w:r>
      <w:r>
        <w:t xml:space="preserve"> miljöbalken vid prövning av bearbetningskoncession. Regeringens förslag innebär alltså att den del av prövningen enligt 3</w:t>
      </w:r>
      <w:r w:rsidR="001B370E">
        <w:t> </w:t>
      </w:r>
      <w:r>
        <w:t>och 4</w:t>
      </w:r>
      <w:r w:rsidR="001B370E">
        <w:t> </w:t>
      </w:r>
      <w:r>
        <w:t xml:space="preserve">kap. </w:t>
      </w:r>
      <w:r w:rsidR="001B370E">
        <w:t xml:space="preserve">miljöbalken </w:t>
      </w:r>
      <w:r>
        <w:t xml:space="preserve">som handlar om påverkan på Natura 2000 bryts ut och flyttas </w:t>
      </w:r>
      <w:r w:rsidR="001B370E">
        <w:t>”</w:t>
      </w:r>
      <w:r>
        <w:t>fram” ett steg i processen.</w:t>
      </w:r>
    </w:p>
    <w:p w:rsidRPr="00A44AA2" w:rsidR="00046AD8" w:rsidP="00A44AA2" w:rsidRDefault="00046AD8" w14:paraId="48968592" w14:textId="77777777">
      <w:pPr>
        <w:pStyle w:val="Rubrik2"/>
      </w:pPr>
      <w:r w:rsidRPr="00A44AA2">
        <w:t>Miljöpartiets ställningstagande</w:t>
      </w:r>
    </w:p>
    <w:p w:rsidR="00046AD8" w:rsidP="00046AD8" w:rsidRDefault="00046AD8" w14:paraId="518F111F" w14:textId="50608D70">
      <w:pPr>
        <w:pStyle w:val="Normalutanindragellerluft"/>
      </w:pPr>
      <w:r w:rsidRPr="00B85A29">
        <w:rPr>
          <w:spacing w:val="-3"/>
        </w:rPr>
        <w:t xml:space="preserve">När frågan om en effektivare och mer förutsägbar prövningsordning tidigare utretts, </w:t>
      </w:r>
      <w:r w:rsidRPr="00B85A29" w:rsidR="001B370E">
        <w:rPr>
          <w:spacing w:val="-3"/>
        </w:rPr>
        <w:t>bl.a.</w:t>
      </w:r>
      <w:r>
        <w:t xml:space="preserve"> inom ramen för Naturvårdsverkets rapport Förhållandet mellan minerallagen och miljö</w:t>
      </w:r>
      <w:r w:rsidR="00B85A29">
        <w:softHyphen/>
      </w:r>
      <w:r>
        <w:t>balken, regeringsuppdraget Förslag till strategi för hantering av gruvavfall samt i SOU 2022:56 En tryggad försörjning av metaller och mineral, har experter och utredare för</w:t>
      </w:r>
      <w:r w:rsidR="00E73DC2">
        <w:softHyphen/>
      </w:r>
      <w:r>
        <w:t>ordat att prövningen enligt 3</w:t>
      </w:r>
      <w:r w:rsidR="001B370E">
        <w:t> </w:t>
      </w:r>
      <w:r>
        <w:t>och 4</w:t>
      </w:r>
      <w:r w:rsidR="001B370E">
        <w:t> </w:t>
      </w:r>
      <w:r>
        <w:t>kap</w:t>
      </w:r>
      <w:r w:rsidR="001B370E">
        <w:t>.</w:t>
      </w:r>
      <w:r>
        <w:t xml:space="preserve"> miljöbalken i sin helhet utmönstras ur mineral</w:t>
      </w:r>
      <w:r w:rsidR="00E73DC2">
        <w:softHyphen/>
      </w:r>
      <w:r>
        <w:t xml:space="preserve">lagen och överförs till miljöbalksprövningen. I den utredning som ligger till grund för den aktuella propositionen (2023/24:126) hindrades utredaren explicit i uppdraget från att lägga fram en sådan lösning: </w:t>
      </w:r>
      <w:r w:rsidR="001B370E">
        <w:t>”</w:t>
      </w:r>
      <w:r>
        <w:t>Uppdraget innefattar inte att utreda och lämna förslag på författningsändringar som gäller prövningen enligt 3</w:t>
      </w:r>
      <w:r w:rsidR="001B370E">
        <w:t> </w:t>
      </w:r>
      <w:r>
        <w:t>och 4</w:t>
      </w:r>
      <w:r w:rsidR="001B370E">
        <w:t> </w:t>
      </w:r>
      <w:r>
        <w:t>kap. miljöbalken i övrigt vid ansökan enligt minerallagen” (Ds</w:t>
      </w:r>
      <w:r w:rsidR="001B370E">
        <w:t> </w:t>
      </w:r>
      <w:r>
        <w:t>2023:5 s.</w:t>
      </w:r>
      <w:r w:rsidR="001B370E">
        <w:t> </w:t>
      </w:r>
      <w:r>
        <w:t xml:space="preserve">13). Miljöpartiet menar att det är mycket problematiskt att utredningsuppdraget utformats så snävt. Liksom flera remissinstanser menar vi på att översynen av prövningssystemet för gruvverksamhet missgynnats av att </w:t>
      </w:r>
      <w:r w:rsidRPr="00E73DC2">
        <w:rPr>
          <w:spacing w:val="-3"/>
        </w:rPr>
        <w:t>utredarens uppdrag uttryckligen inte omfattat att utreda och lämna förslag på författnings</w:t>
      </w:r>
      <w:r w:rsidRPr="00E73DC2" w:rsidR="00E73DC2">
        <w:rPr>
          <w:spacing w:val="-3"/>
        </w:rPr>
        <w:softHyphen/>
      </w:r>
      <w:r w:rsidRPr="00E73DC2">
        <w:rPr>
          <w:spacing w:val="-3"/>
        </w:rPr>
        <w:t>ändringar</w:t>
      </w:r>
      <w:r>
        <w:t xml:space="preserve"> gällande prövningen av de övriga riksintressena i 3</w:t>
      </w:r>
      <w:r w:rsidR="001B370E">
        <w:t> </w:t>
      </w:r>
      <w:r>
        <w:t>och 4</w:t>
      </w:r>
      <w:r w:rsidR="001B370E">
        <w:t> </w:t>
      </w:r>
      <w:r>
        <w:t>kap. miljöbalken.</w:t>
      </w:r>
    </w:p>
    <w:p w:rsidR="00046AD8" w:rsidP="00A44AA2" w:rsidRDefault="00046AD8" w14:paraId="6409F1E1" w14:textId="6DA4A601">
      <w:r>
        <w:t>I 3 och 4</w:t>
      </w:r>
      <w:r w:rsidR="001B370E">
        <w:t> </w:t>
      </w:r>
      <w:r>
        <w:t xml:space="preserve">kap. miljöbalken finns bestämmelser kring riksintressen. Natura 2000-områden, som regleras </w:t>
      </w:r>
      <w:r w:rsidR="001B370E">
        <w:t>bl.a.</w:t>
      </w:r>
      <w:r>
        <w:t xml:space="preserve"> i 4</w:t>
      </w:r>
      <w:r w:rsidR="001B370E">
        <w:t> </w:t>
      </w:r>
      <w:r>
        <w:t>kap. 8</w:t>
      </w:r>
      <w:r w:rsidR="000916C3">
        <w:t> </w:t>
      </w:r>
      <w:r>
        <w:t>§ är i sin helhet av riksintresse enligt 4</w:t>
      </w:r>
      <w:r w:rsidR="001B370E">
        <w:t> </w:t>
      </w:r>
      <w:r>
        <w:t>kap. 1</w:t>
      </w:r>
      <w:r w:rsidR="001B370E">
        <w:t> </w:t>
      </w:r>
      <w:r>
        <w:t>§. Så som lagstiftningen ser ut i</w:t>
      </w:r>
      <w:r w:rsidR="000916C3">
        <w:t xml:space="preserve"> </w:t>
      </w:r>
      <w:r>
        <w:t>dag prövas riksintressena normalt endast i samband med ansökan om bearbetningskoncession. Miljöpartiet ser att det vore problematisk</w:t>
      </w:r>
      <w:r w:rsidR="000916C3">
        <w:t>t</w:t>
      </w:r>
      <w:r>
        <w:t xml:space="preserve"> att bryta </w:t>
      </w:r>
      <w:r>
        <w:lastRenderedPageBreak/>
        <w:t xml:space="preserve">upp riksintresseprövningen och föra över endast en del av den till prövningen enligt miljöbalken. </w:t>
      </w:r>
    </w:p>
    <w:p w:rsidR="00046AD8" w:rsidP="00A44AA2" w:rsidRDefault="00046AD8" w14:paraId="18824C18" w14:textId="231EF35B">
      <w:r>
        <w:t>Den av regeringen föreslagna ordningen skulle inte nå det eftersträvade målet om en tydligare, effektivare och mer förutsägbar prövningsordning. En sådan ordning skulle i</w:t>
      </w:r>
      <w:r w:rsidR="000916C3">
        <w:t xml:space="preserve"> </w:t>
      </w:r>
      <w:r>
        <w:t>stället bidra till nya moment av rättsosäkerhet. Om prövningen av riksintressena delas upp så</w:t>
      </w:r>
      <w:r w:rsidR="000916C3">
        <w:t xml:space="preserve"> </w:t>
      </w:r>
      <w:r>
        <w:t>som föreslagits skapas en otydlighet kring hur de olika prövningarna ska förhålla sig till varandra. Även Lagrådet har i sitt yttrande framfört att det framstår som osanno</w:t>
      </w:r>
      <w:r w:rsidR="00E73DC2">
        <w:softHyphen/>
      </w:r>
      <w:r>
        <w:t xml:space="preserve">likt att det angivna syftet – en effektivisering av koncessionsprövningen – kan uppnås med de föreslagna ändringarna. </w:t>
      </w:r>
    </w:p>
    <w:p w:rsidR="00046AD8" w:rsidP="00A44AA2" w:rsidRDefault="00046AD8" w14:paraId="7F559BF9" w14:textId="493EE14A">
      <w:r w:rsidRPr="00E73DC2">
        <w:rPr>
          <w:spacing w:val="-3"/>
        </w:rPr>
        <w:t xml:space="preserve">Tillväxtanalys skriver följande: </w:t>
      </w:r>
      <w:r w:rsidRPr="00E73DC2" w:rsidR="000916C3">
        <w:rPr>
          <w:spacing w:val="-3"/>
        </w:rPr>
        <w:t>”</w:t>
      </w:r>
      <w:r w:rsidRPr="00E73DC2">
        <w:rPr>
          <w:spacing w:val="-3"/>
        </w:rPr>
        <w:t>Om bara prövningen av Natura 2000</w:t>
      </w:r>
      <w:r w:rsidRPr="00E73DC2" w:rsidR="000916C3">
        <w:rPr>
          <w:spacing w:val="-3"/>
        </w:rPr>
        <w:t>-</w:t>
      </w:r>
      <w:r w:rsidRPr="00E73DC2">
        <w:rPr>
          <w:spacing w:val="-3"/>
        </w:rPr>
        <w:t>bestämmelserna</w:t>
      </w:r>
      <w:r>
        <w:t xml:space="preserve"> flyttas är det inte osannolikt att Sverige i närtid står inför en situation där det </w:t>
      </w:r>
      <w:r w:rsidR="000916C3">
        <w:t>s</w:t>
      </w:r>
      <w:r>
        <w:t xml:space="preserve">venska </w:t>
      </w:r>
      <w:r w:rsidRPr="00E73DC2">
        <w:rPr>
          <w:spacing w:val="-3"/>
        </w:rPr>
        <w:t>regelverket upplevs som oförutsägbart eftersom det inte är förenligt med EU-rätten. Detta</w:t>
      </w:r>
      <w:r>
        <w:t xml:space="preserve"> kan förmodas leda till att Sverige uppfattas som ett mindre attraktivt gruvland samt leda till längre prövningsprocesser genom att regelverket tappar i legitimitet vilket lär orsaka fler överklaganden. Dessa risker och konsekvenser behöver analyseras utförligt.”</w:t>
      </w:r>
    </w:p>
    <w:p w:rsidR="00046AD8" w:rsidP="00A44AA2" w:rsidRDefault="00046AD8" w14:paraId="43A5CE2A" w14:textId="7D9B8C64">
      <w:r w:rsidRPr="00E73DC2">
        <w:rPr>
          <w:spacing w:val="-3"/>
        </w:rPr>
        <w:t>Vidare anser Miljöpartiet att 3</w:t>
      </w:r>
      <w:r w:rsidRPr="00E73DC2" w:rsidR="000916C3">
        <w:rPr>
          <w:spacing w:val="-3"/>
        </w:rPr>
        <w:t> </w:t>
      </w:r>
      <w:r w:rsidRPr="00E73DC2">
        <w:rPr>
          <w:spacing w:val="-3"/>
        </w:rPr>
        <w:t>och 4</w:t>
      </w:r>
      <w:r w:rsidRPr="00E73DC2" w:rsidR="000916C3">
        <w:rPr>
          <w:spacing w:val="-3"/>
        </w:rPr>
        <w:t> </w:t>
      </w:r>
      <w:r w:rsidRPr="00E73DC2">
        <w:rPr>
          <w:spacing w:val="-3"/>
        </w:rPr>
        <w:t>kap. miljöbalken ska tillämpas även vid prövning</w:t>
      </w:r>
      <w:r>
        <w:t xml:space="preserve"> </w:t>
      </w:r>
      <w:r w:rsidRPr="00E73DC2">
        <w:rPr>
          <w:spacing w:val="-3"/>
        </w:rPr>
        <w:t xml:space="preserve">enligt miljöbalken. I sitt yttrande skriver Lagrådet följande: </w:t>
      </w:r>
      <w:r w:rsidRPr="00E73DC2" w:rsidR="000916C3">
        <w:rPr>
          <w:spacing w:val="-3"/>
        </w:rPr>
        <w:t>”</w:t>
      </w:r>
      <w:r w:rsidRPr="00E73DC2">
        <w:rPr>
          <w:spacing w:val="-3"/>
        </w:rPr>
        <w:t>Lagrådet bedömer att frågan</w:t>
      </w:r>
      <w:r>
        <w:t xml:space="preserve"> om Natura 2000-tillståndet måste kunna prövas fristående från de bedömningar som har gjorts i koncessionsärendet för att prövningen ska leva upp till EU-rättens krav, även när bedömningsunderlagen är helt överlappande. Det måste klargöras; annars skapas enligt Lagrådets mening en besvärande rättsosäkerhet.” </w:t>
      </w:r>
    </w:p>
    <w:p w:rsidR="00046AD8" w:rsidP="00A44AA2" w:rsidRDefault="00046AD8" w14:paraId="7F5AB02D" w14:textId="2514E412">
      <w:r>
        <w:t>Mot bakgrund av detta är 4</w:t>
      </w:r>
      <w:r w:rsidR="000916C3">
        <w:t> </w:t>
      </w:r>
      <w:r>
        <w:t>kap</w:t>
      </w:r>
      <w:r w:rsidR="000916C3">
        <w:t>.</w:t>
      </w:r>
      <w:r>
        <w:t xml:space="preserve"> 2</w:t>
      </w:r>
      <w:r w:rsidR="000916C3">
        <w:t> §</w:t>
      </w:r>
      <w:r>
        <w:t xml:space="preserve"> fjärde stycket </w:t>
      </w:r>
      <w:r w:rsidR="000916C3">
        <w:t>m</w:t>
      </w:r>
      <w:r>
        <w:t>inerallagen problematiskt. (</w:t>
      </w:r>
      <w:r w:rsidR="000916C3">
        <w:t>”</w:t>
      </w:r>
      <w:r>
        <w:t xml:space="preserve">Om </w:t>
      </w:r>
      <w:r w:rsidRPr="00E73DC2">
        <w:rPr>
          <w:spacing w:val="-3"/>
        </w:rPr>
        <w:t>ett ärende om beviljande av koncession avser en verksamhet som senare ska prövas även</w:t>
      </w:r>
      <w:r>
        <w:t xml:space="preserve"> enligt miljöbalken eller andra lagar, ska 3</w:t>
      </w:r>
      <w:r w:rsidR="000916C3">
        <w:t> </w:t>
      </w:r>
      <w:r>
        <w:t>och 4</w:t>
      </w:r>
      <w:r w:rsidR="000916C3">
        <w:t> </w:t>
      </w:r>
      <w:r>
        <w:t>kap. miljöbalken tillämpas endast vid den prövning som sker i koncessionsärendet.”) Lagrådet föreslår i sitt yttrande att det bör anges att när en verksamhet senare ska prövas enligt miljöbalken eller andra lagar ska en prövning enligt 7</w:t>
      </w:r>
      <w:r w:rsidR="00D3040A">
        <w:t> </w:t>
      </w:r>
      <w:r>
        <w:t>kap. 28</w:t>
      </w:r>
      <w:r w:rsidR="00D3040A">
        <w:t> </w:t>
      </w:r>
      <w:r>
        <w:t>b</w:t>
      </w:r>
      <w:r w:rsidR="00D3040A">
        <w:t> </w:t>
      </w:r>
      <w:r>
        <w:t>§</w:t>
      </w:r>
      <w:r w:rsidR="00D3040A">
        <w:t> </w:t>
      </w:r>
      <w:r>
        <w:t>MB göras oberoende av de ställningstaganden som har gjorts i koncessionsärendet, vilket vi i Miljöpartiet ställer oss bakom.</w:t>
      </w:r>
    </w:p>
    <w:p w:rsidR="00046AD8" w:rsidP="00A44AA2" w:rsidRDefault="00046AD8" w14:paraId="1F86E17D" w14:textId="47220BDC">
      <w:r>
        <w:t xml:space="preserve">Regeringen föreslår i propositionen </w:t>
      </w:r>
      <w:r w:rsidR="00D3040A">
        <w:t xml:space="preserve">att </w:t>
      </w:r>
      <w:r>
        <w:t>i 4</w:t>
      </w:r>
      <w:r w:rsidR="00D3040A">
        <w:t> </w:t>
      </w:r>
      <w:r>
        <w:t>kap. 2</w:t>
      </w:r>
      <w:r w:rsidR="00D3040A">
        <w:t> </w:t>
      </w:r>
      <w:r>
        <w:t xml:space="preserve">§ </w:t>
      </w:r>
      <w:r w:rsidR="00D3040A">
        <w:t xml:space="preserve">minerallagen </w:t>
      </w:r>
      <w:r>
        <w:t xml:space="preserve">tillägga att </w:t>
      </w:r>
      <w:r w:rsidR="00D3040A">
        <w:t>”u</w:t>
      </w:r>
      <w:r>
        <w:t>ppgif</w:t>
      </w:r>
      <w:r w:rsidR="00E73DC2">
        <w:softHyphen/>
      </w:r>
      <w:r>
        <w:t>terna i miljökonsekvensbeskrivningen ska ha den omfattning och detaljeringsgrad som behövs för prövningen av koncessionsansökan”</w:t>
      </w:r>
      <w:r w:rsidR="00D3040A">
        <w:t>.</w:t>
      </w:r>
      <w:r>
        <w:t xml:space="preserve"> Förslaget till lagändring var inte med i den promemoria som remissinstanserna kunnat yttra sig om. </w:t>
      </w:r>
      <w:proofErr w:type="spellStart"/>
      <w:r>
        <w:t>Svemin</w:t>
      </w:r>
      <w:proofErr w:type="spellEnd"/>
      <w:r>
        <w:t xml:space="preserve"> och Talga har dock </w:t>
      </w:r>
      <w:r w:rsidRPr="00E73DC2">
        <w:rPr>
          <w:spacing w:val="-3"/>
        </w:rPr>
        <w:t xml:space="preserve">i sina remissyttranden framfört detta förslag, som </w:t>
      </w:r>
      <w:r w:rsidRPr="00E73DC2">
        <w:rPr>
          <w:spacing w:val="-3"/>
        </w:rPr>
        <w:lastRenderedPageBreak/>
        <w:t>regeringen sedan tagit vidare. Lagrådet</w:t>
      </w:r>
      <w:r>
        <w:t xml:space="preserve"> </w:t>
      </w:r>
      <w:r w:rsidRPr="00E73DC2">
        <w:rPr>
          <w:spacing w:val="-3"/>
        </w:rPr>
        <w:t>framhåller i sitt yttrande att tillägget inte anses innebära något förtydligande och bör utgå.</w:t>
      </w:r>
    </w:p>
    <w:p w:rsidR="00046AD8" w:rsidP="00A44AA2" w:rsidRDefault="00046AD8" w14:paraId="57B469D0" w14:textId="002DDBB4">
      <w:r>
        <w:t>Med anledning av vad som anförs ovan bör riksdagen avslå proposition 2023/24:126</w:t>
      </w:r>
      <w:r w:rsidR="00A44AA2">
        <w:t xml:space="preserve"> </w:t>
      </w:r>
      <w:r w:rsidRPr="00E73DC2">
        <w:rPr>
          <w:spacing w:val="-3"/>
        </w:rPr>
        <w:t>Natura 2000-tillstånd i samband med ansökan om bearbetningskoncession enligt mineral</w:t>
      </w:r>
      <w:r w:rsidRPr="00E73DC2" w:rsidR="00E73DC2">
        <w:rPr>
          <w:spacing w:val="-3"/>
        </w:rPr>
        <w:softHyphen/>
      </w:r>
      <w:r w:rsidRPr="00E73DC2">
        <w:rPr>
          <w:spacing w:val="-3"/>
        </w:rPr>
        <w:t xml:space="preserve">lagen. </w:t>
      </w:r>
      <w:r>
        <w:t xml:space="preserve">Detta bör riksdagen besluta. </w:t>
      </w:r>
    </w:p>
    <w:p w:rsidRPr="00A44AA2" w:rsidR="00046AD8" w:rsidP="00A44AA2" w:rsidRDefault="00046AD8" w14:paraId="680662F5" w14:textId="77777777">
      <w:pPr>
        <w:pStyle w:val="Rubrik2"/>
      </w:pPr>
      <w:r w:rsidRPr="00A44AA2">
        <w:t>En hållbar mineral- och metallförsörjning</w:t>
      </w:r>
    </w:p>
    <w:p w:rsidR="00046AD8" w:rsidP="00046AD8" w:rsidRDefault="00046AD8" w14:paraId="580F4CA2" w14:textId="1169AD48">
      <w:pPr>
        <w:pStyle w:val="Normalutanindragellerluft"/>
      </w:pPr>
      <w:r w:rsidRPr="0025164D">
        <w:rPr>
          <w:spacing w:val="-3"/>
        </w:rPr>
        <w:t xml:space="preserve">Gruvnäring kommer ofrånkomligt alltid </w:t>
      </w:r>
      <w:r w:rsidRPr="0025164D" w:rsidR="00D3040A">
        <w:rPr>
          <w:spacing w:val="-3"/>
        </w:rPr>
        <w:t xml:space="preserve">att </w:t>
      </w:r>
      <w:r w:rsidRPr="0025164D">
        <w:rPr>
          <w:spacing w:val="-3"/>
        </w:rPr>
        <w:t>ha en betydande miljöpåverkan. Det är därför</w:t>
      </w:r>
      <w:r>
        <w:t xml:space="preserve"> viktigt att verka för ändamålsenliga och rättssäkra prövningsprocesser, och att </w:t>
      </w:r>
      <w:r w:rsidRPr="00E73DC2">
        <w:rPr>
          <w:spacing w:val="-3"/>
        </w:rPr>
        <w:t>utöver gruvverksamheten främja innovation av nya material och cirkulära affärsmodeller</w:t>
      </w:r>
      <w:r>
        <w:t xml:space="preserve"> i syfte att minska det totala behovet av ny gruvbrytning. Vi vill att Sverige tar fram en strategi för en hållbar mineral- och metallförsörjning. </w:t>
      </w:r>
      <w:r w:rsidR="00311E1F">
        <w:t xml:space="preserve">Detta har vi redogjort för i vår partimotion 2023/24:996 </w:t>
      </w:r>
      <w:r w:rsidR="00D3040A">
        <w:t xml:space="preserve">Grön samhällsomställning </w:t>
      </w:r>
      <w:r w:rsidR="00311E1F">
        <w:t xml:space="preserve">av Per Bolund m.fl. (MP). </w:t>
      </w:r>
      <w:r>
        <w:t>Fyra fokusområden är centrala i detta arbete:</w:t>
      </w:r>
    </w:p>
    <w:p w:rsidRPr="00B85A29" w:rsidR="00046AD8" w:rsidP="00B85A29" w:rsidRDefault="00046AD8" w14:paraId="21933529" w14:textId="77777777">
      <w:pPr>
        <w:pStyle w:val="Rubrik3"/>
      </w:pPr>
      <w:r w:rsidRPr="00B85A29">
        <w:t xml:space="preserve">1. </w:t>
      </w:r>
      <w:proofErr w:type="spellStart"/>
      <w:r w:rsidRPr="00B85A29">
        <w:t>Cirkularitet</w:t>
      </w:r>
      <w:proofErr w:type="spellEnd"/>
      <w:r w:rsidRPr="00B85A29">
        <w:t xml:space="preserve"> och resurseffektivitet</w:t>
      </w:r>
    </w:p>
    <w:p w:rsidR="00046AD8" w:rsidP="00046AD8" w:rsidRDefault="00046AD8" w14:paraId="276B1D45" w14:textId="4280F079">
      <w:pPr>
        <w:pStyle w:val="Normalutanindragellerluft"/>
      </w:pPr>
      <w:r>
        <w:t>För att minimera behovet av jungfrulig brytning av mineral och metall så behöver de resurser som redan brutits användas så effektivt som möjligt i samhället. Elektronik behöver återanvändas och metallerna återvinnas. Produktdesign behöver möjliggöra återvinning och en cirkulär ekonomi. Vidare bör de mineral och metaller som kan utvinnas från deponier och slagghögar tillvaratas.</w:t>
      </w:r>
    </w:p>
    <w:p w:rsidRPr="00A44AA2" w:rsidR="00046AD8" w:rsidP="00A44AA2" w:rsidRDefault="00046AD8" w14:paraId="09D51DC8" w14:textId="77777777">
      <w:pPr>
        <w:pStyle w:val="Rubrik3"/>
      </w:pPr>
      <w:r w:rsidRPr="00A44AA2">
        <w:t>2. Alternativa material</w:t>
      </w:r>
    </w:p>
    <w:p w:rsidR="00046AD8" w:rsidP="00046AD8" w:rsidRDefault="00046AD8" w14:paraId="4FE43D00" w14:textId="0412E5B4">
      <w:pPr>
        <w:pStyle w:val="Normalutanindragellerluft"/>
      </w:pPr>
      <w:r>
        <w:t xml:space="preserve">För att minska samhällets sårbarhet och beroende av de länder som har vissa sällsynta </w:t>
      </w:r>
      <w:r w:rsidRPr="0025164D">
        <w:rPr>
          <w:spacing w:val="-3"/>
        </w:rPr>
        <w:t>jordartsmetaller behöver utvecklingen av alternativa material främjas, såsom elbilsbatterier</w:t>
      </w:r>
      <w:r>
        <w:t xml:space="preserve"> </w:t>
      </w:r>
      <w:r w:rsidRPr="0025164D">
        <w:rPr>
          <w:spacing w:val="-3"/>
        </w:rPr>
        <w:t>som inte innehåller litium. Forskning och utveckling av alternativa material till den gröna</w:t>
      </w:r>
      <w:r>
        <w:t xml:space="preserve"> omställningen ska stimuleras.</w:t>
      </w:r>
    </w:p>
    <w:p w:rsidRPr="00A44AA2" w:rsidR="00046AD8" w:rsidP="00A44AA2" w:rsidRDefault="00046AD8" w14:paraId="147BCD17" w14:textId="77777777">
      <w:pPr>
        <w:pStyle w:val="Rubrik3"/>
      </w:pPr>
      <w:r w:rsidRPr="00A44AA2">
        <w:t>3. Nya gruvor ska möta tydliga hållbarhetskrav</w:t>
      </w:r>
    </w:p>
    <w:p w:rsidR="00046AD8" w:rsidP="00046AD8" w:rsidRDefault="00046AD8" w14:paraId="6C77BA8E" w14:textId="77777777">
      <w:pPr>
        <w:pStyle w:val="Normalutanindragellerluft"/>
      </w:pPr>
      <w:r>
        <w:t>Den gröna omställningen innebär att en del nya gruvor kommer att behöva öppnas, medan alla kolgruvor, brunkolsdagbrott, skifferoljefält och oljeplattformar ska fasas ut och stängas ned. Svensk gruvbrytning ska bedriva ett offensivt hållbarhetsarbete och driva den internationella utvecklingen när det kommer till omställning till fossilfrihet, resurseffektivitet, miljöhänsyn samt social hållbarhet och mänskliga rättigheter.</w:t>
      </w:r>
    </w:p>
    <w:p w:rsidRPr="00A44AA2" w:rsidR="00046AD8" w:rsidP="00A44AA2" w:rsidRDefault="00046AD8" w14:paraId="5F260707" w14:textId="611D9333">
      <w:pPr>
        <w:pStyle w:val="Rubrik3"/>
      </w:pPr>
      <w:r w:rsidRPr="00A44AA2">
        <w:lastRenderedPageBreak/>
        <w:t>4. ”</w:t>
      </w:r>
      <w:proofErr w:type="spellStart"/>
      <w:r w:rsidRPr="00A44AA2">
        <w:t>Level</w:t>
      </w:r>
      <w:r w:rsidR="00D3040A">
        <w:t>l</w:t>
      </w:r>
      <w:r w:rsidRPr="00A44AA2">
        <w:t>ing</w:t>
      </w:r>
      <w:proofErr w:type="spellEnd"/>
      <w:r w:rsidRPr="00A44AA2">
        <w:t xml:space="preserve"> the </w:t>
      </w:r>
      <w:proofErr w:type="spellStart"/>
      <w:r w:rsidRPr="00A44AA2">
        <w:t>play</w:t>
      </w:r>
      <w:r w:rsidR="00D3040A">
        <w:t>ing</w:t>
      </w:r>
      <w:proofErr w:type="spellEnd"/>
      <w:r w:rsidR="00D3040A">
        <w:t xml:space="preserve"> </w:t>
      </w:r>
      <w:proofErr w:type="spellStart"/>
      <w:r w:rsidRPr="00A44AA2">
        <w:t>field</w:t>
      </w:r>
      <w:proofErr w:type="spellEnd"/>
      <w:r w:rsidRPr="00A44AA2">
        <w:t>” för hållbara värdekedjor globalt</w:t>
      </w:r>
    </w:p>
    <w:p w:rsidR="00046AD8" w:rsidP="00046AD8" w:rsidRDefault="00046AD8" w14:paraId="03468C44" w14:textId="4E18676C">
      <w:pPr>
        <w:pStyle w:val="Normalutanindragellerluft"/>
      </w:pPr>
      <w:r>
        <w:t>Försörjningen av metaller och mineral får aldrig vara kolonialistisk, vare sig globalt eller inom det egna landet. Vi ska verka för mänskliga rättigheter, minskad klimat</w:t>
      </w:r>
      <w:r w:rsidR="0025164D">
        <w:softHyphen/>
      </w:r>
      <w:r>
        <w:t>påverkan och stärkt miljö oavsett om en gruva är i Sverige eller i andra länder. EU:s regelverk ska stimulera gruvnäringen och dess värdekedjor att konkurrera utifrån bästa möjliga prestanda när det kommer till miljö, klimat och mänskliga rättigheter.</w:t>
      </w:r>
    </w:p>
    <w:p w:rsidR="00046AD8" w:rsidP="00B85A29" w:rsidRDefault="00046AD8" w14:paraId="447FB610" w14:textId="1944775F">
      <w:r>
        <w:t>Den gröna omställningen kräver resurser. Alltifrån järnmalm till sällsynta jordarts</w:t>
      </w:r>
      <w:r w:rsidR="0025164D">
        <w:softHyphen/>
      </w:r>
      <w:r>
        <w:t xml:space="preserve">metaller är kritiska för att den gröna samhällsomställningen ska bli möjlig. Sverige har </w:t>
      </w:r>
      <w:r w:rsidRPr="0025164D">
        <w:rPr>
          <w:spacing w:val="-3"/>
        </w:rPr>
        <w:t xml:space="preserve">en lång historia av gruvdrift och därmed såväl erfarenheter av allvarliga miljökonsekvenser </w:t>
      </w:r>
      <w:r>
        <w:t xml:space="preserve">och de risker för lokalsamhällen som gruvdrift medför som världsledande kunskap om </w:t>
      </w:r>
      <w:r w:rsidRPr="0025164D">
        <w:rPr>
          <w:spacing w:val="-3"/>
        </w:rPr>
        <w:t>hur gruvnäringens värdekedja kan bli fossilfri och om hur gruvnäringen kan arbeta bättre</w:t>
      </w:r>
      <w:r>
        <w:t xml:space="preserve"> för miljön.</w:t>
      </w:r>
    </w:p>
    <w:p w:rsidRPr="00A44AA2" w:rsidR="00046AD8" w:rsidP="00A44AA2" w:rsidRDefault="00046AD8" w14:paraId="1034A6C2" w14:textId="77777777">
      <w:pPr>
        <w:pStyle w:val="Rubrik2"/>
      </w:pPr>
      <w:r w:rsidRPr="00A44AA2">
        <w:t>Lokalsamhälle, urfolk och närmiljö</w:t>
      </w:r>
    </w:p>
    <w:p w:rsidR="00046AD8" w:rsidP="00046AD8" w:rsidRDefault="00046AD8" w14:paraId="1F54FFBF" w14:textId="72A448E2">
      <w:pPr>
        <w:pStyle w:val="Normalutanindragellerluft"/>
      </w:pPr>
      <w:r w:rsidRPr="0025164D">
        <w:rPr>
          <w:spacing w:val="-3"/>
        </w:rPr>
        <w:t>En gruvetablering har alltid en stor lokal påverkan, på lokalmiljön, kommunen, närboende</w:t>
      </w:r>
      <w:r>
        <w:t xml:space="preserve"> </w:t>
      </w:r>
      <w:r w:rsidRPr="0025164D">
        <w:rPr>
          <w:spacing w:val="-3"/>
        </w:rPr>
        <w:t xml:space="preserve">och de näringar och verksamheter som redan finns på platsen. Samhällsnyttan av en gruva </w:t>
      </w:r>
      <w:r>
        <w:t xml:space="preserve">är vanligen främst nationell och internationell, medan lokalsamhället ofta är de som får bära en gruvas negativa sidor. Det är därför centralt att lokalsamhället involveras på ett konstruktivt sätt vid planering av gruvprojekt och att urfolks rättigheter respekteras och </w:t>
      </w:r>
      <w:r w:rsidRPr="0025164D">
        <w:rPr>
          <w:spacing w:val="-3"/>
        </w:rPr>
        <w:t>beaktas. Samplanering och långsiktig samverkan mellan flera olika intressenter kan under</w:t>
      </w:r>
      <w:r w:rsidRPr="0025164D" w:rsidR="0025164D">
        <w:rPr>
          <w:spacing w:val="-3"/>
        </w:rPr>
        <w:softHyphen/>
      </w:r>
      <w:r w:rsidRPr="0025164D">
        <w:rPr>
          <w:spacing w:val="-3"/>
        </w:rPr>
        <w:t>lätta</w:t>
      </w:r>
      <w:r>
        <w:t xml:space="preserve"> att hitta konstruktiva lösningar med så liten lokal negativ påverkan som möjligt, eller att i ett tidigt skede komma fram till att en plats är olämplig för gruvetablering</w:t>
      </w:r>
      <w:r w:rsidR="00A67191">
        <w:t>,</w:t>
      </w:r>
      <w:r>
        <w:t xml:space="preserve"> vilket kan spara kostnader. En större del av de ekonomiska vinsterna av gruvverksamhet bör även tillfalla lokalsamhället.</w:t>
      </w:r>
    </w:p>
    <w:p w:rsidRPr="00A44AA2" w:rsidR="00046AD8" w:rsidP="00A44AA2" w:rsidRDefault="00046AD8" w14:paraId="1AE3F75D" w14:textId="77777777">
      <w:pPr>
        <w:pStyle w:val="Rubrik2"/>
      </w:pPr>
      <w:r w:rsidRPr="00A44AA2">
        <w:t>Klimatmål i gruv- och mineralnäringen</w:t>
      </w:r>
    </w:p>
    <w:p w:rsidR="00B85A29" w:rsidP="00046AD8" w:rsidRDefault="00046AD8" w14:paraId="74AC09E2" w14:textId="77777777">
      <w:pPr>
        <w:pStyle w:val="Normalutanindragellerluft"/>
      </w:pPr>
      <w:r>
        <w:t>I</w:t>
      </w:r>
      <w:r w:rsidR="00A67191">
        <w:t xml:space="preserve"> </w:t>
      </w:r>
      <w:r>
        <w:t xml:space="preserve">dag är gruvbolagen några av Sveriges största utsläppare av koldioxid. Om Sveriges gruvdrift på allvar ska bli en del av den gröna omställningen måste omställningen även omfatta själva gruvdriften. Gruv- och mineralnäringen har själv tagit fram klimatmål i sin färdplan inom ramen för Fossilfritt Sverige. Målen är fossilfri gruvdrift till 2035 och att samtliga bearbetningssteg är klimatneutrala och all energianvändning är fossilfri till 2045. Miljöpartiet ser mycket positivt på näringens arbete för klimatomställningen och anser att regeringen måste understödja denna omställning. </w:t>
      </w:r>
    </w:p>
    <w:sdt>
      <w:sdtPr>
        <w:alias w:val="CC_Underskrifter"/>
        <w:tag w:val="CC_Underskrifter"/>
        <w:id w:val="583496634"/>
        <w:lock w:val="sdtContentLocked"/>
        <w:placeholder>
          <w:docPart w:val="996CF73DD2F84D209DC78898345D33F8"/>
        </w:placeholder>
      </w:sdtPr>
      <w:sdtEndPr/>
      <w:sdtContent>
        <w:p w:rsidR="00A44AA2" w:rsidP="002C342F" w:rsidRDefault="00A44AA2" w14:paraId="59950560" w14:textId="69DD950D"/>
        <w:p w:rsidRPr="008E0FE2" w:rsidR="004801AC" w:rsidP="002C342F" w:rsidRDefault="0025164D" w14:paraId="49D59261" w14:textId="4DE21A21"/>
      </w:sdtContent>
    </w:sdt>
    <w:tbl>
      <w:tblPr>
        <w:tblW w:w="5000" w:type="pct"/>
        <w:tblLook w:val="04A0" w:firstRow="1" w:lastRow="0" w:firstColumn="1" w:lastColumn="0" w:noHBand="0" w:noVBand="1"/>
        <w:tblCaption w:val="underskrifter"/>
      </w:tblPr>
      <w:tblGrid>
        <w:gridCol w:w="4252"/>
        <w:gridCol w:w="4252"/>
      </w:tblGrid>
      <w:tr w:rsidR="009055A1" w14:paraId="34124DB5" w14:textId="77777777">
        <w:trPr>
          <w:cantSplit/>
        </w:trPr>
        <w:tc>
          <w:tcPr>
            <w:tcW w:w="50" w:type="pct"/>
            <w:vAlign w:val="bottom"/>
          </w:tcPr>
          <w:p w:rsidR="009055A1" w:rsidRDefault="0025164D" w14:paraId="4DF969E6" w14:textId="77777777">
            <w:pPr>
              <w:pStyle w:val="Underskrifter"/>
              <w:spacing w:after="0"/>
            </w:pPr>
            <w:r>
              <w:t xml:space="preserve">Elin </w:t>
            </w:r>
            <w:r>
              <w:t>Söderberg (MP)</w:t>
            </w:r>
          </w:p>
        </w:tc>
        <w:tc>
          <w:tcPr>
            <w:tcW w:w="50" w:type="pct"/>
            <w:vAlign w:val="bottom"/>
          </w:tcPr>
          <w:p w:rsidR="009055A1" w:rsidRDefault="009055A1" w14:paraId="74607917" w14:textId="77777777">
            <w:pPr>
              <w:pStyle w:val="Underskrifter"/>
              <w:spacing w:after="0"/>
            </w:pPr>
          </w:p>
        </w:tc>
      </w:tr>
      <w:tr w:rsidR="009055A1" w14:paraId="3502B739" w14:textId="77777777">
        <w:trPr>
          <w:cantSplit/>
        </w:trPr>
        <w:tc>
          <w:tcPr>
            <w:tcW w:w="50" w:type="pct"/>
            <w:vAlign w:val="bottom"/>
          </w:tcPr>
          <w:p w:rsidR="009055A1" w:rsidRDefault="0025164D" w14:paraId="3D3BF764" w14:textId="77777777">
            <w:pPr>
              <w:pStyle w:val="Underskrifter"/>
              <w:spacing w:after="0"/>
            </w:pPr>
            <w:r>
              <w:t>Katarina Luhr (MP)</w:t>
            </w:r>
          </w:p>
        </w:tc>
        <w:tc>
          <w:tcPr>
            <w:tcW w:w="50" w:type="pct"/>
            <w:vAlign w:val="bottom"/>
          </w:tcPr>
          <w:p w:rsidR="009055A1" w:rsidRDefault="0025164D" w14:paraId="408E7A9D" w14:textId="77777777">
            <w:pPr>
              <w:pStyle w:val="Underskrifter"/>
              <w:spacing w:after="0"/>
            </w:pPr>
            <w:r>
              <w:t>Emma Nohrén (MP)</w:t>
            </w:r>
          </w:p>
        </w:tc>
      </w:tr>
      <w:tr w:rsidR="009055A1" w14:paraId="28E3E5BD" w14:textId="77777777">
        <w:trPr>
          <w:cantSplit/>
        </w:trPr>
        <w:tc>
          <w:tcPr>
            <w:tcW w:w="50" w:type="pct"/>
            <w:vAlign w:val="bottom"/>
          </w:tcPr>
          <w:p w:rsidR="009055A1" w:rsidRDefault="0025164D" w14:paraId="443BC58C" w14:textId="77777777">
            <w:pPr>
              <w:pStyle w:val="Underskrifter"/>
              <w:spacing w:after="0"/>
            </w:pPr>
            <w:r>
              <w:t>Linus Lakso (MP)</w:t>
            </w:r>
          </w:p>
        </w:tc>
        <w:tc>
          <w:tcPr>
            <w:tcW w:w="50" w:type="pct"/>
            <w:vAlign w:val="bottom"/>
          </w:tcPr>
          <w:p w:rsidR="009055A1" w:rsidRDefault="009055A1" w14:paraId="44165C68" w14:textId="77777777">
            <w:pPr>
              <w:pStyle w:val="Underskrifter"/>
              <w:spacing w:after="0"/>
            </w:pPr>
          </w:p>
        </w:tc>
      </w:tr>
    </w:tbl>
    <w:p w:rsidR="00E33812" w:rsidRDefault="00E33812" w14:paraId="67365DA7" w14:textId="77777777"/>
    <w:sectPr w:rsidR="00E338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962C" w14:textId="77777777" w:rsidR="00CB5EF1" w:rsidRDefault="00CB5EF1" w:rsidP="000C1CAD">
      <w:pPr>
        <w:spacing w:line="240" w:lineRule="auto"/>
      </w:pPr>
      <w:r>
        <w:separator/>
      </w:r>
    </w:p>
  </w:endnote>
  <w:endnote w:type="continuationSeparator" w:id="0">
    <w:p w14:paraId="6C9D084B" w14:textId="77777777" w:rsidR="00CB5EF1" w:rsidRDefault="00CB5E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22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D3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E0A5" w14:textId="0ED4C3E5" w:rsidR="00262EA3" w:rsidRPr="002C342F" w:rsidRDefault="00262EA3" w:rsidP="002C34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84A4" w14:textId="77777777" w:rsidR="00CB5EF1" w:rsidRDefault="00CB5EF1" w:rsidP="000C1CAD">
      <w:pPr>
        <w:spacing w:line="240" w:lineRule="auto"/>
      </w:pPr>
      <w:r>
        <w:separator/>
      </w:r>
    </w:p>
  </w:footnote>
  <w:footnote w:type="continuationSeparator" w:id="0">
    <w:p w14:paraId="5855990A" w14:textId="77777777" w:rsidR="00CB5EF1" w:rsidRDefault="00CB5E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F7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8F61AE" wp14:editId="31A348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BF4964" w14:textId="6624104B" w:rsidR="00262EA3" w:rsidRDefault="0025164D" w:rsidP="008103B5">
                          <w:pPr>
                            <w:jc w:val="right"/>
                          </w:pPr>
                          <w:sdt>
                            <w:sdtPr>
                              <w:alias w:val="CC_Noformat_Partikod"/>
                              <w:tag w:val="CC_Noformat_Partikod"/>
                              <w:id w:val="-53464382"/>
                              <w:text/>
                            </w:sdtPr>
                            <w:sdtEndPr/>
                            <w:sdtContent>
                              <w:r w:rsidR="00046AD8">
                                <w:t>MP</w:t>
                              </w:r>
                            </w:sdtContent>
                          </w:sdt>
                          <w:sdt>
                            <w:sdtPr>
                              <w:alias w:val="CC_Noformat_Partinummer"/>
                              <w:tag w:val="CC_Noformat_Partinummer"/>
                              <w:id w:val="-1709555926"/>
                              <w:text/>
                            </w:sdtPr>
                            <w:sdtEndPr/>
                            <w:sdtContent>
                              <w:r w:rsidR="00A44AA2">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F61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BF4964" w14:textId="6624104B" w:rsidR="00262EA3" w:rsidRDefault="0025164D" w:rsidP="008103B5">
                    <w:pPr>
                      <w:jc w:val="right"/>
                    </w:pPr>
                    <w:sdt>
                      <w:sdtPr>
                        <w:alias w:val="CC_Noformat_Partikod"/>
                        <w:tag w:val="CC_Noformat_Partikod"/>
                        <w:id w:val="-53464382"/>
                        <w:text/>
                      </w:sdtPr>
                      <w:sdtEndPr/>
                      <w:sdtContent>
                        <w:r w:rsidR="00046AD8">
                          <w:t>MP</w:t>
                        </w:r>
                      </w:sdtContent>
                    </w:sdt>
                    <w:sdt>
                      <w:sdtPr>
                        <w:alias w:val="CC_Noformat_Partinummer"/>
                        <w:tag w:val="CC_Noformat_Partinummer"/>
                        <w:id w:val="-1709555926"/>
                        <w:text/>
                      </w:sdtPr>
                      <w:sdtEndPr/>
                      <w:sdtContent>
                        <w:r w:rsidR="00A44AA2">
                          <w:t>040</w:t>
                        </w:r>
                      </w:sdtContent>
                    </w:sdt>
                  </w:p>
                </w:txbxContent>
              </v:textbox>
              <w10:wrap anchorx="page"/>
            </v:shape>
          </w:pict>
        </mc:Fallback>
      </mc:AlternateContent>
    </w:r>
  </w:p>
  <w:p w14:paraId="6DB511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954A" w14:textId="77777777" w:rsidR="00262EA3" w:rsidRDefault="00262EA3" w:rsidP="008563AC">
    <w:pPr>
      <w:jc w:val="right"/>
    </w:pPr>
  </w:p>
  <w:p w14:paraId="538D09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C22B" w14:textId="77777777" w:rsidR="00262EA3" w:rsidRDefault="002516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1511C" wp14:editId="5F0195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AEBE45" w14:textId="492FD619" w:rsidR="00262EA3" w:rsidRDefault="0025164D" w:rsidP="00A314CF">
    <w:pPr>
      <w:pStyle w:val="FSHNormal"/>
      <w:spacing w:before="40"/>
    </w:pPr>
    <w:sdt>
      <w:sdtPr>
        <w:alias w:val="CC_Noformat_Motionstyp"/>
        <w:tag w:val="CC_Noformat_Motionstyp"/>
        <w:id w:val="1162973129"/>
        <w:lock w:val="sdtContentLocked"/>
        <w15:appearance w15:val="hidden"/>
        <w:text/>
      </w:sdtPr>
      <w:sdtEndPr/>
      <w:sdtContent>
        <w:r w:rsidR="002C342F">
          <w:t>Kommittémotion</w:t>
        </w:r>
      </w:sdtContent>
    </w:sdt>
    <w:r w:rsidR="00821B36">
      <w:t xml:space="preserve"> </w:t>
    </w:r>
    <w:sdt>
      <w:sdtPr>
        <w:alias w:val="CC_Noformat_Partikod"/>
        <w:tag w:val="CC_Noformat_Partikod"/>
        <w:id w:val="1471015553"/>
        <w:text/>
      </w:sdtPr>
      <w:sdtEndPr/>
      <w:sdtContent>
        <w:r w:rsidR="00046AD8">
          <w:t>MP</w:t>
        </w:r>
      </w:sdtContent>
    </w:sdt>
    <w:sdt>
      <w:sdtPr>
        <w:alias w:val="CC_Noformat_Partinummer"/>
        <w:tag w:val="CC_Noformat_Partinummer"/>
        <w:id w:val="-2014525982"/>
        <w:text/>
      </w:sdtPr>
      <w:sdtEndPr/>
      <w:sdtContent>
        <w:r w:rsidR="00A44AA2">
          <w:t>040</w:t>
        </w:r>
      </w:sdtContent>
    </w:sdt>
  </w:p>
  <w:p w14:paraId="00C61DF5" w14:textId="77777777" w:rsidR="00262EA3" w:rsidRPr="008227B3" w:rsidRDefault="002516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77FF05" w14:textId="6A09D668" w:rsidR="00262EA3" w:rsidRPr="008227B3" w:rsidRDefault="002516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42F">
          <w:t>2023/24</w:t>
        </w:r>
      </w:sdtContent>
    </w:sdt>
    <w:sdt>
      <w:sdtPr>
        <w:rPr>
          <w:rStyle w:val="BeteckningChar"/>
        </w:rPr>
        <w:alias w:val="CC_Noformat_Partibet"/>
        <w:tag w:val="CC_Noformat_Partibet"/>
        <w:id w:val="405810658"/>
        <w:lock w:val="sdtContentLocked"/>
        <w:placeholder>
          <w:docPart w:val="4BBEFD6A3E974A0A863D2898C311D274"/>
        </w:placeholder>
        <w:showingPlcHdr/>
        <w15:appearance w15:val="hidden"/>
        <w:text/>
      </w:sdtPr>
      <w:sdtEndPr>
        <w:rPr>
          <w:rStyle w:val="Rubrik1Char"/>
          <w:rFonts w:asciiTheme="majorHAnsi" w:hAnsiTheme="majorHAnsi"/>
          <w:sz w:val="38"/>
        </w:rPr>
      </w:sdtEndPr>
      <w:sdtContent>
        <w:r w:rsidR="002C342F">
          <w:t>:2874</w:t>
        </w:r>
      </w:sdtContent>
    </w:sdt>
  </w:p>
  <w:p w14:paraId="557F3370" w14:textId="5B324BFE" w:rsidR="00262EA3" w:rsidRDefault="0025164D" w:rsidP="00E03A3D">
    <w:pPr>
      <w:pStyle w:val="Motionr"/>
    </w:pPr>
    <w:sdt>
      <w:sdtPr>
        <w:alias w:val="CC_Noformat_Avtext"/>
        <w:tag w:val="CC_Noformat_Avtext"/>
        <w:id w:val="-2020768203"/>
        <w:lock w:val="sdtContentLocked"/>
        <w15:appearance w15:val="hidden"/>
        <w:text/>
      </w:sdtPr>
      <w:sdtEndPr/>
      <w:sdtContent>
        <w:r w:rsidR="002C342F">
          <w:t>av Elin Söderberg m.fl. (MP)</w:t>
        </w:r>
      </w:sdtContent>
    </w:sdt>
  </w:p>
  <w:sdt>
    <w:sdtPr>
      <w:alias w:val="CC_Noformat_Rubtext"/>
      <w:tag w:val="CC_Noformat_Rubtext"/>
      <w:id w:val="-218060500"/>
      <w:lock w:val="sdtLocked"/>
      <w:text/>
    </w:sdtPr>
    <w:sdtEndPr/>
    <w:sdtContent>
      <w:p w14:paraId="0BE54614" w14:textId="45A2BABE" w:rsidR="00262EA3" w:rsidRDefault="002C342F" w:rsidP="00283E0F">
        <w:pPr>
          <w:pStyle w:val="FSHRub2"/>
        </w:pPr>
        <w:r>
          <w:t>med anledning av prop. 2023/24:126 Natura 2000-tillstånd i samband med ansökan om bearbetningskoncession enligt minerallagen</w:t>
        </w:r>
      </w:p>
    </w:sdtContent>
  </w:sdt>
  <w:sdt>
    <w:sdtPr>
      <w:alias w:val="CC_Boilerplate_3"/>
      <w:tag w:val="CC_Boilerplate_3"/>
      <w:id w:val="1606463544"/>
      <w:lock w:val="sdtContentLocked"/>
      <w15:appearance w15:val="hidden"/>
      <w:text w:multiLine="1"/>
    </w:sdtPr>
    <w:sdtEndPr/>
    <w:sdtContent>
      <w:p w14:paraId="75BE20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6A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AD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6C3"/>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70E"/>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4D"/>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2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1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01"/>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A1"/>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0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A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9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29"/>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EF1"/>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0A"/>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81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C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8C"/>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1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0CAF89"/>
  <w15:chartTrackingRefBased/>
  <w15:docId w15:val="{75B8B3B6-B77F-4B61-A5C9-98EB0233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688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59704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216D1EA57404986A4FB485422B692"/>
        <w:category>
          <w:name w:val="Allmänt"/>
          <w:gallery w:val="placeholder"/>
        </w:category>
        <w:types>
          <w:type w:val="bbPlcHdr"/>
        </w:types>
        <w:behaviors>
          <w:behavior w:val="content"/>
        </w:behaviors>
        <w:guid w:val="{157F6ED8-5176-482F-9804-AEEA02D98B51}"/>
      </w:docPartPr>
      <w:docPartBody>
        <w:p w:rsidR="00F55B22" w:rsidRDefault="0083672D">
          <w:pPr>
            <w:pStyle w:val="E9E216D1EA57404986A4FB485422B692"/>
          </w:pPr>
          <w:r w:rsidRPr="005A0A93">
            <w:rPr>
              <w:rStyle w:val="Platshllartext"/>
            </w:rPr>
            <w:t>Förslag till riksdagsbeslut</w:t>
          </w:r>
        </w:p>
      </w:docPartBody>
    </w:docPart>
    <w:docPart>
      <w:docPartPr>
        <w:name w:val="F1AA8830744C4CCDB78068D832E22C41"/>
        <w:category>
          <w:name w:val="Allmänt"/>
          <w:gallery w:val="placeholder"/>
        </w:category>
        <w:types>
          <w:type w:val="bbPlcHdr"/>
        </w:types>
        <w:behaviors>
          <w:behavior w:val="content"/>
        </w:behaviors>
        <w:guid w:val="{B27B953C-69D6-455E-A789-9D176B1C4D31}"/>
      </w:docPartPr>
      <w:docPartBody>
        <w:p w:rsidR="00F55B22" w:rsidRDefault="0083672D">
          <w:pPr>
            <w:pStyle w:val="F1AA8830744C4CCDB78068D832E22C41"/>
          </w:pPr>
          <w:r w:rsidRPr="005A0A93">
            <w:rPr>
              <w:rStyle w:val="Platshllartext"/>
            </w:rPr>
            <w:t>Motivering</w:t>
          </w:r>
        </w:p>
      </w:docPartBody>
    </w:docPart>
    <w:docPart>
      <w:docPartPr>
        <w:name w:val="996CF73DD2F84D209DC78898345D33F8"/>
        <w:category>
          <w:name w:val="Allmänt"/>
          <w:gallery w:val="placeholder"/>
        </w:category>
        <w:types>
          <w:type w:val="bbPlcHdr"/>
        </w:types>
        <w:behaviors>
          <w:behavior w:val="content"/>
        </w:behaviors>
        <w:guid w:val="{7652D044-80FE-41DF-943F-32E2A062ACC2}"/>
      </w:docPartPr>
      <w:docPartBody>
        <w:p w:rsidR="00DA0194" w:rsidRDefault="00DA0194"/>
      </w:docPartBody>
    </w:docPart>
    <w:docPart>
      <w:docPartPr>
        <w:name w:val="4BBEFD6A3E974A0A863D2898C311D274"/>
        <w:category>
          <w:name w:val="Allmänt"/>
          <w:gallery w:val="placeholder"/>
        </w:category>
        <w:types>
          <w:type w:val="bbPlcHdr"/>
        </w:types>
        <w:behaviors>
          <w:behavior w:val="content"/>
        </w:behaviors>
        <w:guid w:val="{0F6AB8C6-DDD3-4525-8E67-00B3BBFD22CA}"/>
      </w:docPartPr>
      <w:docPartBody>
        <w:p w:rsidR="00000000" w:rsidRDefault="00121EF6">
          <w:r>
            <w:t>:2874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2D"/>
    <w:rsid w:val="00121EF6"/>
    <w:rsid w:val="0083672D"/>
    <w:rsid w:val="00DA0194"/>
    <w:rsid w:val="00F55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216D1EA57404986A4FB485422B692">
    <w:name w:val="E9E216D1EA57404986A4FB485422B692"/>
  </w:style>
  <w:style w:type="paragraph" w:customStyle="1" w:styleId="F1AA8830744C4CCDB78068D832E22C41">
    <w:name w:val="F1AA8830744C4CCDB78068D832E2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85601-B47D-4C13-A1F4-35901BC391D7}"/>
</file>

<file path=customXml/itemProps2.xml><?xml version="1.0" encoding="utf-8"?>
<ds:datastoreItem xmlns:ds="http://schemas.openxmlformats.org/officeDocument/2006/customXml" ds:itemID="{31CD22C7-8700-4505-A1DD-A4CDBC82DE50}"/>
</file>

<file path=customXml/itemProps3.xml><?xml version="1.0" encoding="utf-8"?>
<ds:datastoreItem xmlns:ds="http://schemas.openxmlformats.org/officeDocument/2006/customXml" ds:itemID="{66929BF1-7E41-4CB8-8351-384180BA2EB5}"/>
</file>

<file path=docProps/app.xml><?xml version="1.0" encoding="utf-8"?>
<Properties xmlns="http://schemas.openxmlformats.org/officeDocument/2006/extended-properties" xmlns:vt="http://schemas.openxmlformats.org/officeDocument/2006/docPropsVTypes">
  <Template>Normal</Template>
  <TotalTime>88</TotalTime>
  <Pages>4</Pages>
  <Words>1503</Words>
  <Characters>9141</Characters>
  <Application>Microsoft Office Word</Application>
  <DocSecurity>0</DocSecurity>
  <Lines>152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MP040 med anledning av prop  2023 24 126 Natura 2000 tillstånd i samband med ansökan om bearbetningskoncession enligt minerallagen</vt:lpstr>
      <vt:lpstr>
      </vt:lpstr>
    </vt:vector>
  </TitlesOfParts>
  <Company>Sveriges riksdag</Company>
  <LinksUpToDate>false</LinksUpToDate>
  <CharactersWithSpaces>10601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