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177FF8" w:rsidRPr="00282BFE" w:rsidTr="00B44848">
        <w:tc>
          <w:tcPr>
            <w:tcW w:w="9141" w:type="dxa"/>
          </w:tcPr>
          <w:p w:rsidR="00177FF8" w:rsidRPr="00282BFE" w:rsidRDefault="00177FF8">
            <w:pPr>
              <w:rPr>
                <w:sz w:val="22"/>
                <w:szCs w:val="22"/>
              </w:rPr>
            </w:pPr>
            <w:bookmarkStart w:id="0" w:name="_GoBack"/>
            <w:bookmarkEnd w:id="0"/>
            <w:r w:rsidRPr="00282BFE">
              <w:rPr>
                <w:sz w:val="22"/>
                <w:szCs w:val="22"/>
              </w:rPr>
              <w:t>RIKSDAGEN</w:t>
            </w:r>
          </w:p>
          <w:p w:rsidR="00177FF8" w:rsidRPr="00282BFE" w:rsidRDefault="00177FF8">
            <w:pPr>
              <w:rPr>
                <w:sz w:val="22"/>
                <w:szCs w:val="22"/>
              </w:rPr>
            </w:pPr>
            <w:r w:rsidRPr="00282BFE">
              <w:rPr>
                <w:sz w:val="22"/>
                <w:szCs w:val="22"/>
              </w:rPr>
              <w:t>MILJÖ- OCH JORDBRUKSUTSKOTTET</w:t>
            </w:r>
          </w:p>
        </w:tc>
      </w:tr>
    </w:tbl>
    <w:p w:rsidR="00177FF8" w:rsidRPr="00282BFE" w:rsidRDefault="00177FF8">
      <w:pPr>
        <w:rPr>
          <w:sz w:val="22"/>
          <w:szCs w:val="22"/>
        </w:rPr>
      </w:pPr>
    </w:p>
    <w:p w:rsidR="00177FF8" w:rsidRPr="00282BFE"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282BFE">
        <w:trPr>
          <w:cantSplit/>
          <w:trHeight w:val="742"/>
        </w:trPr>
        <w:tc>
          <w:tcPr>
            <w:tcW w:w="1985" w:type="dxa"/>
          </w:tcPr>
          <w:p w:rsidR="00177FF8" w:rsidRPr="00282BFE" w:rsidRDefault="00177FF8">
            <w:pPr>
              <w:rPr>
                <w:b/>
                <w:sz w:val="22"/>
                <w:szCs w:val="22"/>
              </w:rPr>
            </w:pPr>
            <w:r w:rsidRPr="00282BFE">
              <w:rPr>
                <w:b/>
                <w:sz w:val="22"/>
                <w:szCs w:val="22"/>
              </w:rPr>
              <w:t xml:space="preserve">PROTOKOLL </w:t>
            </w:r>
          </w:p>
        </w:tc>
        <w:tc>
          <w:tcPr>
            <w:tcW w:w="6463" w:type="dxa"/>
          </w:tcPr>
          <w:p w:rsidR="00177FF8" w:rsidRPr="00282BFE" w:rsidRDefault="00626575">
            <w:pPr>
              <w:rPr>
                <w:b/>
                <w:sz w:val="22"/>
                <w:szCs w:val="22"/>
              </w:rPr>
            </w:pPr>
            <w:r w:rsidRPr="00282BFE">
              <w:rPr>
                <w:b/>
                <w:sz w:val="22"/>
                <w:szCs w:val="22"/>
              </w:rPr>
              <w:t>UTSKOTTSSAMMANTRÄDE 20</w:t>
            </w:r>
            <w:r w:rsidR="000E777E" w:rsidRPr="00282BFE">
              <w:rPr>
                <w:b/>
                <w:sz w:val="22"/>
                <w:szCs w:val="22"/>
              </w:rPr>
              <w:t>19/20</w:t>
            </w:r>
            <w:r w:rsidR="0003479D" w:rsidRPr="00282BFE">
              <w:rPr>
                <w:b/>
                <w:sz w:val="22"/>
                <w:szCs w:val="22"/>
              </w:rPr>
              <w:t>:</w:t>
            </w:r>
            <w:r w:rsidR="001741EA" w:rsidRPr="00282BFE">
              <w:rPr>
                <w:b/>
                <w:sz w:val="22"/>
                <w:szCs w:val="22"/>
              </w:rPr>
              <w:t>1</w:t>
            </w:r>
            <w:r w:rsidR="002629A8">
              <w:rPr>
                <w:b/>
                <w:sz w:val="22"/>
                <w:szCs w:val="22"/>
              </w:rPr>
              <w:t>5</w:t>
            </w:r>
          </w:p>
          <w:p w:rsidR="00177FF8" w:rsidRPr="00282BFE" w:rsidRDefault="00177FF8">
            <w:pPr>
              <w:rPr>
                <w:b/>
                <w:sz w:val="22"/>
                <w:szCs w:val="22"/>
              </w:rPr>
            </w:pPr>
          </w:p>
        </w:tc>
      </w:tr>
      <w:tr w:rsidR="00177FF8" w:rsidRPr="00282BFE">
        <w:tc>
          <w:tcPr>
            <w:tcW w:w="1985" w:type="dxa"/>
          </w:tcPr>
          <w:p w:rsidR="00177FF8" w:rsidRPr="00282BFE" w:rsidRDefault="00177FF8">
            <w:pPr>
              <w:rPr>
                <w:sz w:val="22"/>
                <w:szCs w:val="22"/>
              </w:rPr>
            </w:pPr>
            <w:r w:rsidRPr="00282BFE">
              <w:rPr>
                <w:sz w:val="22"/>
                <w:szCs w:val="22"/>
              </w:rPr>
              <w:t>DATUM</w:t>
            </w:r>
          </w:p>
        </w:tc>
        <w:tc>
          <w:tcPr>
            <w:tcW w:w="6463" w:type="dxa"/>
          </w:tcPr>
          <w:p w:rsidR="00177FF8" w:rsidRPr="00282BFE" w:rsidRDefault="00626575" w:rsidP="00FB0559">
            <w:pPr>
              <w:rPr>
                <w:sz w:val="22"/>
                <w:szCs w:val="22"/>
              </w:rPr>
            </w:pPr>
            <w:r w:rsidRPr="00282BFE">
              <w:rPr>
                <w:sz w:val="22"/>
                <w:szCs w:val="22"/>
              </w:rPr>
              <w:t>201</w:t>
            </w:r>
            <w:r w:rsidR="001238B9" w:rsidRPr="00282BFE">
              <w:rPr>
                <w:sz w:val="22"/>
                <w:szCs w:val="22"/>
              </w:rPr>
              <w:t>9</w:t>
            </w:r>
            <w:r w:rsidR="008C2D5B" w:rsidRPr="00282BFE">
              <w:rPr>
                <w:sz w:val="22"/>
                <w:szCs w:val="22"/>
              </w:rPr>
              <w:t>-</w:t>
            </w:r>
            <w:r w:rsidR="001741EA" w:rsidRPr="00282BFE">
              <w:rPr>
                <w:sz w:val="22"/>
                <w:szCs w:val="22"/>
              </w:rPr>
              <w:t>12-1</w:t>
            </w:r>
            <w:r w:rsidR="002629A8">
              <w:rPr>
                <w:sz w:val="22"/>
                <w:szCs w:val="22"/>
              </w:rPr>
              <w:t>7</w:t>
            </w:r>
          </w:p>
        </w:tc>
      </w:tr>
      <w:tr w:rsidR="00177FF8" w:rsidRPr="00282BFE">
        <w:tc>
          <w:tcPr>
            <w:tcW w:w="1985" w:type="dxa"/>
          </w:tcPr>
          <w:p w:rsidR="00177FF8" w:rsidRPr="00282BFE" w:rsidRDefault="00177FF8">
            <w:pPr>
              <w:rPr>
                <w:sz w:val="22"/>
                <w:szCs w:val="22"/>
              </w:rPr>
            </w:pPr>
            <w:r w:rsidRPr="00282BFE">
              <w:rPr>
                <w:sz w:val="22"/>
                <w:szCs w:val="22"/>
              </w:rPr>
              <w:t>TID</w:t>
            </w:r>
          </w:p>
        </w:tc>
        <w:tc>
          <w:tcPr>
            <w:tcW w:w="6463" w:type="dxa"/>
          </w:tcPr>
          <w:p w:rsidR="00177FF8" w:rsidRPr="00282BFE" w:rsidRDefault="00F82A50" w:rsidP="00231475">
            <w:pPr>
              <w:rPr>
                <w:sz w:val="22"/>
                <w:szCs w:val="22"/>
              </w:rPr>
            </w:pPr>
            <w:r w:rsidRPr="009F699B">
              <w:rPr>
                <w:sz w:val="22"/>
                <w:szCs w:val="22"/>
              </w:rPr>
              <w:t>0</w:t>
            </w:r>
            <w:r>
              <w:rPr>
                <w:sz w:val="22"/>
                <w:szCs w:val="22"/>
              </w:rPr>
              <w:t>9</w:t>
            </w:r>
            <w:r w:rsidRPr="009F699B">
              <w:rPr>
                <w:sz w:val="22"/>
                <w:szCs w:val="22"/>
              </w:rPr>
              <w:t xml:space="preserve">.00 – </w:t>
            </w:r>
            <w:r>
              <w:rPr>
                <w:sz w:val="22"/>
                <w:szCs w:val="22"/>
              </w:rPr>
              <w:t>09.30, 09.50 – 10.20, 10.40 – 11.30</w:t>
            </w:r>
          </w:p>
        </w:tc>
      </w:tr>
      <w:tr w:rsidR="00177FF8" w:rsidRPr="00282BFE">
        <w:tc>
          <w:tcPr>
            <w:tcW w:w="1985" w:type="dxa"/>
          </w:tcPr>
          <w:p w:rsidR="00177FF8" w:rsidRPr="00282BFE" w:rsidRDefault="00177FF8">
            <w:pPr>
              <w:rPr>
                <w:sz w:val="22"/>
                <w:szCs w:val="22"/>
              </w:rPr>
            </w:pPr>
            <w:r w:rsidRPr="00282BFE">
              <w:rPr>
                <w:sz w:val="22"/>
                <w:szCs w:val="22"/>
              </w:rPr>
              <w:t>NÄRVARANDE</w:t>
            </w:r>
          </w:p>
        </w:tc>
        <w:tc>
          <w:tcPr>
            <w:tcW w:w="6463" w:type="dxa"/>
          </w:tcPr>
          <w:p w:rsidR="00177FF8" w:rsidRPr="00282BFE" w:rsidRDefault="00177FF8">
            <w:pPr>
              <w:rPr>
                <w:sz w:val="22"/>
                <w:szCs w:val="22"/>
              </w:rPr>
            </w:pPr>
            <w:r w:rsidRPr="00282BFE">
              <w:rPr>
                <w:sz w:val="22"/>
                <w:szCs w:val="22"/>
              </w:rPr>
              <w:t>Se bilaga 1</w:t>
            </w:r>
          </w:p>
        </w:tc>
      </w:tr>
    </w:tbl>
    <w:p w:rsidR="00177FF8" w:rsidRPr="00282BFE" w:rsidRDefault="00177FF8">
      <w:pPr>
        <w:rPr>
          <w:sz w:val="22"/>
          <w:szCs w:val="22"/>
        </w:rPr>
      </w:pPr>
    </w:p>
    <w:p w:rsidR="00177FF8" w:rsidRPr="00282BFE" w:rsidRDefault="00177FF8">
      <w:pPr>
        <w:tabs>
          <w:tab w:val="left" w:pos="1701"/>
        </w:tabs>
        <w:rPr>
          <w:snapToGrid w:val="0"/>
          <w:color w:val="000000"/>
          <w:sz w:val="22"/>
          <w:szCs w:val="22"/>
        </w:rPr>
      </w:pPr>
    </w:p>
    <w:tbl>
      <w:tblPr>
        <w:tblW w:w="7371" w:type="dxa"/>
        <w:tblInd w:w="993" w:type="dxa"/>
        <w:tblLayout w:type="fixed"/>
        <w:tblCellMar>
          <w:left w:w="70" w:type="dxa"/>
          <w:right w:w="70" w:type="dxa"/>
        </w:tblCellMar>
        <w:tblLook w:val="00A0" w:firstRow="1" w:lastRow="0" w:firstColumn="1" w:lastColumn="0" w:noHBand="0" w:noVBand="0"/>
      </w:tblPr>
      <w:tblGrid>
        <w:gridCol w:w="1062"/>
        <w:gridCol w:w="6309"/>
      </w:tblGrid>
      <w:tr w:rsidR="00B63F9D" w:rsidRPr="00282BFE" w:rsidTr="00B63F9D">
        <w:tc>
          <w:tcPr>
            <w:tcW w:w="1062" w:type="dxa"/>
          </w:tcPr>
          <w:p w:rsidR="00B63F9D" w:rsidRPr="00F82A50" w:rsidRDefault="00B63F9D" w:rsidP="002629A8">
            <w:pPr>
              <w:tabs>
                <w:tab w:val="left" w:pos="1701"/>
              </w:tabs>
              <w:rPr>
                <w:b/>
                <w:snapToGrid w:val="0"/>
                <w:sz w:val="22"/>
                <w:szCs w:val="22"/>
              </w:rPr>
            </w:pPr>
            <w:r w:rsidRPr="00F82A50">
              <w:rPr>
                <w:b/>
                <w:snapToGrid w:val="0"/>
                <w:sz w:val="22"/>
                <w:szCs w:val="22"/>
              </w:rPr>
              <w:t>§ 1</w:t>
            </w:r>
          </w:p>
        </w:tc>
        <w:tc>
          <w:tcPr>
            <w:tcW w:w="6309" w:type="dxa"/>
          </w:tcPr>
          <w:p w:rsidR="00F82A50" w:rsidRDefault="00F82A50" w:rsidP="00F82A50">
            <w:pPr>
              <w:tabs>
                <w:tab w:val="left" w:pos="1701"/>
              </w:tabs>
              <w:rPr>
                <w:rStyle w:val="bold"/>
                <w:b/>
                <w:sz w:val="22"/>
                <w:szCs w:val="22"/>
              </w:rPr>
            </w:pPr>
            <w:r>
              <w:rPr>
                <w:rStyle w:val="bold"/>
                <w:b/>
                <w:sz w:val="22"/>
                <w:szCs w:val="22"/>
              </w:rPr>
              <w:t xml:space="preserve">Sammanträde vid arbetsplenum </w:t>
            </w:r>
          </w:p>
          <w:p w:rsidR="00F82A50" w:rsidRPr="00F82A50" w:rsidRDefault="00F82A50" w:rsidP="00F82A50">
            <w:pPr>
              <w:tabs>
                <w:tab w:val="left" w:pos="1701"/>
              </w:tabs>
              <w:rPr>
                <w:sz w:val="22"/>
                <w:szCs w:val="22"/>
              </w:rPr>
            </w:pPr>
          </w:p>
          <w:p w:rsidR="00B63F9D" w:rsidRPr="00F82A50" w:rsidRDefault="00F82A50" w:rsidP="00F82A50">
            <w:pPr>
              <w:rPr>
                <w:rFonts w:eastAsiaTheme="minorHAnsi"/>
                <w:b/>
                <w:bCs/>
                <w:color w:val="000000"/>
                <w:sz w:val="22"/>
                <w:szCs w:val="22"/>
                <w:lang w:eastAsia="en-US"/>
              </w:rPr>
            </w:pPr>
            <w:r w:rsidRPr="00F82A50">
              <w:rPr>
                <w:sz w:val="22"/>
                <w:szCs w:val="22"/>
              </w:rPr>
              <w:t>Utskottet beslutade om att sammanträda samtidigt med arbetsplenum t</w:t>
            </w:r>
            <w:r w:rsidR="004E3CF1">
              <w:rPr>
                <w:sz w:val="22"/>
                <w:szCs w:val="22"/>
              </w:rPr>
              <w:t>isdagen</w:t>
            </w:r>
            <w:r w:rsidRPr="00F82A50">
              <w:rPr>
                <w:sz w:val="22"/>
                <w:szCs w:val="22"/>
              </w:rPr>
              <w:t xml:space="preserve"> den 17 december 2019 kl. 11.00.</w:t>
            </w:r>
          </w:p>
          <w:p w:rsidR="00B63F9D" w:rsidRPr="00F82A50" w:rsidRDefault="00B63F9D" w:rsidP="002629A8">
            <w:pPr>
              <w:rPr>
                <w:rFonts w:eastAsiaTheme="minorHAnsi"/>
                <w:b/>
                <w:bCs/>
                <w:color w:val="000000"/>
                <w:sz w:val="22"/>
                <w:szCs w:val="22"/>
                <w:lang w:eastAsia="en-US"/>
              </w:rPr>
            </w:pPr>
          </w:p>
        </w:tc>
      </w:tr>
      <w:tr w:rsidR="00B63F9D" w:rsidRPr="00282BFE" w:rsidTr="00B63F9D">
        <w:tc>
          <w:tcPr>
            <w:tcW w:w="1062" w:type="dxa"/>
          </w:tcPr>
          <w:p w:rsidR="00B63F9D" w:rsidRPr="00F82A50" w:rsidRDefault="00B63F9D" w:rsidP="002629A8">
            <w:pPr>
              <w:tabs>
                <w:tab w:val="left" w:pos="1701"/>
              </w:tabs>
              <w:rPr>
                <w:b/>
                <w:snapToGrid w:val="0"/>
                <w:sz w:val="22"/>
                <w:szCs w:val="22"/>
              </w:rPr>
            </w:pPr>
            <w:r w:rsidRPr="00F82A50">
              <w:rPr>
                <w:b/>
                <w:snapToGrid w:val="0"/>
                <w:sz w:val="22"/>
                <w:szCs w:val="22"/>
              </w:rPr>
              <w:t>§ 2</w:t>
            </w:r>
          </w:p>
          <w:p w:rsidR="00B63F9D" w:rsidRPr="00F82A50" w:rsidRDefault="00B63F9D" w:rsidP="002629A8">
            <w:pPr>
              <w:tabs>
                <w:tab w:val="left" w:pos="1701"/>
              </w:tabs>
              <w:rPr>
                <w:b/>
                <w:snapToGrid w:val="0"/>
                <w:sz w:val="22"/>
                <w:szCs w:val="22"/>
              </w:rPr>
            </w:pPr>
          </w:p>
        </w:tc>
        <w:tc>
          <w:tcPr>
            <w:tcW w:w="6309" w:type="dxa"/>
          </w:tcPr>
          <w:p w:rsidR="00B63F9D" w:rsidRDefault="009A1037" w:rsidP="00F82A50">
            <w:pPr>
              <w:pStyle w:val="Normalwebb"/>
              <w:rPr>
                <w:rFonts w:eastAsiaTheme="minorHAnsi"/>
                <w:b/>
                <w:bCs/>
                <w:color w:val="000000"/>
                <w:sz w:val="22"/>
                <w:szCs w:val="22"/>
                <w:lang w:eastAsia="en-US"/>
              </w:rPr>
            </w:pPr>
            <w:r>
              <w:rPr>
                <w:rFonts w:eastAsiaTheme="minorHAnsi"/>
                <w:b/>
                <w:bCs/>
                <w:color w:val="000000"/>
                <w:sz w:val="22"/>
                <w:szCs w:val="22"/>
                <w:lang w:eastAsia="en-US"/>
              </w:rPr>
              <w:t>Fortsatt ö</w:t>
            </w:r>
            <w:r w:rsidR="00F82A50" w:rsidRPr="00F82A50">
              <w:rPr>
                <w:rFonts w:eastAsiaTheme="minorHAnsi"/>
                <w:b/>
                <w:bCs/>
                <w:color w:val="000000"/>
                <w:sz w:val="22"/>
                <w:szCs w:val="22"/>
                <w:lang w:eastAsia="en-US"/>
              </w:rPr>
              <w:t>verläggning om Sveriges ståndpunkt avseende EU-kommissionens rekommendationer till Sverige med anledning av tidigare inlämnad bokföringsrapport enligt LULUCF-förordningen (EU 2018/841)</w:t>
            </w:r>
          </w:p>
          <w:p w:rsidR="008F7CB3" w:rsidRPr="00975155" w:rsidRDefault="008F7CB3" w:rsidP="008F7CB3">
            <w:pPr>
              <w:autoSpaceDE w:val="0"/>
              <w:autoSpaceDN w:val="0"/>
              <w:jc w:val="both"/>
              <w:textAlignment w:val="center"/>
              <w:rPr>
                <w:sz w:val="22"/>
                <w:szCs w:val="22"/>
              </w:rPr>
            </w:pPr>
            <w:r w:rsidRPr="00975155">
              <w:rPr>
                <w:sz w:val="22"/>
                <w:szCs w:val="22"/>
              </w:rPr>
              <w:t>Utskottet</w:t>
            </w:r>
            <w:r w:rsidR="009A1037">
              <w:rPr>
                <w:sz w:val="22"/>
                <w:szCs w:val="22"/>
              </w:rPr>
              <w:t xml:space="preserve"> </w:t>
            </w:r>
            <w:r w:rsidRPr="00975155">
              <w:rPr>
                <w:sz w:val="22"/>
                <w:szCs w:val="22"/>
              </w:rPr>
              <w:t xml:space="preserve">överlade med statssekreterare Eva </w:t>
            </w:r>
            <w:proofErr w:type="spellStart"/>
            <w:r w:rsidRPr="00975155">
              <w:rPr>
                <w:sz w:val="22"/>
                <w:szCs w:val="22"/>
              </w:rPr>
              <w:t>Svedling</w:t>
            </w:r>
            <w:proofErr w:type="spellEnd"/>
            <w:r w:rsidRPr="00975155">
              <w:rPr>
                <w:sz w:val="22"/>
                <w:szCs w:val="22"/>
              </w:rPr>
              <w:t xml:space="preserve"> åtföljd av medarbetare från Miljödepartementet och Näringsdepartementet. </w:t>
            </w:r>
          </w:p>
          <w:p w:rsidR="008F7CB3" w:rsidRPr="00975155" w:rsidRDefault="008F7CB3" w:rsidP="008F7CB3">
            <w:pPr>
              <w:autoSpaceDE w:val="0"/>
              <w:autoSpaceDN w:val="0"/>
              <w:jc w:val="both"/>
              <w:textAlignment w:val="center"/>
              <w:rPr>
                <w:sz w:val="22"/>
                <w:szCs w:val="22"/>
              </w:rPr>
            </w:pPr>
          </w:p>
          <w:p w:rsidR="008F7CB3" w:rsidRDefault="008F7CB3" w:rsidP="008F7CB3">
            <w:pPr>
              <w:autoSpaceDE w:val="0"/>
              <w:autoSpaceDN w:val="0"/>
              <w:jc w:val="both"/>
              <w:textAlignment w:val="center"/>
              <w:rPr>
                <w:sz w:val="22"/>
                <w:szCs w:val="22"/>
              </w:rPr>
            </w:pPr>
            <w:r w:rsidRPr="00975155">
              <w:rPr>
                <w:sz w:val="22"/>
                <w:szCs w:val="22"/>
              </w:rPr>
              <w:t>Underlaget utgjordes av Regeringskansliets överläggningspromemoria</w:t>
            </w:r>
            <w:r>
              <w:rPr>
                <w:sz w:val="22"/>
                <w:szCs w:val="22"/>
              </w:rPr>
              <w:t xml:space="preserve"> </w:t>
            </w:r>
          </w:p>
          <w:p w:rsidR="008F7CB3" w:rsidRDefault="008F7CB3" w:rsidP="008F7CB3">
            <w:pPr>
              <w:autoSpaceDE w:val="0"/>
              <w:autoSpaceDN w:val="0"/>
              <w:jc w:val="both"/>
              <w:textAlignment w:val="center"/>
              <w:rPr>
                <w:sz w:val="22"/>
                <w:szCs w:val="22"/>
              </w:rPr>
            </w:pPr>
            <w:r w:rsidRPr="00975155">
              <w:rPr>
                <w:sz w:val="22"/>
                <w:szCs w:val="22"/>
              </w:rPr>
              <w:t xml:space="preserve">(dnr </w:t>
            </w:r>
            <w:proofErr w:type="gramStart"/>
            <w:r w:rsidRPr="00975155">
              <w:rPr>
                <w:sz w:val="22"/>
                <w:szCs w:val="22"/>
              </w:rPr>
              <w:t>786-2019</w:t>
            </w:r>
            <w:proofErr w:type="gramEnd"/>
            <w:r w:rsidRPr="00975155">
              <w:rPr>
                <w:sz w:val="22"/>
                <w:szCs w:val="22"/>
              </w:rPr>
              <w:t>/20)</w:t>
            </w:r>
            <w:r>
              <w:rPr>
                <w:sz w:val="22"/>
                <w:szCs w:val="22"/>
              </w:rPr>
              <w:t xml:space="preserve">. </w:t>
            </w:r>
          </w:p>
          <w:p w:rsidR="008F7CB3" w:rsidRDefault="008F7CB3" w:rsidP="008F7CB3">
            <w:pPr>
              <w:autoSpaceDE w:val="0"/>
              <w:autoSpaceDN w:val="0"/>
              <w:jc w:val="both"/>
              <w:textAlignment w:val="center"/>
              <w:rPr>
                <w:sz w:val="22"/>
                <w:szCs w:val="22"/>
              </w:rPr>
            </w:pPr>
          </w:p>
          <w:p w:rsidR="008F7CB3" w:rsidRDefault="008F7CB3" w:rsidP="008F7CB3">
            <w:pPr>
              <w:autoSpaceDE w:val="0"/>
              <w:autoSpaceDN w:val="0"/>
              <w:jc w:val="both"/>
              <w:textAlignment w:val="center"/>
              <w:rPr>
                <w:sz w:val="22"/>
                <w:szCs w:val="22"/>
              </w:rPr>
            </w:pPr>
            <w:r w:rsidRPr="00975155">
              <w:rPr>
                <w:sz w:val="22"/>
                <w:szCs w:val="22"/>
              </w:rPr>
              <w:t xml:space="preserve">Statssekreteraren redogjorde för regeringens ståndpunkt i enlighet med överläggningspromemorian </w:t>
            </w:r>
            <w:r>
              <w:rPr>
                <w:sz w:val="22"/>
                <w:szCs w:val="22"/>
              </w:rPr>
              <w:t>(</w:t>
            </w:r>
            <w:r w:rsidRPr="00975155">
              <w:rPr>
                <w:sz w:val="22"/>
                <w:szCs w:val="22"/>
              </w:rPr>
              <w:t>bilaga 2</w:t>
            </w:r>
            <w:r>
              <w:rPr>
                <w:sz w:val="22"/>
                <w:szCs w:val="22"/>
              </w:rPr>
              <w:t>)</w:t>
            </w:r>
            <w:r w:rsidRPr="00975155">
              <w:rPr>
                <w:sz w:val="22"/>
                <w:szCs w:val="22"/>
              </w:rPr>
              <w:t>.</w:t>
            </w:r>
          </w:p>
          <w:p w:rsidR="008F7CB3" w:rsidRDefault="008F7CB3" w:rsidP="008F7CB3">
            <w:pPr>
              <w:autoSpaceDE w:val="0"/>
              <w:autoSpaceDN w:val="0"/>
              <w:jc w:val="both"/>
              <w:textAlignment w:val="center"/>
              <w:rPr>
                <w:sz w:val="22"/>
                <w:szCs w:val="22"/>
              </w:rPr>
            </w:pPr>
          </w:p>
          <w:p w:rsidR="008F7CB3" w:rsidRDefault="008F7CB3" w:rsidP="008F7CB3">
            <w:pPr>
              <w:autoSpaceDE w:val="0"/>
              <w:autoSpaceDN w:val="0"/>
              <w:jc w:val="both"/>
              <w:textAlignment w:val="center"/>
              <w:rPr>
                <w:sz w:val="22"/>
                <w:szCs w:val="22"/>
              </w:rPr>
            </w:pPr>
            <w:r w:rsidRPr="00741A68">
              <w:rPr>
                <w:sz w:val="22"/>
                <w:szCs w:val="22"/>
              </w:rPr>
              <w:t xml:space="preserve">Överläggningen motiverade </w:t>
            </w:r>
            <w:r>
              <w:rPr>
                <w:sz w:val="22"/>
                <w:szCs w:val="22"/>
              </w:rPr>
              <w:t>statssekreteraren</w:t>
            </w:r>
            <w:r w:rsidRPr="00741A68">
              <w:rPr>
                <w:sz w:val="22"/>
                <w:szCs w:val="22"/>
              </w:rPr>
              <w:t xml:space="preserve"> att göra följande tillägg till ståndpunkten: </w:t>
            </w:r>
          </w:p>
          <w:p w:rsidR="008F7CB3" w:rsidRPr="00975155" w:rsidRDefault="008F7CB3" w:rsidP="008F7CB3">
            <w:pPr>
              <w:autoSpaceDE w:val="0"/>
              <w:autoSpaceDN w:val="0"/>
              <w:jc w:val="both"/>
              <w:textAlignment w:val="center"/>
              <w:rPr>
                <w:sz w:val="22"/>
                <w:szCs w:val="22"/>
              </w:rPr>
            </w:pPr>
          </w:p>
          <w:p w:rsidR="008F7CB3" w:rsidRPr="00975155" w:rsidRDefault="008F7CB3" w:rsidP="008F7CB3">
            <w:pPr>
              <w:ind w:left="283"/>
              <w:rPr>
                <w:sz w:val="20"/>
                <w:szCs w:val="22"/>
              </w:rPr>
            </w:pPr>
            <w:r w:rsidRPr="00975155">
              <w:rPr>
                <w:sz w:val="20"/>
                <w:szCs w:val="22"/>
              </w:rPr>
              <w:t>Det bör göras en referenskörning utan klimateffekter inklusive en känslighets</w:t>
            </w:r>
            <w:r>
              <w:rPr>
                <w:sz w:val="20"/>
                <w:szCs w:val="22"/>
              </w:rPr>
              <w:softHyphen/>
            </w:r>
            <w:r w:rsidRPr="00975155">
              <w:rPr>
                <w:sz w:val="20"/>
                <w:szCs w:val="22"/>
              </w:rPr>
              <w:t xml:space="preserve">analys på hur klimatmodellen påverkar tillväxten och förrådsuppbyggnaden. </w:t>
            </w:r>
          </w:p>
          <w:p w:rsidR="008F7CB3" w:rsidRPr="00975155" w:rsidRDefault="008F7CB3" w:rsidP="008F7CB3">
            <w:pPr>
              <w:ind w:left="283"/>
              <w:rPr>
                <w:sz w:val="20"/>
                <w:szCs w:val="22"/>
              </w:rPr>
            </w:pPr>
          </w:p>
          <w:p w:rsidR="008F7CB3" w:rsidRPr="00975155" w:rsidRDefault="008F7CB3" w:rsidP="008F7CB3">
            <w:pPr>
              <w:ind w:left="283"/>
              <w:rPr>
                <w:sz w:val="20"/>
                <w:szCs w:val="22"/>
              </w:rPr>
            </w:pPr>
            <w:r w:rsidRPr="00975155">
              <w:rPr>
                <w:sz w:val="20"/>
                <w:szCs w:val="22"/>
              </w:rPr>
              <w:t>Stormmoduleringar ska genomföras. Stormfällda träd kan visserligen till viss del tillvaratas, men de träd som blåser ner i skyddade områden kommer inte tillvara</w:t>
            </w:r>
            <w:r>
              <w:rPr>
                <w:sz w:val="20"/>
                <w:szCs w:val="22"/>
              </w:rPr>
              <w:softHyphen/>
            </w:r>
            <w:r w:rsidRPr="00975155">
              <w:rPr>
                <w:sz w:val="20"/>
                <w:szCs w:val="22"/>
              </w:rPr>
              <w:t>tas utan ligger kvar i bestånden. Här behövs en analys hur detta påverkar referens</w:t>
            </w:r>
            <w:r>
              <w:rPr>
                <w:sz w:val="20"/>
                <w:szCs w:val="22"/>
              </w:rPr>
              <w:softHyphen/>
            </w:r>
            <w:r w:rsidRPr="00975155">
              <w:rPr>
                <w:sz w:val="20"/>
                <w:szCs w:val="22"/>
              </w:rPr>
              <w:t>nivån.</w:t>
            </w:r>
          </w:p>
          <w:p w:rsidR="008F7CB3" w:rsidRPr="00975155" w:rsidRDefault="008F7CB3" w:rsidP="008F7CB3">
            <w:pPr>
              <w:ind w:left="283"/>
              <w:rPr>
                <w:sz w:val="20"/>
                <w:szCs w:val="22"/>
              </w:rPr>
            </w:pPr>
          </w:p>
          <w:p w:rsidR="008F7CB3" w:rsidRPr="00975155" w:rsidRDefault="008F7CB3" w:rsidP="008F7CB3">
            <w:pPr>
              <w:ind w:left="283"/>
              <w:rPr>
                <w:sz w:val="20"/>
                <w:szCs w:val="22"/>
              </w:rPr>
            </w:pPr>
            <w:r w:rsidRPr="00975155">
              <w:rPr>
                <w:sz w:val="20"/>
                <w:szCs w:val="22"/>
              </w:rPr>
              <w:t>Konsekvenserna av den simulerade förrådsuppbyggnaden på framtida avverk</w:t>
            </w:r>
            <w:r>
              <w:rPr>
                <w:sz w:val="20"/>
                <w:szCs w:val="22"/>
              </w:rPr>
              <w:softHyphen/>
            </w:r>
            <w:r w:rsidRPr="00975155">
              <w:rPr>
                <w:sz w:val="20"/>
                <w:szCs w:val="22"/>
              </w:rPr>
              <w:t xml:space="preserve">ningsnivå behöver analyseras vidare p.g.a. risken för ökad naturlig avgång. </w:t>
            </w:r>
          </w:p>
          <w:p w:rsidR="008F7CB3" w:rsidRPr="00975155" w:rsidRDefault="008F7CB3" w:rsidP="008F7CB3">
            <w:pPr>
              <w:ind w:left="283"/>
              <w:rPr>
                <w:sz w:val="20"/>
                <w:szCs w:val="22"/>
              </w:rPr>
            </w:pPr>
          </w:p>
          <w:p w:rsidR="008F7CB3" w:rsidRPr="00975155" w:rsidRDefault="008F7CB3" w:rsidP="008F7CB3">
            <w:pPr>
              <w:ind w:left="283"/>
              <w:rPr>
                <w:sz w:val="20"/>
                <w:szCs w:val="22"/>
              </w:rPr>
            </w:pPr>
            <w:r w:rsidRPr="00975155">
              <w:rPr>
                <w:sz w:val="20"/>
                <w:szCs w:val="22"/>
              </w:rPr>
              <w:t>Regeringen bör också beskriva balansen mellan de kriterier som krävs för att få fram en skoglig referensnivå och hur olika scenarier kopplat till realistiska till</w:t>
            </w:r>
            <w:r>
              <w:rPr>
                <w:sz w:val="20"/>
                <w:szCs w:val="22"/>
              </w:rPr>
              <w:softHyphen/>
            </w:r>
            <w:r w:rsidRPr="00975155">
              <w:rPr>
                <w:sz w:val="20"/>
                <w:szCs w:val="22"/>
              </w:rPr>
              <w:t>växt</w:t>
            </w:r>
            <w:r>
              <w:rPr>
                <w:sz w:val="20"/>
                <w:szCs w:val="22"/>
              </w:rPr>
              <w:softHyphen/>
            </w:r>
            <w:r w:rsidRPr="00975155">
              <w:rPr>
                <w:sz w:val="20"/>
                <w:szCs w:val="22"/>
              </w:rPr>
              <w:t>uppskattningar och förenligheten med art 8.5 andra stycket, Annex IV del A bland annat punkterna (a) och (f) beaktats för att återspegla bl.a. förändringar i åldersbaserade skogsegenskaper.</w:t>
            </w:r>
          </w:p>
          <w:p w:rsidR="008F7CB3" w:rsidRPr="00975155" w:rsidRDefault="008F7CB3" w:rsidP="008F7CB3">
            <w:pPr>
              <w:ind w:left="283"/>
              <w:rPr>
                <w:sz w:val="20"/>
                <w:szCs w:val="22"/>
              </w:rPr>
            </w:pPr>
          </w:p>
          <w:p w:rsidR="008F7CB3" w:rsidRDefault="008F7CB3" w:rsidP="008F7CB3">
            <w:pPr>
              <w:ind w:left="283"/>
              <w:rPr>
                <w:sz w:val="20"/>
                <w:szCs w:val="22"/>
                <w:lang w:eastAsia="en-US"/>
              </w:rPr>
            </w:pPr>
            <w:r w:rsidRPr="00975155">
              <w:rPr>
                <w:sz w:val="20"/>
                <w:szCs w:val="22"/>
                <w:lang w:eastAsia="en-US"/>
              </w:rPr>
              <w:t>Regeringen ska återrapportera till utskottet så fort som möjligt efter årsskiftet tillsammans med en bedömning av huruvida det är möjligt att rapportera resultatet som en teknisk justering till EU-kommissionen.</w:t>
            </w:r>
          </w:p>
          <w:p w:rsidR="008F7CB3" w:rsidRDefault="008F7CB3" w:rsidP="008F7CB3">
            <w:pPr>
              <w:rPr>
                <w:sz w:val="20"/>
                <w:szCs w:val="22"/>
                <w:lang w:eastAsia="en-US"/>
              </w:rPr>
            </w:pPr>
          </w:p>
          <w:p w:rsidR="008F7CB3" w:rsidRPr="00741A68" w:rsidRDefault="008F7CB3" w:rsidP="008F7CB3">
            <w:pPr>
              <w:rPr>
                <w:sz w:val="22"/>
                <w:szCs w:val="22"/>
                <w:lang w:eastAsia="en-US"/>
              </w:rPr>
            </w:pPr>
            <w:r w:rsidRPr="00741A68">
              <w:rPr>
                <w:sz w:val="22"/>
                <w:szCs w:val="22"/>
                <w:lang w:eastAsia="en-US"/>
              </w:rPr>
              <w:lastRenderedPageBreak/>
              <w:t>Ordföranden konstaterade att det fanns stöd för regeringens ståndpunkt.</w:t>
            </w:r>
          </w:p>
          <w:p w:rsidR="008F7CB3" w:rsidRPr="00741A68" w:rsidRDefault="008F7CB3" w:rsidP="008F7CB3">
            <w:pPr>
              <w:rPr>
                <w:bCs/>
                <w:color w:val="000000"/>
                <w:sz w:val="22"/>
                <w:szCs w:val="22"/>
              </w:rPr>
            </w:pPr>
            <w:r w:rsidRPr="00975155">
              <w:rPr>
                <w:bCs/>
                <w:color w:val="000000"/>
                <w:sz w:val="22"/>
                <w:szCs w:val="22"/>
              </w:rPr>
              <w:br/>
            </w:r>
            <w:r w:rsidRPr="00741A68">
              <w:rPr>
                <w:bCs/>
                <w:color w:val="000000"/>
                <w:sz w:val="22"/>
                <w:szCs w:val="22"/>
              </w:rPr>
              <w:t xml:space="preserve">V-ledamoten anmälde följande avvikande ståndpunkt: </w:t>
            </w:r>
          </w:p>
          <w:p w:rsidR="008F7CB3" w:rsidRPr="00975155" w:rsidRDefault="008F7CB3" w:rsidP="008F7CB3">
            <w:pPr>
              <w:ind w:left="283"/>
              <w:rPr>
                <w:b/>
                <w:bCs/>
                <w:color w:val="000000"/>
                <w:sz w:val="22"/>
                <w:szCs w:val="22"/>
              </w:rPr>
            </w:pPr>
          </w:p>
          <w:p w:rsidR="008F7CB3" w:rsidRPr="007D5D17" w:rsidRDefault="008F7CB3" w:rsidP="007D5D17">
            <w:pPr>
              <w:ind w:left="283"/>
              <w:rPr>
                <w:sz w:val="20"/>
                <w:szCs w:val="22"/>
              </w:rPr>
            </w:pPr>
            <w:r w:rsidRPr="00BF4A88">
              <w:rPr>
                <w:sz w:val="20"/>
                <w:szCs w:val="22"/>
              </w:rPr>
              <w:t>Vänsterpartiet menar att det arbete som ligger bakom SLU:s framtagandet av referensnivån är gediget och vi ser inget behov av att ge dem uppdraget att revidera ytterligare. Vi uppfattar att syftet med det utökade uppdraget till SLU är att kunna höja referensnivån ytterligare. Istället ser Vänsterpartiet behov av en än striktare referensnivå.</w:t>
            </w:r>
          </w:p>
          <w:p w:rsidR="008F7CB3" w:rsidRPr="00975155" w:rsidRDefault="008F7CB3" w:rsidP="008F7CB3">
            <w:pPr>
              <w:widowControl/>
              <w:autoSpaceDE w:val="0"/>
              <w:autoSpaceDN w:val="0"/>
              <w:adjustRightInd w:val="0"/>
              <w:rPr>
                <w:sz w:val="22"/>
                <w:szCs w:val="22"/>
              </w:rPr>
            </w:pPr>
          </w:p>
          <w:p w:rsidR="008F7CB3" w:rsidRPr="008F7CB3" w:rsidRDefault="008F7CB3" w:rsidP="008F7CB3">
            <w:pPr>
              <w:pStyle w:val="Normalwebb"/>
              <w:rPr>
                <w:bCs/>
                <w:color w:val="000000"/>
                <w:sz w:val="22"/>
                <w:szCs w:val="22"/>
              </w:rPr>
            </w:pPr>
            <w:r w:rsidRPr="00975155">
              <w:rPr>
                <w:bCs/>
                <w:color w:val="000000"/>
                <w:sz w:val="22"/>
                <w:szCs w:val="22"/>
              </w:rPr>
              <w:t>Denna paragraf förklarades omedelbart justerad.</w:t>
            </w:r>
            <w:r>
              <w:rPr>
                <w:bCs/>
                <w:color w:val="000000"/>
                <w:sz w:val="22"/>
                <w:szCs w:val="22"/>
              </w:rPr>
              <w:br/>
            </w:r>
          </w:p>
        </w:tc>
      </w:tr>
      <w:tr w:rsidR="00B63F9D" w:rsidRPr="00282BFE" w:rsidTr="00B63F9D">
        <w:tc>
          <w:tcPr>
            <w:tcW w:w="1062" w:type="dxa"/>
          </w:tcPr>
          <w:p w:rsidR="00B63F9D" w:rsidRPr="00F82A50" w:rsidRDefault="00B63F9D" w:rsidP="002629A8">
            <w:pPr>
              <w:tabs>
                <w:tab w:val="left" w:pos="1701"/>
              </w:tabs>
              <w:rPr>
                <w:b/>
                <w:snapToGrid w:val="0"/>
                <w:sz w:val="22"/>
                <w:szCs w:val="22"/>
              </w:rPr>
            </w:pPr>
            <w:r w:rsidRPr="00F82A50">
              <w:rPr>
                <w:b/>
                <w:snapToGrid w:val="0"/>
                <w:sz w:val="22"/>
                <w:szCs w:val="22"/>
              </w:rPr>
              <w:lastRenderedPageBreak/>
              <w:t>§ 3</w:t>
            </w:r>
          </w:p>
        </w:tc>
        <w:tc>
          <w:tcPr>
            <w:tcW w:w="6309" w:type="dxa"/>
          </w:tcPr>
          <w:p w:rsidR="00B63F9D" w:rsidRDefault="00F82A50" w:rsidP="00F82A50">
            <w:pPr>
              <w:rPr>
                <w:b/>
                <w:bCs/>
                <w:color w:val="000000"/>
                <w:sz w:val="22"/>
                <w:szCs w:val="22"/>
              </w:rPr>
            </w:pPr>
            <w:r w:rsidRPr="00F82A50">
              <w:rPr>
                <w:rStyle w:val="bold"/>
                <w:b/>
                <w:sz w:val="22"/>
                <w:szCs w:val="22"/>
              </w:rPr>
              <w:t>Ordförandes tack</w:t>
            </w:r>
            <w:r w:rsidRPr="00F82A50">
              <w:rPr>
                <w:sz w:val="22"/>
                <w:szCs w:val="22"/>
              </w:rPr>
              <w:br/>
            </w:r>
            <w:r w:rsidRPr="00F82A50">
              <w:rPr>
                <w:sz w:val="22"/>
                <w:szCs w:val="22"/>
              </w:rPr>
              <w:br/>
              <w:t>Ordförande tackade utskottets ledamöter, suppleanter och utskottets kansli för arbetet under hösten och önskade alla en god jul och ett gott nytt år, ordförande tackades i sin tur av förste vice ordförande för väl genomfört arbete.</w:t>
            </w:r>
            <w:r w:rsidRPr="00F82A50">
              <w:rPr>
                <w:b/>
                <w:bCs/>
                <w:color w:val="000000"/>
                <w:sz w:val="22"/>
                <w:szCs w:val="22"/>
              </w:rPr>
              <w:t xml:space="preserve"> </w:t>
            </w:r>
          </w:p>
          <w:p w:rsidR="00F82A50" w:rsidRPr="00F82A50" w:rsidRDefault="00F82A50" w:rsidP="00F82A50">
            <w:pPr>
              <w:rPr>
                <w:b/>
                <w:bCs/>
                <w:color w:val="000000"/>
                <w:sz w:val="22"/>
                <w:szCs w:val="22"/>
              </w:rPr>
            </w:pPr>
          </w:p>
        </w:tc>
      </w:tr>
      <w:tr w:rsidR="00B63F9D" w:rsidRPr="00282BFE" w:rsidTr="00B63F9D">
        <w:tc>
          <w:tcPr>
            <w:tcW w:w="1062" w:type="dxa"/>
          </w:tcPr>
          <w:p w:rsidR="00B63F9D" w:rsidRPr="00F82A50" w:rsidRDefault="00F82A50" w:rsidP="002629A8">
            <w:pPr>
              <w:tabs>
                <w:tab w:val="left" w:pos="1701"/>
              </w:tabs>
              <w:rPr>
                <w:b/>
                <w:snapToGrid w:val="0"/>
                <w:sz w:val="22"/>
                <w:szCs w:val="22"/>
              </w:rPr>
            </w:pPr>
            <w:r w:rsidRPr="00F82A50">
              <w:rPr>
                <w:b/>
                <w:snapToGrid w:val="0"/>
                <w:sz w:val="22"/>
                <w:szCs w:val="22"/>
              </w:rPr>
              <w:t xml:space="preserve">§ 4 </w:t>
            </w:r>
          </w:p>
        </w:tc>
        <w:tc>
          <w:tcPr>
            <w:tcW w:w="6309" w:type="dxa"/>
          </w:tcPr>
          <w:p w:rsidR="00F82A50" w:rsidRPr="00F82A50" w:rsidRDefault="00F82A50" w:rsidP="00F82A50">
            <w:pPr>
              <w:rPr>
                <w:rFonts w:eastAsiaTheme="minorHAnsi"/>
                <w:bCs/>
                <w:color w:val="000000"/>
                <w:sz w:val="22"/>
                <w:szCs w:val="22"/>
                <w:lang w:eastAsia="en-US"/>
              </w:rPr>
            </w:pPr>
            <w:r w:rsidRPr="00F82A50">
              <w:rPr>
                <w:b/>
                <w:bCs/>
                <w:color w:val="000000"/>
                <w:sz w:val="22"/>
                <w:szCs w:val="22"/>
              </w:rPr>
              <w:t>Nästa sammanträde</w:t>
            </w:r>
          </w:p>
          <w:p w:rsidR="00F82A50" w:rsidRPr="00F82A50" w:rsidRDefault="00F82A50" w:rsidP="00F82A50">
            <w:pPr>
              <w:rPr>
                <w:rFonts w:eastAsiaTheme="minorHAnsi"/>
                <w:bCs/>
                <w:color w:val="000000"/>
                <w:sz w:val="22"/>
                <w:szCs w:val="22"/>
                <w:lang w:eastAsia="en-US"/>
              </w:rPr>
            </w:pPr>
          </w:p>
          <w:p w:rsidR="00B63F9D" w:rsidRPr="00F15F04" w:rsidRDefault="00F82A50" w:rsidP="00B63F9D">
            <w:pPr>
              <w:rPr>
                <w:snapToGrid w:val="0"/>
                <w:sz w:val="22"/>
                <w:szCs w:val="22"/>
              </w:rPr>
            </w:pPr>
            <w:r w:rsidRPr="00F82A50">
              <w:rPr>
                <w:snapToGrid w:val="0"/>
                <w:sz w:val="22"/>
                <w:szCs w:val="22"/>
              </w:rPr>
              <w:t>Nästa sammanträde äger rum t</w:t>
            </w:r>
            <w:r w:rsidR="00107F3E">
              <w:rPr>
                <w:snapToGrid w:val="0"/>
                <w:sz w:val="22"/>
                <w:szCs w:val="22"/>
              </w:rPr>
              <w:t>ors</w:t>
            </w:r>
            <w:r w:rsidRPr="00F82A50">
              <w:rPr>
                <w:snapToGrid w:val="0"/>
                <w:sz w:val="22"/>
                <w:szCs w:val="22"/>
              </w:rPr>
              <w:t>dagen den 23 januari 2020 kl. 08.00.</w:t>
            </w:r>
          </w:p>
          <w:p w:rsidR="00BC02A0" w:rsidRPr="00F82A50" w:rsidRDefault="00BC02A0" w:rsidP="00B63F9D">
            <w:pPr>
              <w:rPr>
                <w:b/>
                <w:bCs/>
                <w:color w:val="000000"/>
                <w:sz w:val="22"/>
                <w:szCs w:val="22"/>
              </w:rPr>
            </w:pPr>
          </w:p>
        </w:tc>
      </w:tr>
      <w:tr w:rsidR="00B63F9D" w:rsidRPr="00282BFE" w:rsidTr="00B63F9D">
        <w:tc>
          <w:tcPr>
            <w:tcW w:w="1062" w:type="dxa"/>
          </w:tcPr>
          <w:p w:rsidR="00B63F9D" w:rsidRPr="00F82A50" w:rsidRDefault="00B63F9D" w:rsidP="002629A8">
            <w:pPr>
              <w:tabs>
                <w:tab w:val="left" w:pos="1701"/>
              </w:tabs>
              <w:rPr>
                <w:sz w:val="22"/>
                <w:szCs w:val="22"/>
              </w:rPr>
            </w:pPr>
          </w:p>
        </w:tc>
        <w:tc>
          <w:tcPr>
            <w:tcW w:w="6309" w:type="dxa"/>
          </w:tcPr>
          <w:p w:rsidR="00B63F9D" w:rsidRPr="00F82A50" w:rsidRDefault="00B63F9D" w:rsidP="002629A8">
            <w:pPr>
              <w:tabs>
                <w:tab w:val="left" w:pos="1701"/>
              </w:tabs>
              <w:rPr>
                <w:sz w:val="22"/>
                <w:szCs w:val="22"/>
              </w:rPr>
            </w:pPr>
          </w:p>
          <w:p w:rsidR="00B63F9D" w:rsidRPr="00F82A50" w:rsidRDefault="00B63F9D" w:rsidP="002629A8">
            <w:pPr>
              <w:tabs>
                <w:tab w:val="left" w:pos="1701"/>
              </w:tabs>
              <w:rPr>
                <w:sz w:val="22"/>
                <w:szCs w:val="22"/>
              </w:rPr>
            </w:pPr>
            <w:r w:rsidRPr="00F82A50">
              <w:rPr>
                <w:sz w:val="22"/>
                <w:szCs w:val="22"/>
              </w:rPr>
              <w:t>Vid protokollet</w:t>
            </w:r>
          </w:p>
          <w:p w:rsidR="00B63F9D" w:rsidRPr="00F82A50" w:rsidRDefault="00B63F9D" w:rsidP="002629A8">
            <w:pPr>
              <w:tabs>
                <w:tab w:val="left" w:pos="1701"/>
              </w:tabs>
              <w:rPr>
                <w:sz w:val="22"/>
                <w:szCs w:val="22"/>
              </w:rPr>
            </w:pPr>
          </w:p>
          <w:p w:rsidR="00B63F9D" w:rsidRPr="00F82A50" w:rsidRDefault="00B63F9D" w:rsidP="002629A8">
            <w:pPr>
              <w:tabs>
                <w:tab w:val="left" w:pos="1701"/>
              </w:tabs>
              <w:rPr>
                <w:sz w:val="22"/>
                <w:szCs w:val="22"/>
              </w:rPr>
            </w:pPr>
          </w:p>
          <w:p w:rsidR="00B63F9D" w:rsidRDefault="00B63F9D" w:rsidP="002629A8">
            <w:pPr>
              <w:tabs>
                <w:tab w:val="left" w:pos="1701"/>
              </w:tabs>
              <w:rPr>
                <w:sz w:val="22"/>
                <w:szCs w:val="22"/>
              </w:rPr>
            </w:pPr>
            <w:r w:rsidRPr="00F82A50">
              <w:rPr>
                <w:sz w:val="22"/>
                <w:szCs w:val="22"/>
              </w:rPr>
              <w:t>Justeras den 23 januari 2020</w:t>
            </w:r>
          </w:p>
          <w:p w:rsidR="001325BA" w:rsidRDefault="001325BA" w:rsidP="002629A8">
            <w:pPr>
              <w:tabs>
                <w:tab w:val="left" w:pos="1701"/>
              </w:tabs>
              <w:rPr>
                <w:sz w:val="22"/>
                <w:szCs w:val="22"/>
              </w:rPr>
            </w:pPr>
          </w:p>
          <w:p w:rsidR="001325BA" w:rsidRPr="00F82A50" w:rsidRDefault="001325BA" w:rsidP="002629A8">
            <w:pPr>
              <w:tabs>
                <w:tab w:val="left" w:pos="1701"/>
              </w:tabs>
              <w:rPr>
                <w:sz w:val="22"/>
                <w:szCs w:val="22"/>
              </w:rPr>
            </w:pPr>
            <w:r>
              <w:rPr>
                <w:sz w:val="22"/>
                <w:szCs w:val="22"/>
              </w:rPr>
              <w:t>Kristina Yngwe</w:t>
            </w:r>
          </w:p>
          <w:p w:rsidR="00B63F9D" w:rsidRPr="00F82A50" w:rsidRDefault="00B63F9D" w:rsidP="002629A8">
            <w:pPr>
              <w:tabs>
                <w:tab w:val="left" w:pos="1701"/>
              </w:tabs>
              <w:rPr>
                <w:sz w:val="22"/>
                <w:szCs w:val="22"/>
              </w:rPr>
            </w:pPr>
          </w:p>
        </w:tc>
      </w:tr>
    </w:tbl>
    <w:p w:rsidR="00177FF8" w:rsidRPr="00282BFE" w:rsidRDefault="00177FF8">
      <w:pPr>
        <w:tabs>
          <w:tab w:val="left" w:pos="1701"/>
        </w:tabs>
        <w:rPr>
          <w:sz w:val="22"/>
          <w:szCs w:val="22"/>
        </w:rPr>
      </w:pPr>
    </w:p>
    <w:p w:rsidR="00B96E81" w:rsidRPr="00282BFE" w:rsidRDefault="00B96E81" w:rsidP="001806D9">
      <w:pPr>
        <w:pStyle w:val="Brdtext"/>
        <w:rPr>
          <w:sz w:val="22"/>
          <w:szCs w:val="22"/>
        </w:rPr>
        <w:sectPr w:rsidR="00B96E81" w:rsidRPr="00282BFE" w:rsidSect="008F7CB3">
          <w:footerReference w:type="even" r:id="rId8"/>
          <w:footerReference w:type="default" r:id="rId9"/>
          <w:pgSz w:w="11906" w:h="16838" w:code="9"/>
          <w:pgMar w:top="1417" w:right="1417" w:bottom="1417" w:left="1417" w:header="720" w:footer="720" w:gutter="0"/>
          <w:cols w:space="720"/>
          <w:titlePg/>
          <w:docGrid w:linePitch="326"/>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282BFE" w:rsidTr="005A0266">
        <w:trPr>
          <w:gridAfter w:val="1"/>
          <w:wAfter w:w="142" w:type="dxa"/>
        </w:trPr>
        <w:tc>
          <w:tcPr>
            <w:tcW w:w="3969" w:type="dxa"/>
            <w:tcBorders>
              <w:top w:val="nil"/>
              <w:left w:val="nil"/>
              <w:bottom w:val="nil"/>
              <w:right w:val="nil"/>
            </w:tcBorders>
          </w:tcPr>
          <w:p w:rsidR="009823FA" w:rsidRPr="00282BFE" w:rsidRDefault="009823FA" w:rsidP="005A0266">
            <w:pPr>
              <w:tabs>
                <w:tab w:val="left" w:pos="1701"/>
              </w:tabs>
              <w:rPr>
                <w:sz w:val="22"/>
                <w:szCs w:val="22"/>
              </w:rPr>
            </w:pPr>
            <w:bookmarkStart w:id="1" w:name="_Hlk27486478"/>
            <w:r w:rsidRPr="00282BFE">
              <w:rPr>
                <w:sz w:val="22"/>
                <w:szCs w:val="22"/>
              </w:rPr>
              <w:lastRenderedPageBreak/>
              <w:br w:type="page"/>
            </w:r>
            <w:r w:rsidRPr="00282BFE">
              <w:rPr>
                <w:sz w:val="22"/>
                <w:szCs w:val="22"/>
              </w:rPr>
              <w:br w:type="page"/>
              <w:t>MILJÖ- OCH JORDBRUKS- UTSKOTTET</w:t>
            </w:r>
          </w:p>
        </w:tc>
        <w:tc>
          <w:tcPr>
            <w:tcW w:w="3260" w:type="dxa"/>
            <w:gridSpan w:val="8"/>
            <w:tcBorders>
              <w:top w:val="nil"/>
              <w:left w:val="nil"/>
              <w:bottom w:val="nil"/>
              <w:right w:val="nil"/>
            </w:tcBorders>
          </w:tcPr>
          <w:p w:rsidR="009823FA" w:rsidRPr="00282BFE" w:rsidRDefault="009823FA" w:rsidP="005A0266">
            <w:pPr>
              <w:tabs>
                <w:tab w:val="left" w:pos="1701"/>
              </w:tabs>
              <w:rPr>
                <w:b/>
                <w:sz w:val="22"/>
                <w:szCs w:val="22"/>
              </w:rPr>
            </w:pPr>
            <w:r w:rsidRPr="00282BFE">
              <w:rPr>
                <w:b/>
                <w:sz w:val="22"/>
                <w:szCs w:val="22"/>
              </w:rPr>
              <w:t>NÄRVAROFÖRTECKNING</w:t>
            </w:r>
          </w:p>
        </w:tc>
        <w:tc>
          <w:tcPr>
            <w:tcW w:w="1843" w:type="dxa"/>
            <w:gridSpan w:val="5"/>
            <w:tcBorders>
              <w:top w:val="nil"/>
              <w:left w:val="nil"/>
              <w:bottom w:val="nil"/>
              <w:right w:val="nil"/>
            </w:tcBorders>
          </w:tcPr>
          <w:p w:rsidR="009823FA" w:rsidRPr="00282BFE" w:rsidRDefault="009823FA" w:rsidP="005A0266">
            <w:pPr>
              <w:tabs>
                <w:tab w:val="left" w:pos="1701"/>
              </w:tabs>
              <w:rPr>
                <w:sz w:val="22"/>
                <w:szCs w:val="22"/>
              </w:rPr>
            </w:pPr>
            <w:r w:rsidRPr="00282BFE">
              <w:rPr>
                <w:b/>
                <w:sz w:val="22"/>
                <w:szCs w:val="22"/>
              </w:rPr>
              <w:t xml:space="preserve">Bilaga 1 </w:t>
            </w:r>
            <w:r w:rsidRPr="00282BFE">
              <w:rPr>
                <w:sz w:val="22"/>
                <w:szCs w:val="22"/>
              </w:rPr>
              <w:t xml:space="preserve">till </w:t>
            </w:r>
          </w:p>
          <w:p w:rsidR="009823FA" w:rsidRPr="00282BFE" w:rsidRDefault="009823FA" w:rsidP="005A0266">
            <w:pPr>
              <w:tabs>
                <w:tab w:val="left" w:pos="1701"/>
              </w:tabs>
              <w:rPr>
                <w:sz w:val="22"/>
                <w:szCs w:val="22"/>
              </w:rPr>
            </w:pPr>
            <w:r w:rsidRPr="00282BFE">
              <w:rPr>
                <w:sz w:val="22"/>
                <w:szCs w:val="22"/>
              </w:rPr>
              <w:t>prot. 201</w:t>
            </w:r>
            <w:r w:rsidR="000E777E" w:rsidRPr="00282BFE">
              <w:rPr>
                <w:sz w:val="22"/>
                <w:szCs w:val="22"/>
              </w:rPr>
              <w:t>9</w:t>
            </w:r>
            <w:r w:rsidRPr="00282BFE">
              <w:rPr>
                <w:sz w:val="22"/>
                <w:szCs w:val="22"/>
              </w:rPr>
              <w:t>/</w:t>
            </w:r>
            <w:r w:rsidR="000E777E" w:rsidRPr="00282BFE">
              <w:rPr>
                <w:sz w:val="22"/>
                <w:szCs w:val="22"/>
              </w:rPr>
              <w:t>20</w:t>
            </w:r>
            <w:r w:rsidRPr="00282BFE">
              <w:rPr>
                <w:sz w:val="22"/>
                <w:szCs w:val="22"/>
              </w:rPr>
              <w:t>:</w:t>
            </w:r>
            <w:r w:rsidR="00601F54" w:rsidRPr="00282BFE">
              <w:rPr>
                <w:sz w:val="22"/>
                <w:szCs w:val="22"/>
              </w:rPr>
              <w:t>1</w:t>
            </w:r>
            <w:r w:rsidR="002629A8">
              <w:rPr>
                <w:sz w:val="22"/>
                <w:szCs w:val="22"/>
              </w:rPr>
              <w:t>5</w:t>
            </w:r>
          </w:p>
        </w:tc>
      </w:tr>
      <w:bookmarkEnd w:id="1"/>
      <w:tr w:rsidR="009823FA"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282BFE"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 xml:space="preserve">§ </w:t>
            </w:r>
            <w:r w:rsidR="00E413D1">
              <w:rPr>
                <w:sz w:val="22"/>
                <w:szCs w:val="22"/>
              </w:rPr>
              <w:t>1</w:t>
            </w:r>
            <w:r w:rsidR="00F82A50">
              <w:rPr>
                <w:sz w:val="22"/>
                <w:szCs w:val="22"/>
              </w:rPr>
              <w:t xml:space="preserve"> – 4 </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Kristina Yngwe (C),</w:t>
            </w:r>
            <w:r w:rsidRPr="00282BFE">
              <w:rPr>
                <w:color w:val="000000"/>
                <w:sz w:val="22"/>
                <w:szCs w:val="22"/>
                <w:lang w:val="en-US"/>
              </w:rPr>
              <w:t xml:space="preserve"> </w:t>
            </w:r>
            <w:proofErr w:type="spellStart"/>
            <w:r w:rsidRPr="00282BFE">
              <w:rPr>
                <w:color w:val="000000"/>
                <w:sz w:val="22"/>
                <w:szCs w:val="22"/>
                <w:lang w:val="en-US"/>
              </w:rPr>
              <w:t>ordf</w:t>
            </w:r>
            <w:proofErr w:type="spellEnd"/>
            <w:r w:rsidRPr="00282BFE">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val="en-US" w:eastAsia="en-US"/>
              </w:rPr>
            </w:pPr>
            <w:r w:rsidRPr="00282BFE">
              <w:rPr>
                <w:sz w:val="22"/>
                <w:szCs w:val="22"/>
                <w:lang w:val="en-US" w:eastAsia="en-US"/>
              </w:rPr>
              <w:t xml:space="preserve">Jessica Rosencrantz (M), </w:t>
            </w:r>
            <w:proofErr w:type="spellStart"/>
            <w:r w:rsidRPr="00282BFE">
              <w:rPr>
                <w:sz w:val="22"/>
                <w:szCs w:val="22"/>
                <w:lang w:val="en-US" w:eastAsia="en-US"/>
              </w:rPr>
              <w:t>andre</w:t>
            </w:r>
            <w:proofErr w:type="spellEnd"/>
            <w:r w:rsidRPr="00282BFE">
              <w:rPr>
                <w:sz w:val="22"/>
                <w:szCs w:val="22"/>
                <w:lang w:val="en-US" w:eastAsia="en-US"/>
              </w:rPr>
              <w:t xml:space="preserve"> vice </w:t>
            </w:r>
            <w:proofErr w:type="spellStart"/>
            <w:r w:rsidRPr="00282BFE">
              <w:rPr>
                <w:sz w:val="22"/>
                <w:szCs w:val="22"/>
                <w:lang w:val="en-US" w:eastAsia="en-US"/>
              </w:rPr>
              <w:t>ordf</w:t>
            </w:r>
            <w:proofErr w:type="spellEnd"/>
            <w:r w:rsidRPr="00282BFE">
              <w:rPr>
                <w:sz w:val="22"/>
                <w:szCs w:val="22"/>
                <w:lang w:val="en-US" w:eastAsia="en-US"/>
              </w:rPr>
              <w:t>.</w:t>
            </w:r>
          </w:p>
          <w:p w:rsidR="00B40F4D" w:rsidRPr="00282BFE" w:rsidRDefault="00B40F4D" w:rsidP="00B40F4D">
            <w:pPr>
              <w:spacing w:line="256" w:lineRule="auto"/>
              <w:rPr>
                <w:sz w:val="22"/>
                <w:szCs w:val="22"/>
                <w:lang w:val="en-US" w:eastAsia="en-US"/>
              </w:rPr>
            </w:pPr>
            <w:proofErr w:type="spellStart"/>
            <w:r w:rsidRPr="00282BFE">
              <w:rPr>
                <w:sz w:val="22"/>
                <w:szCs w:val="22"/>
                <w:lang w:val="en-US" w:eastAsia="en-US"/>
              </w:rPr>
              <w:t>tjl</w:t>
            </w:r>
            <w:proofErr w:type="spellEnd"/>
            <w:r w:rsidRPr="00282BFE">
              <w:rPr>
                <w:sz w:val="22"/>
                <w:szCs w:val="22"/>
                <w:lang w:val="en-US" w:eastAsia="en-US"/>
              </w:rPr>
              <w:t xml:space="preserve">. </w:t>
            </w:r>
            <w:proofErr w:type="spellStart"/>
            <w:r w:rsidRPr="00282BFE">
              <w:rPr>
                <w:sz w:val="22"/>
                <w:szCs w:val="22"/>
                <w:lang w:val="en-US" w:eastAsia="en-US"/>
              </w:rPr>
              <w:t>t.o.m</w:t>
            </w:r>
            <w:proofErr w:type="spellEnd"/>
            <w:r w:rsidRPr="00282BFE">
              <w:rPr>
                <w:sz w:val="22"/>
                <w:szCs w:val="22"/>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282BFE">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val="en-US" w:eastAsia="en-US"/>
              </w:rPr>
            </w:pPr>
            <w:r w:rsidRPr="00282BFE">
              <w:rPr>
                <w:sz w:val="22"/>
                <w:szCs w:val="22"/>
                <w:lang w:val="en-US" w:eastAsia="en-US"/>
              </w:rPr>
              <w:t xml:space="preserve">Isak </w:t>
            </w:r>
            <w:proofErr w:type="gramStart"/>
            <w:r w:rsidRPr="00282BFE">
              <w:rPr>
                <w:sz w:val="22"/>
                <w:szCs w:val="22"/>
                <w:lang w:val="en-US" w:eastAsia="en-US"/>
              </w:rPr>
              <w:t>From</w:t>
            </w:r>
            <w:proofErr w:type="gramEnd"/>
            <w:r w:rsidRPr="00282BFE">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C54D0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82A5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C54D0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2629A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214162" w:rsidP="00B40F4D">
            <w:pPr>
              <w:spacing w:line="256" w:lineRule="auto"/>
              <w:rPr>
                <w:sz w:val="22"/>
                <w:szCs w:val="22"/>
                <w:lang w:eastAsia="en-US"/>
              </w:rPr>
            </w:pPr>
            <w:r w:rsidRPr="00282BFE">
              <w:rPr>
                <w:sz w:val="22"/>
                <w:szCs w:val="22"/>
                <w:lang w:eastAsia="en-US"/>
              </w:rPr>
              <w:t>Nina Lundström</w:t>
            </w:r>
            <w:r w:rsidR="00B40F4D" w:rsidRPr="00282BFE">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E413D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C54D0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b/>
                <w:i/>
                <w:sz w:val="22"/>
                <w:szCs w:val="22"/>
                <w:lang w:eastAsia="en-US"/>
              </w:rPr>
            </w:pPr>
            <w:r w:rsidRPr="00282BFE">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82A5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6D5F8F" w:rsidP="00B40F4D">
            <w:pPr>
              <w:tabs>
                <w:tab w:val="left" w:pos="2268"/>
                <w:tab w:val="left" w:pos="2977"/>
                <w:tab w:val="left" w:pos="4536"/>
              </w:tabs>
              <w:spacing w:line="256" w:lineRule="auto"/>
              <w:rPr>
                <w:sz w:val="22"/>
                <w:szCs w:val="22"/>
                <w:lang w:eastAsia="en-US"/>
              </w:rPr>
            </w:pPr>
            <w:r w:rsidRPr="00282BFE">
              <w:rPr>
                <w:sz w:val="22"/>
                <w:szCs w:val="22"/>
              </w:rPr>
              <w:t xml:space="preserve">Louise Meijer (M), </w:t>
            </w:r>
            <w:proofErr w:type="spellStart"/>
            <w:r w:rsidRPr="00282BFE">
              <w:rPr>
                <w:sz w:val="22"/>
                <w:szCs w:val="22"/>
                <w:lang w:val="en-US" w:eastAsia="en-US"/>
              </w:rPr>
              <w:t>vik</w:t>
            </w:r>
            <w:proofErr w:type="spellEnd"/>
            <w:r w:rsidRPr="00282BFE">
              <w:rPr>
                <w:sz w:val="22"/>
                <w:szCs w:val="22"/>
                <w:lang w:val="en-US" w:eastAsia="en-US"/>
              </w:rPr>
              <w:t xml:space="preserve">. </w:t>
            </w:r>
            <w:proofErr w:type="spellStart"/>
            <w:r w:rsidRPr="00282BFE">
              <w:rPr>
                <w:sz w:val="22"/>
                <w:szCs w:val="22"/>
                <w:lang w:val="en-US" w:eastAsia="en-US"/>
              </w:rPr>
              <w:t>andre</w:t>
            </w:r>
            <w:proofErr w:type="spellEnd"/>
            <w:r w:rsidRPr="00282BFE">
              <w:rPr>
                <w:sz w:val="22"/>
                <w:szCs w:val="22"/>
                <w:lang w:val="en-US" w:eastAsia="en-US"/>
              </w:rPr>
              <w:t xml:space="preserve"> vice </w:t>
            </w:r>
            <w:proofErr w:type="spellStart"/>
            <w:r w:rsidRPr="00282BFE">
              <w:rPr>
                <w:sz w:val="22"/>
                <w:szCs w:val="22"/>
                <w:lang w:val="en-US" w:eastAsia="en-US"/>
              </w:rPr>
              <w:t>ordf</w:t>
            </w:r>
            <w:proofErr w:type="spellEnd"/>
            <w:r w:rsidRPr="00282BFE">
              <w:rPr>
                <w:sz w:val="22"/>
                <w:szCs w:val="22"/>
                <w:lang w:val="en-US" w:eastAsia="en-US"/>
              </w:rPr>
              <w:t xml:space="preserve">. </w:t>
            </w:r>
            <w:proofErr w:type="spellStart"/>
            <w:r w:rsidRPr="00282BFE">
              <w:rPr>
                <w:sz w:val="22"/>
                <w:szCs w:val="22"/>
                <w:lang w:val="en-US" w:eastAsia="en-US"/>
              </w:rPr>
              <w:t>t.o.m</w:t>
            </w:r>
            <w:proofErr w:type="spellEnd"/>
            <w:r w:rsidRPr="00282BFE">
              <w:rPr>
                <w:sz w:val="22"/>
                <w:szCs w:val="22"/>
                <w:lang w:val="en-US" w:eastAsia="en-US"/>
              </w:rPr>
              <w:t xml:space="preserve"> 2020-05-03</w:t>
            </w:r>
            <w:r w:rsidR="00B40F4D" w:rsidRPr="00282BFE">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C54D0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C54D0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rPr>
              <w:t xml:space="preserve">Birger </w:t>
            </w:r>
            <w:r w:rsidRPr="00282BFE">
              <w:rPr>
                <w:sz w:val="22"/>
                <w:szCs w:val="22"/>
                <w:lang w:eastAsia="en-US"/>
              </w:rPr>
              <w:t>Lahti</w:t>
            </w:r>
            <w:r w:rsidRPr="00282BFE">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82A5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C54D0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7B448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282BFE" w:rsidRDefault="006D5F8F" w:rsidP="00B40F4D">
            <w:pPr>
              <w:tabs>
                <w:tab w:val="left" w:pos="2268"/>
                <w:tab w:val="left" w:pos="2977"/>
                <w:tab w:val="left" w:pos="4536"/>
              </w:tabs>
              <w:spacing w:line="256" w:lineRule="auto"/>
              <w:rPr>
                <w:sz w:val="22"/>
                <w:szCs w:val="22"/>
              </w:rPr>
            </w:pPr>
            <w:r w:rsidRPr="00282BFE">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C54D0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N = Närvarande</w:t>
            </w:r>
          </w:p>
        </w:tc>
        <w:tc>
          <w:tcPr>
            <w:tcW w:w="5245" w:type="dxa"/>
            <w:gridSpan w:val="14"/>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X = ledamöter som deltagit i handläggningen</w:t>
            </w:r>
          </w:p>
        </w:tc>
      </w:tr>
      <w:tr w:rsidR="00B40F4D" w:rsidRPr="00282BFE"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V = Votering</w:t>
            </w:r>
          </w:p>
        </w:tc>
        <w:tc>
          <w:tcPr>
            <w:tcW w:w="5245" w:type="dxa"/>
            <w:gridSpan w:val="14"/>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O = ledamöter som härutöver har varit närvarande</w:t>
            </w:r>
          </w:p>
        </w:tc>
      </w:tr>
    </w:tbl>
    <w:p w:rsidR="008F7CB3" w:rsidRPr="00282BFE" w:rsidRDefault="004E3CF1" w:rsidP="004E3CF1">
      <w:pPr>
        <w:widowControl/>
        <w:rPr>
          <w:sz w:val="22"/>
          <w:szCs w:val="22"/>
        </w:rPr>
      </w:pPr>
      <w:r>
        <w:rPr>
          <w:sz w:val="22"/>
          <w:szCs w:val="22"/>
        </w:rPr>
        <w:br w:type="page"/>
      </w:r>
    </w:p>
    <w:tbl>
      <w:tblPr>
        <w:tblW w:w="9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8F7CB3" w:rsidRPr="00282BFE" w:rsidTr="00094B75">
        <w:tc>
          <w:tcPr>
            <w:tcW w:w="9640" w:type="dxa"/>
            <w:tcBorders>
              <w:top w:val="nil"/>
              <w:left w:val="nil"/>
              <w:bottom w:val="nil"/>
              <w:right w:val="nil"/>
            </w:tcBorders>
          </w:tcPr>
          <w:p w:rsidR="008F7CB3" w:rsidRPr="00282BFE" w:rsidRDefault="008F7CB3" w:rsidP="00094B75">
            <w:pPr>
              <w:tabs>
                <w:tab w:val="left" w:pos="1701"/>
              </w:tabs>
              <w:jc w:val="right"/>
              <w:rPr>
                <w:sz w:val="22"/>
                <w:szCs w:val="22"/>
              </w:rPr>
            </w:pPr>
            <w:r w:rsidRPr="00282BFE">
              <w:rPr>
                <w:b/>
                <w:sz w:val="22"/>
                <w:szCs w:val="22"/>
              </w:rPr>
              <w:lastRenderedPageBreak/>
              <w:t xml:space="preserve">Bilaga </w:t>
            </w:r>
            <w:r>
              <w:rPr>
                <w:b/>
                <w:sz w:val="22"/>
                <w:szCs w:val="22"/>
              </w:rPr>
              <w:t>2</w:t>
            </w:r>
            <w:r w:rsidRPr="00282BFE">
              <w:rPr>
                <w:b/>
                <w:sz w:val="22"/>
                <w:szCs w:val="22"/>
              </w:rPr>
              <w:t xml:space="preserve"> </w:t>
            </w:r>
            <w:r w:rsidRPr="00282BFE">
              <w:rPr>
                <w:sz w:val="22"/>
                <w:szCs w:val="22"/>
              </w:rPr>
              <w:t xml:space="preserve">till </w:t>
            </w:r>
          </w:p>
          <w:p w:rsidR="008F7CB3" w:rsidRPr="00282BFE" w:rsidRDefault="008F7CB3" w:rsidP="00094B75">
            <w:pPr>
              <w:tabs>
                <w:tab w:val="left" w:pos="1701"/>
              </w:tabs>
              <w:jc w:val="right"/>
              <w:rPr>
                <w:sz w:val="22"/>
                <w:szCs w:val="22"/>
              </w:rPr>
            </w:pPr>
            <w:r w:rsidRPr="00282BFE">
              <w:rPr>
                <w:sz w:val="22"/>
                <w:szCs w:val="22"/>
              </w:rPr>
              <w:t>prot. 2019/20:1</w:t>
            </w:r>
            <w:r>
              <w:rPr>
                <w:sz w:val="22"/>
                <w:szCs w:val="22"/>
              </w:rPr>
              <w:t>5</w:t>
            </w:r>
          </w:p>
        </w:tc>
      </w:tr>
      <w:tr w:rsidR="008F7CB3" w:rsidRPr="00975155" w:rsidTr="00094B75">
        <w:tc>
          <w:tcPr>
            <w:tcW w:w="9640" w:type="dxa"/>
            <w:tcBorders>
              <w:top w:val="nil"/>
              <w:left w:val="nil"/>
              <w:bottom w:val="nil"/>
              <w:right w:val="nil"/>
            </w:tcBorders>
          </w:tcPr>
          <w:p w:rsidR="008F7CB3" w:rsidRDefault="008F7CB3" w:rsidP="00094B75">
            <w:pPr>
              <w:tabs>
                <w:tab w:val="left" w:pos="1701"/>
              </w:tabs>
              <w:rPr>
                <w:b/>
                <w:sz w:val="28"/>
                <w:szCs w:val="22"/>
              </w:rPr>
            </w:pPr>
            <w:r w:rsidRPr="00975155">
              <w:rPr>
                <w:b/>
                <w:sz w:val="28"/>
                <w:szCs w:val="22"/>
              </w:rPr>
              <w:t xml:space="preserve">Regeringens överläggningspromemoria (dnr </w:t>
            </w:r>
            <w:proofErr w:type="gramStart"/>
            <w:r w:rsidRPr="00975155">
              <w:rPr>
                <w:b/>
                <w:sz w:val="28"/>
                <w:szCs w:val="22"/>
              </w:rPr>
              <w:t>786-2019</w:t>
            </w:r>
            <w:proofErr w:type="gramEnd"/>
            <w:r w:rsidRPr="00975155">
              <w:rPr>
                <w:b/>
                <w:sz w:val="28"/>
                <w:szCs w:val="22"/>
              </w:rPr>
              <w:t>/20).</w:t>
            </w:r>
          </w:p>
          <w:p w:rsidR="008F7CB3" w:rsidRPr="00975155" w:rsidRDefault="008F7CB3" w:rsidP="00094B75">
            <w:pPr>
              <w:tabs>
                <w:tab w:val="left" w:pos="1701"/>
              </w:tabs>
              <w:rPr>
                <w:b/>
                <w:sz w:val="28"/>
                <w:szCs w:val="22"/>
              </w:rPr>
            </w:pPr>
          </w:p>
        </w:tc>
      </w:tr>
      <w:tr w:rsidR="008F7CB3" w:rsidRPr="00282BFE" w:rsidTr="00094B75">
        <w:tc>
          <w:tcPr>
            <w:tcW w:w="9640" w:type="dxa"/>
            <w:tcBorders>
              <w:top w:val="nil"/>
              <w:left w:val="nil"/>
              <w:bottom w:val="nil"/>
              <w:right w:val="nil"/>
            </w:tcBorders>
          </w:tcPr>
          <w:p w:rsidR="008F7CB3" w:rsidRPr="00377914" w:rsidRDefault="008F7CB3" w:rsidP="00094B75">
            <w:pPr>
              <w:pStyle w:val="Brdtext"/>
              <w:rPr>
                <w:sz w:val="22"/>
                <w:szCs w:val="22"/>
              </w:rPr>
            </w:pPr>
            <w:r w:rsidRPr="00377914">
              <w:rPr>
                <w:sz w:val="22"/>
                <w:szCs w:val="22"/>
              </w:rPr>
              <w:t>Regeringen avser att föreslå en reviderad referensnivå för skog för kommissionen som en del av den bokföringsrapport Sverige i enlighet med LULUCF-förordningen åtagit oss att redovisa. Referensnivån baseras på ett kompletterande underlag från SLU med beräkningar som beaktar LULUCF-förordningens krav, EU-kommissionens tekniska rekommendationer och den tekniska bedömningen från expertgruppen avseende den svenska bokföringsrapporten samt Miljö- och jordbruksutskottet mening i frågan.</w:t>
            </w:r>
          </w:p>
          <w:p w:rsidR="008F7CB3" w:rsidRPr="00377914" w:rsidRDefault="008F7CB3" w:rsidP="00094B75">
            <w:pPr>
              <w:pStyle w:val="Brdtext"/>
              <w:spacing w:after="0"/>
              <w:rPr>
                <w:i/>
                <w:sz w:val="22"/>
                <w:szCs w:val="22"/>
              </w:rPr>
            </w:pPr>
            <w:r w:rsidRPr="00377914">
              <w:rPr>
                <w:i/>
                <w:sz w:val="22"/>
                <w:szCs w:val="22"/>
              </w:rPr>
              <w:t>Hänsyn till historisk avverkningsintensitet</w:t>
            </w:r>
          </w:p>
          <w:p w:rsidR="008F7CB3" w:rsidRPr="00377914" w:rsidRDefault="008F7CB3" w:rsidP="00094B75">
            <w:pPr>
              <w:pStyle w:val="Brdtext"/>
              <w:rPr>
                <w:sz w:val="22"/>
                <w:szCs w:val="22"/>
              </w:rPr>
            </w:pPr>
            <w:r w:rsidRPr="00377914">
              <w:rPr>
                <w:sz w:val="22"/>
                <w:szCs w:val="22"/>
              </w:rPr>
              <w:t>Referensnivån ska enligt förordningen baseras på en kontinuerlig hållbar skogsbrukspraxis, såsom den dokumenterats under perioden referensperioden 2000–2009. Den reviderade referensnivå som nu föreslås tar hänsyn till historiska avverkningsnivåer. Detta bedömer regeringen är en nödvändighet givet hur Kommissionen formulerat sina tekniska rekommendationer. Referensnivån är därför ca 9 miljoner ton CO2e lägre än den som rapporterades i den preliminära bokföringsrapporten från januari 2019 som utformades i överensstämmelse med Miljö- och jordbruksutskottets ställningstagande vid dess sammanträde den 29 januari 2019.</w:t>
            </w:r>
          </w:p>
          <w:p w:rsidR="008F7CB3" w:rsidRPr="00377914" w:rsidRDefault="008F7CB3" w:rsidP="00094B75">
            <w:pPr>
              <w:pStyle w:val="Brdtext"/>
              <w:spacing w:after="0"/>
              <w:rPr>
                <w:sz w:val="22"/>
                <w:szCs w:val="22"/>
              </w:rPr>
            </w:pPr>
            <w:r w:rsidRPr="00377914">
              <w:rPr>
                <w:i/>
                <w:sz w:val="22"/>
                <w:szCs w:val="22"/>
              </w:rPr>
              <w:t>Referensnivån medger ökad framtida avverkning utan att utsläpp behöver bokföras</w:t>
            </w:r>
          </w:p>
          <w:p w:rsidR="008F7CB3" w:rsidRPr="00377914" w:rsidRDefault="008F7CB3" w:rsidP="00094B75">
            <w:pPr>
              <w:pStyle w:val="Brdtext"/>
              <w:rPr>
                <w:sz w:val="22"/>
                <w:szCs w:val="22"/>
              </w:rPr>
            </w:pPr>
            <w:r w:rsidRPr="00377914">
              <w:rPr>
                <w:sz w:val="22"/>
                <w:szCs w:val="22"/>
              </w:rPr>
              <w:t xml:space="preserve">Regeringskansliets bedömning är att den föreslagna referensnivån i kombination med den så kallade kompensationsregeln för skogsrika länder i LULUCF-förordningen kommer att möjliggöra en ökad avverkningsnivå jämfört med den avverkningsnivå vi haft under de senaste åren utan att ökade utsläpp från brukad skogsmark bokförs.  </w:t>
            </w:r>
          </w:p>
          <w:p w:rsidR="008F7CB3" w:rsidRPr="00377914" w:rsidRDefault="008F7CB3" w:rsidP="00094B75">
            <w:pPr>
              <w:pStyle w:val="Brdtext"/>
              <w:rPr>
                <w:sz w:val="22"/>
                <w:szCs w:val="22"/>
              </w:rPr>
            </w:pPr>
            <w:r w:rsidRPr="00377914">
              <w:rPr>
                <w:sz w:val="22"/>
                <w:szCs w:val="22"/>
              </w:rPr>
              <w:t>Referensnivån baseras på en sammanlagd svensk bruttoavverkning för perioden 2021 - 2025 på 92,3 miljoner m</w:t>
            </w:r>
            <w:r w:rsidRPr="00377914">
              <w:rPr>
                <w:sz w:val="22"/>
                <w:szCs w:val="22"/>
                <w:vertAlign w:val="superscript"/>
              </w:rPr>
              <w:t>3</w:t>
            </w:r>
            <w:r w:rsidRPr="00377914">
              <w:rPr>
                <w:sz w:val="22"/>
                <w:szCs w:val="22"/>
              </w:rPr>
              <w:t>sk (skogskubikmeter) vilket är i samma storleksordning som de beräkningar som gjordes för den preliminära bokföringsrapporten. Kompensationsregeln tillåter Sverige att avverka ytterligare cirka 4 miljoner m</w:t>
            </w:r>
            <w:r w:rsidRPr="00377914">
              <w:rPr>
                <w:sz w:val="22"/>
                <w:szCs w:val="22"/>
                <w:vertAlign w:val="superscript"/>
              </w:rPr>
              <w:t>3</w:t>
            </w:r>
            <w:r w:rsidRPr="00377914">
              <w:rPr>
                <w:sz w:val="22"/>
                <w:szCs w:val="22"/>
              </w:rPr>
              <w:t>sk per år. Sammanlagt bedöms således ca 96 miljoner m</w:t>
            </w:r>
            <w:r w:rsidRPr="00377914">
              <w:rPr>
                <w:sz w:val="22"/>
                <w:szCs w:val="22"/>
                <w:vertAlign w:val="superscript"/>
              </w:rPr>
              <w:t>3</w:t>
            </w:r>
            <w:r w:rsidRPr="00377914">
              <w:rPr>
                <w:sz w:val="22"/>
                <w:szCs w:val="22"/>
              </w:rPr>
              <w:t xml:space="preserve">sk kunna avverkas per år under perioden 2021 – 2025 utan att Sverige behöver bokföra ökade utsläpp från brukad skogsmark. </w:t>
            </w:r>
          </w:p>
          <w:p w:rsidR="008F7CB3" w:rsidRPr="00377914" w:rsidRDefault="008F7CB3" w:rsidP="00094B75">
            <w:pPr>
              <w:pStyle w:val="Brdtext"/>
              <w:rPr>
                <w:sz w:val="22"/>
                <w:szCs w:val="22"/>
              </w:rPr>
            </w:pPr>
            <w:r w:rsidRPr="00377914">
              <w:rPr>
                <w:sz w:val="22"/>
                <w:szCs w:val="22"/>
              </w:rPr>
              <w:t>Det kan jämföras med dagens avverkningsnivå som Skogsstyrelsen redovisar som, efter omräkning för att få jämförbara tal, motsvarar cirka 88 miljoner m</w:t>
            </w:r>
            <w:r w:rsidRPr="00377914">
              <w:rPr>
                <w:sz w:val="22"/>
                <w:szCs w:val="22"/>
                <w:vertAlign w:val="superscript"/>
              </w:rPr>
              <w:t>3</w:t>
            </w:r>
            <w:r w:rsidRPr="00377914">
              <w:rPr>
                <w:sz w:val="22"/>
                <w:szCs w:val="22"/>
              </w:rPr>
              <w:t xml:space="preserve">sk. </w:t>
            </w:r>
          </w:p>
          <w:p w:rsidR="008F7CB3" w:rsidRPr="00377914" w:rsidRDefault="008F7CB3" w:rsidP="00094B75">
            <w:pPr>
              <w:pStyle w:val="Brdtext"/>
              <w:spacing w:after="0"/>
              <w:rPr>
                <w:i/>
                <w:sz w:val="22"/>
                <w:szCs w:val="22"/>
              </w:rPr>
            </w:pPr>
            <w:r w:rsidRPr="00377914">
              <w:rPr>
                <w:i/>
                <w:sz w:val="22"/>
                <w:szCs w:val="22"/>
              </w:rPr>
              <w:t>Nästan all tillgänglig tillväxt kan avverkas utan negativ effekt i bokföringen</w:t>
            </w:r>
          </w:p>
          <w:p w:rsidR="008F7CB3" w:rsidRPr="00377914" w:rsidRDefault="008F7CB3" w:rsidP="00094B75">
            <w:pPr>
              <w:pStyle w:val="Brdtext"/>
              <w:rPr>
                <w:sz w:val="22"/>
                <w:szCs w:val="22"/>
              </w:rPr>
            </w:pPr>
            <w:r w:rsidRPr="00377914">
              <w:rPr>
                <w:sz w:val="22"/>
                <w:szCs w:val="22"/>
              </w:rPr>
              <w:t xml:space="preserve">Referensnivån baseras på en avverkning av cirka 92% av tillväxten som är tillgänglig för avverkning. Om kompensationsregeln tillämpas innebär det att cirka 96 % av tillgänglig tillväxt kan avverkas utan att ökade utsläpp från brukad skogsmark bokförs.  </w:t>
            </w:r>
          </w:p>
          <w:p w:rsidR="008F7CB3" w:rsidRPr="00377914" w:rsidRDefault="008F7CB3" w:rsidP="00094B75">
            <w:pPr>
              <w:pStyle w:val="Brdtext"/>
              <w:spacing w:after="0"/>
              <w:rPr>
                <w:i/>
                <w:sz w:val="22"/>
                <w:szCs w:val="22"/>
              </w:rPr>
            </w:pPr>
            <w:r w:rsidRPr="00377914">
              <w:rPr>
                <w:i/>
                <w:sz w:val="22"/>
                <w:szCs w:val="22"/>
              </w:rPr>
              <w:t>Inga framtida begränsningar av avverkningsnivån</w:t>
            </w:r>
          </w:p>
          <w:p w:rsidR="008F7CB3" w:rsidRPr="00377914" w:rsidRDefault="008F7CB3" w:rsidP="00094B75">
            <w:pPr>
              <w:pStyle w:val="Brdtext"/>
              <w:rPr>
                <w:sz w:val="22"/>
                <w:szCs w:val="22"/>
              </w:rPr>
            </w:pPr>
            <w:r w:rsidRPr="00377914">
              <w:rPr>
                <w:sz w:val="22"/>
                <w:szCs w:val="22"/>
              </w:rPr>
              <w:t xml:space="preserve">Regeringen bedömer att ett aktivt, hållbart skogsbruk kan bidra till klimatomställningen genom att ersätta fossil råvara och genom en långsiktigt ökad inlagring av kol i skogsmark samtidigt som övriga miljökvalitetsmål, bl.a. levande skogar ska nås. Tillräcklig tillgång till hållbar biomassa från den svenska skogen och fortsatt lönsamhet och villighet att investera i hela skogens värdekedja kommer säkerställas genom hållbar skogstillväxt och inom ramen för de nationella miljökvalitetsmålen. Därför kommer regeringen inte att vidta några åtgärder för att begränsa avverkningsnivåerna även om Sverige på grund av kraftigt ökad avverkning riskerar bokföra utsläpp från brukad skogsmark. </w:t>
            </w:r>
          </w:p>
          <w:p w:rsidR="008F7CB3" w:rsidRPr="00377914" w:rsidRDefault="008F7CB3" w:rsidP="00094B75">
            <w:pPr>
              <w:rPr>
                <w:sz w:val="22"/>
                <w:szCs w:val="22"/>
              </w:rPr>
            </w:pPr>
            <w:r w:rsidRPr="00377914">
              <w:rPr>
                <w:sz w:val="22"/>
                <w:szCs w:val="22"/>
              </w:rPr>
              <w:t xml:space="preserve">Istället kommer ett eventuellt underskott att kunna kompenseras genom det upptag av koldioxid som kan förväntas ske i andra markbokföringskategorier. Skulle avverkningen stiga så mycket att ytterligare åtgärder fordras kommer underskottet att kompenseras i sin helhet genom övriga </w:t>
            </w:r>
            <w:proofErr w:type="spellStart"/>
            <w:r w:rsidRPr="00377914">
              <w:rPr>
                <w:sz w:val="22"/>
                <w:szCs w:val="22"/>
              </w:rPr>
              <w:t>flexibiliteter</w:t>
            </w:r>
            <w:proofErr w:type="spellEnd"/>
            <w:r w:rsidRPr="00377914">
              <w:rPr>
                <w:sz w:val="22"/>
                <w:szCs w:val="22"/>
              </w:rPr>
              <w:t xml:space="preserve"> som finns i förordningen. Även åtgärder för ökad tillväxt kan öka avverkningsutrymmet.</w:t>
            </w:r>
          </w:p>
          <w:p w:rsidR="008F7CB3" w:rsidRPr="00377914" w:rsidRDefault="008F7CB3" w:rsidP="00094B75">
            <w:pPr>
              <w:rPr>
                <w:i/>
                <w:sz w:val="22"/>
                <w:szCs w:val="22"/>
              </w:rPr>
            </w:pPr>
          </w:p>
          <w:p w:rsidR="008F7CB3" w:rsidRPr="00377914" w:rsidRDefault="008F7CB3" w:rsidP="00094B75">
            <w:pPr>
              <w:pStyle w:val="Brdtext"/>
              <w:spacing w:after="0"/>
              <w:rPr>
                <w:i/>
                <w:sz w:val="22"/>
                <w:szCs w:val="22"/>
              </w:rPr>
            </w:pPr>
            <w:r w:rsidRPr="00377914">
              <w:rPr>
                <w:i/>
                <w:sz w:val="22"/>
                <w:szCs w:val="22"/>
              </w:rPr>
              <w:t>Sveriges tidigare fastlagda position gäller fortsatt</w:t>
            </w:r>
          </w:p>
          <w:p w:rsidR="008F7CB3" w:rsidRPr="00377914" w:rsidRDefault="008F7CB3" w:rsidP="00094B75">
            <w:pPr>
              <w:pStyle w:val="Brdtext"/>
              <w:spacing w:after="0"/>
              <w:rPr>
                <w:sz w:val="22"/>
                <w:szCs w:val="22"/>
              </w:rPr>
            </w:pPr>
            <w:r w:rsidRPr="00377914">
              <w:rPr>
                <w:sz w:val="22"/>
                <w:szCs w:val="22"/>
              </w:rPr>
              <w:t>Kommissionen presenterade den 11 december 2019 ett meddelande där en revidering av LULUCF-förordningen avses göras senast 2021. Den svenska positionen i det fortsatta förhandlingsarbetet är den som tidigare fastslagits i Miljö- och Jordbruksutskottet och påverkas inte av att den reviderade referensnivån, som en följd av</w:t>
            </w:r>
            <w:r w:rsidRPr="00377914">
              <w:rPr>
                <w:color w:val="7030A0"/>
                <w:sz w:val="22"/>
                <w:szCs w:val="22"/>
              </w:rPr>
              <w:t xml:space="preserve"> </w:t>
            </w:r>
            <w:proofErr w:type="spellStart"/>
            <w:r w:rsidRPr="00377914">
              <w:rPr>
                <w:sz w:val="22"/>
                <w:szCs w:val="22"/>
              </w:rPr>
              <w:t>KOM:s</w:t>
            </w:r>
            <w:proofErr w:type="spellEnd"/>
            <w:r w:rsidRPr="00377914">
              <w:rPr>
                <w:sz w:val="22"/>
                <w:szCs w:val="22"/>
              </w:rPr>
              <w:t xml:space="preserve"> rekommendationer, tar hänsyn till den historiska intensiteten. Det innebär att Sverige fortsatt vill se ett regelverk som möjliggör en långsiktigt ökad, hållbar produktion av bioenergi och fossilsnåla material från skogsbruket. Sverige anser fortsatt att referensnivåerna bör beräknas utifrån en prognos om framtida hållbar avverkningsnivå utan justering för skogsbrukets historiska intensitet och att hänsyn tas till den klimatnytta särskilt skogrika länder kan bidra med i likhet med i dagens förordning genom att den s.k. ”no </w:t>
            </w:r>
            <w:proofErr w:type="spellStart"/>
            <w:r w:rsidRPr="00377914">
              <w:rPr>
                <w:sz w:val="22"/>
                <w:szCs w:val="22"/>
              </w:rPr>
              <w:t>debit</w:t>
            </w:r>
            <w:proofErr w:type="spellEnd"/>
            <w:r w:rsidRPr="00377914">
              <w:rPr>
                <w:sz w:val="22"/>
                <w:szCs w:val="22"/>
              </w:rPr>
              <w:t xml:space="preserve"> </w:t>
            </w:r>
            <w:proofErr w:type="spellStart"/>
            <w:r w:rsidRPr="00377914">
              <w:rPr>
                <w:sz w:val="22"/>
                <w:szCs w:val="22"/>
              </w:rPr>
              <w:t>rule</w:t>
            </w:r>
            <w:proofErr w:type="spellEnd"/>
            <w:r w:rsidRPr="00377914">
              <w:rPr>
                <w:sz w:val="22"/>
                <w:szCs w:val="22"/>
              </w:rPr>
              <w:t>” behålls.</w:t>
            </w:r>
          </w:p>
          <w:p w:rsidR="008F7CB3" w:rsidRPr="00377914" w:rsidRDefault="008F7CB3" w:rsidP="00094B75">
            <w:pPr>
              <w:pStyle w:val="Brdtext"/>
              <w:spacing w:after="0"/>
              <w:rPr>
                <w:sz w:val="22"/>
                <w:szCs w:val="22"/>
              </w:rPr>
            </w:pPr>
          </w:p>
          <w:p w:rsidR="008F7CB3" w:rsidRPr="00377914" w:rsidRDefault="008F7CB3" w:rsidP="00094B75">
            <w:pPr>
              <w:pStyle w:val="Brdtext"/>
              <w:spacing w:after="0"/>
              <w:rPr>
                <w:sz w:val="22"/>
                <w:szCs w:val="22"/>
              </w:rPr>
            </w:pPr>
            <w:r w:rsidRPr="00377914">
              <w:rPr>
                <w:sz w:val="22"/>
                <w:szCs w:val="22"/>
              </w:rPr>
              <w:t xml:space="preserve">Regeringen avser återkomma till utskottet om den närmare utformningen av Sveriges positioner inför den kommande förhandlingen om revidering av LULUCF-förordningen när ett förslag lagts av kommissionen.  </w:t>
            </w:r>
          </w:p>
          <w:p w:rsidR="008F7CB3" w:rsidRPr="00377914" w:rsidRDefault="008F7CB3" w:rsidP="00094B75">
            <w:pPr>
              <w:pStyle w:val="Brdtext"/>
              <w:spacing w:after="0"/>
              <w:rPr>
                <w:sz w:val="22"/>
                <w:szCs w:val="22"/>
              </w:rPr>
            </w:pPr>
          </w:p>
          <w:p w:rsidR="008F7CB3" w:rsidRPr="00377914" w:rsidRDefault="008F7CB3" w:rsidP="00094B75">
            <w:pPr>
              <w:pStyle w:val="Brdtext"/>
              <w:spacing w:after="0"/>
              <w:rPr>
                <w:i/>
                <w:sz w:val="22"/>
                <w:szCs w:val="22"/>
              </w:rPr>
            </w:pPr>
            <w:r w:rsidRPr="00377914">
              <w:rPr>
                <w:i/>
                <w:sz w:val="22"/>
                <w:szCs w:val="22"/>
              </w:rPr>
              <w:t>Fortsatt påverkans- och analysarbete</w:t>
            </w:r>
          </w:p>
          <w:p w:rsidR="008F7CB3" w:rsidRPr="00377914" w:rsidRDefault="008F7CB3" w:rsidP="00094B75">
            <w:pPr>
              <w:pStyle w:val="Brdtext"/>
              <w:spacing w:after="0"/>
              <w:rPr>
                <w:sz w:val="22"/>
                <w:szCs w:val="22"/>
              </w:rPr>
            </w:pPr>
            <w:r w:rsidRPr="00377914">
              <w:rPr>
                <w:sz w:val="22"/>
                <w:szCs w:val="22"/>
              </w:rPr>
              <w:t xml:space="preserve">Regeringen avser att noga följa det fortsatta arbetet med LULUCF-förordningen utifrån svenska ståndpunkter om hur referensnivån för brukad skogsmark ska utformas. Sverige bör också tydliggöra att det svenska förslaget till reviderad referensnivå inte ska ses som ett ändrat ställningstagande vad gäller tolkningen av LULUCF-förordningens regelverk kring beräkning av referensnivån för brukad skogsmark.  </w:t>
            </w:r>
          </w:p>
          <w:p w:rsidR="008F7CB3" w:rsidRPr="00377914" w:rsidRDefault="008F7CB3" w:rsidP="00094B75">
            <w:pPr>
              <w:pStyle w:val="Brdtext"/>
              <w:spacing w:after="0"/>
              <w:rPr>
                <w:sz w:val="22"/>
                <w:szCs w:val="22"/>
              </w:rPr>
            </w:pPr>
          </w:p>
          <w:p w:rsidR="008F7CB3" w:rsidRPr="00377914" w:rsidRDefault="008F7CB3" w:rsidP="00094B75">
            <w:pPr>
              <w:pStyle w:val="Brdtext"/>
              <w:spacing w:after="0"/>
              <w:rPr>
                <w:sz w:val="22"/>
                <w:szCs w:val="22"/>
              </w:rPr>
            </w:pPr>
            <w:r w:rsidRPr="00377914">
              <w:rPr>
                <w:sz w:val="22"/>
                <w:szCs w:val="22"/>
              </w:rPr>
              <w:t xml:space="preserve">De svenska modelleringssystemen för beräkning av referensnivån för brukad skogsmark bör utvecklas för att på ett bättre sätt beakta den ökade risk för störningar såsom torka, brand, stormfällning och skadeangrepp som ett förändrat klimat och ett kraftigt ökat virkesförråd leder till. Modelleringssystemet bör också kunna utvecklas för att långsiktigt kunna ta hänsyn till fysiska begräsningar i ökad täthet i virkesförråd per arealenhet. Dessutom bör erfarenheter från andra medlemsstater med liknande förutsättningar som Sverige, inklusive den metodik och ansats som dessa använt, studeras för att undersöka om de bättre kan bidra till att nå målsättningen om att basera referensnivån för brukad skogsmark på högsta hållbara avverkningsnivå. Det gäller t ex de analysverktyg och metoder som Finland använt. </w:t>
            </w:r>
          </w:p>
          <w:p w:rsidR="008F7CB3" w:rsidRPr="00282BFE" w:rsidRDefault="008F7CB3" w:rsidP="00094B75">
            <w:pPr>
              <w:tabs>
                <w:tab w:val="left" w:pos="1701"/>
              </w:tabs>
              <w:rPr>
                <w:b/>
                <w:sz w:val="22"/>
                <w:szCs w:val="22"/>
              </w:rPr>
            </w:pPr>
          </w:p>
        </w:tc>
      </w:tr>
      <w:tr w:rsidR="008F7CB3" w:rsidRPr="001F34BA" w:rsidTr="00094B75">
        <w:tc>
          <w:tcPr>
            <w:tcW w:w="9640" w:type="dxa"/>
            <w:tcBorders>
              <w:top w:val="nil"/>
              <w:left w:val="nil"/>
              <w:bottom w:val="nil"/>
              <w:right w:val="nil"/>
            </w:tcBorders>
          </w:tcPr>
          <w:p w:rsidR="008F7CB3" w:rsidRPr="001F34BA" w:rsidRDefault="008F7CB3" w:rsidP="00094B75">
            <w:pPr>
              <w:pStyle w:val="Brdtext"/>
              <w:spacing w:after="0"/>
              <w:rPr>
                <w:i/>
                <w:sz w:val="22"/>
                <w:szCs w:val="22"/>
              </w:rPr>
            </w:pPr>
            <w:r w:rsidRPr="001F34BA">
              <w:rPr>
                <w:i/>
                <w:sz w:val="22"/>
                <w:szCs w:val="22"/>
              </w:rPr>
              <w:lastRenderedPageBreak/>
              <w:t>Bakgrund</w:t>
            </w:r>
          </w:p>
          <w:p w:rsidR="008F7CB3" w:rsidRPr="001F34BA" w:rsidRDefault="008F7CB3" w:rsidP="00094B75">
            <w:pPr>
              <w:pStyle w:val="Brdtext"/>
              <w:rPr>
                <w:sz w:val="22"/>
                <w:szCs w:val="22"/>
              </w:rPr>
            </w:pPr>
            <w:r w:rsidRPr="001F34BA">
              <w:rPr>
                <w:sz w:val="22"/>
                <w:szCs w:val="22"/>
              </w:rPr>
              <w:t xml:space="preserve">Sveriges ambition är att vara ett föregångsland i klimatomställningen. En övergripande målsättning vi haft och har gällande beräkningar av nettoupptag av växthusgaser vid markanvändning är att de ska vara transparenta, verifierbara, kvantifierbara och att reglerna ger en bibehållen ambitionsnivå och hög miljöintegritet. </w:t>
            </w:r>
          </w:p>
          <w:p w:rsidR="008F7CB3" w:rsidRPr="001F34BA" w:rsidRDefault="008F7CB3" w:rsidP="00094B75">
            <w:pPr>
              <w:pStyle w:val="Brdtext"/>
              <w:rPr>
                <w:sz w:val="22"/>
                <w:szCs w:val="22"/>
              </w:rPr>
            </w:pPr>
            <w:r w:rsidRPr="001F34BA">
              <w:rPr>
                <w:sz w:val="22"/>
                <w:szCs w:val="22"/>
              </w:rPr>
              <w:t xml:space="preserve">LULUCF-förordningen trädde i kraft den 9 juli 2018. En central utgångspunkt är att länderna åtagit sig att upprätta och upprätthålla en bokföring som ger en korrekt bild av utsläpp och upptag av koldioxid i brukad mark, bland annat i brukad skogsmark. Alla medlemsstater har i enlighet med förordningen lämnat in en nationell bokföringsrapport för skogsbruket. </w:t>
            </w:r>
          </w:p>
          <w:p w:rsidR="008F7CB3" w:rsidRPr="001F34BA" w:rsidRDefault="008F7CB3" w:rsidP="00094B75">
            <w:pPr>
              <w:pStyle w:val="Brdtext"/>
              <w:rPr>
                <w:sz w:val="22"/>
                <w:szCs w:val="22"/>
              </w:rPr>
            </w:pPr>
            <w:r w:rsidRPr="001F34BA">
              <w:rPr>
                <w:sz w:val="22"/>
                <w:szCs w:val="22"/>
              </w:rPr>
              <w:t xml:space="preserve">Under våren granskades medlemsstaternas bokföringsrapporter av en tekniks expertgrupp ledd av EU-kommissionen där också representanter för medlemsstaterna ingick. Sverige representerades av Näringsdepartementet och SLU. Kommissionen meddelade i juni sina tekniska rekommendationer till medlemsstaterna som återspeglar slutsatserna av den tekniska granskningen. Regeringskansliet har granskat rekommendationerna och noterar att kommissionen i vissa avseenden inte verkar göra samma tolkning av förordningen som utgjorde utgångspunkt för den referensbana Sverige skickade in i våras. </w:t>
            </w:r>
          </w:p>
          <w:p w:rsidR="008F7CB3" w:rsidRPr="001F34BA" w:rsidRDefault="008F7CB3" w:rsidP="00094B75">
            <w:pPr>
              <w:pStyle w:val="Brdtext"/>
              <w:rPr>
                <w:sz w:val="22"/>
                <w:szCs w:val="22"/>
              </w:rPr>
            </w:pPr>
            <w:r w:rsidRPr="001F34BA">
              <w:rPr>
                <w:sz w:val="22"/>
                <w:szCs w:val="22"/>
              </w:rPr>
              <w:t xml:space="preserve">Kommissionen menar i sina tekniska rekommendationer som publicerades i juni angående bokföringsrapporten att Sveriges sätt att beräkna referensnivå inte följer förordningens krav. Regeringen uppdrog därför under hösten till Sveriges Lantbruksuniversitet att ta fram ett nytt underlag till bokföringsrapport utifrån de rekommendationer som kommissionen gett med beaktande av Miljö- och jordbruksutskottet mening i frågan. Av uppdraget framgår att målet är att referensnivån i möjligaste mån ska ge utrymme för högsta möjliga hållbara avverkningsnivå. </w:t>
            </w:r>
          </w:p>
          <w:p w:rsidR="008F7CB3" w:rsidRPr="001F34BA" w:rsidRDefault="008F7CB3" w:rsidP="00094B75">
            <w:pPr>
              <w:pStyle w:val="Brdtext"/>
              <w:rPr>
                <w:sz w:val="22"/>
                <w:szCs w:val="22"/>
              </w:rPr>
            </w:pPr>
            <w:r w:rsidRPr="001F34BA">
              <w:rPr>
                <w:sz w:val="22"/>
                <w:szCs w:val="22"/>
              </w:rPr>
              <w:t xml:space="preserve">Enligt EU-förordningen ska Kommissionen under 2020 fastställa referensnivåerna som ska gälla för markanvändningskategorin skogsbruk för respektive medlemsstat genom en s.k. delegerad akt. Förfarandet innebär att kommissionen genom ett beslut fastställer den referensnivå som ska gälla för Sverige under perioden 2021 - 2025. </w:t>
            </w:r>
          </w:p>
          <w:p w:rsidR="008F7CB3" w:rsidRPr="001F34BA" w:rsidRDefault="008F7CB3" w:rsidP="00094B75">
            <w:pPr>
              <w:pStyle w:val="Brdtext"/>
              <w:rPr>
                <w:sz w:val="22"/>
                <w:szCs w:val="22"/>
              </w:rPr>
            </w:pPr>
            <w:r w:rsidRPr="001F34BA">
              <w:rPr>
                <w:sz w:val="22"/>
                <w:szCs w:val="22"/>
              </w:rPr>
              <w:t>Skulle Sverige inte justera sin beräkning av referensnivån i enlighet med den gängse tolkningen av förordningen och EU-kommissionens rekommendationer finns en risk att EU-kommissionen fastställer en lägre referensnivå än den Sverige föreslagit. Det skulle kunna innebära att nivån sänks med en risk för att ytterligare åtgärder behöver vidtas för att minska utsläpp i andra delar av samhället eller att utsläppsenheter behöver förvärvas från andra EU länder. Sveriges trovärdighet i klimatfrågan och ledande roll i EU arbetet skulle också riskera undergrävas.</w:t>
            </w:r>
          </w:p>
          <w:p w:rsidR="008F7CB3" w:rsidRPr="001F34BA" w:rsidRDefault="008F7CB3" w:rsidP="00094B75">
            <w:pPr>
              <w:tabs>
                <w:tab w:val="left" w:pos="1701"/>
              </w:tabs>
              <w:rPr>
                <w:b/>
                <w:sz w:val="22"/>
                <w:szCs w:val="22"/>
              </w:rPr>
            </w:pPr>
          </w:p>
        </w:tc>
      </w:tr>
    </w:tbl>
    <w:p w:rsidR="00177FF8" w:rsidRPr="00282BFE" w:rsidRDefault="00177FF8" w:rsidP="004E3CF1">
      <w:pPr>
        <w:widowControl/>
        <w:rPr>
          <w:sz w:val="22"/>
          <w:szCs w:val="22"/>
        </w:rPr>
      </w:pPr>
    </w:p>
    <w:sectPr w:rsidR="00177FF8" w:rsidRPr="00282BFE"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77B30D6"/>
    <w:multiLevelType w:val="multilevel"/>
    <w:tmpl w:val="985C7BC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C44"/>
    <w:rsid w:val="00033928"/>
    <w:rsid w:val="000340CE"/>
    <w:rsid w:val="0003479D"/>
    <w:rsid w:val="00034F00"/>
    <w:rsid w:val="00040A3C"/>
    <w:rsid w:val="000459DE"/>
    <w:rsid w:val="000604E3"/>
    <w:rsid w:val="00061437"/>
    <w:rsid w:val="00064523"/>
    <w:rsid w:val="000673D5"/>
    <w:rsid w:val="00071FBC"/>
    <w:rsid w:val="00076BDD"/>
    <w:rsid w:val="00091EA6"/>
    <w:rsid w:val="000A29E4"/>
    <w:rsid w:val="000E01D1"/>
    <w:rsid w:val="000E402E"/>
    <w:rsid w:val="000E777E"/>
    <w:rsid w:val="000F6792"/>
    <w:rsid w:val="000F7D9B"/>
    <w:rsid w:val="00102D5B"/>
    <w:rsid w:val="00102F93"/>
    <w:rsid w:val="00107F3E"/>
    <w:rsid w:val="001107C9"/>
    <w:rsid w:val="001201A1"/>
    <w:rsid w:val="001238B9"/>
    <w:rsid w:val="001325BA"/>
    <w:rsid w:val="0014421B"/>
    <w:rsid w:val="001533F7"/>
    <w:rsid w:val="00154537"/>
    <w:rsid w:val="001576B4"/>
    <w:rsid w:val="00157C48"/>
    <w:rsid w:val="00157E3A"/>
    <w:rsid w:val="00161710"/>
    <w:rsid w:val="00164491"/>
    <w:rsid w:val="001709AE"/>
    <w:rsid w:val="001741EA"/>
    <w:rsid w:val="00176F71"/>
    <w:rsid w:val="00177FF8"/>
    <w:rsid w:val="001806D9"/>
    <w:rsid w:val="00183F5A"/>
    <w:rsid w:val="00190D5B"/>
    <w:rsid w:val="001A35A0"/>
    <w:rsid w:val="001C4CD7"/>
    <w:rsid w:val="001C75D0"/>
    <w:rsid w:val="001D7100"/>
    <w:rsid w:val="001E1F27"/>
    <w:rsid w:val="001F0044"/>
    <w:rsid w:val="001F3F30"/>
    <w:rsid w:val="001F641B"/>
    <w:rsid w:val="00200F8B"/>
    <w:rsid w:val="002035AA"/>
    <w:rsid w:val="0021176A"/>
    <w:rsid w:val="00212A8D"/>
    <w:rsid w:val="00214162"/>
    <w:rsid w:val="00216C70"/>
    <w:rsid w:val="002241EF"/>
    <w:rsid w:val="0023053D"/>
    <w:rsid w:val="00231475"/>
    <w:rsid w:val="002378CC"/>
    <w:rsid w:val="0025203B"/>
    <w:rsid w:val="00254C5A"/>
    <w:rsid w:val="0025725D"/>
    <w:rsid w:val="002629A8"/>
    <w:rsid w:val="00267A73"/>
    <w:rsid w:val="00282BFE"/>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27B4"/>
    <w:rsid w:val="003220D7"/>
    <w:rsid w:val="00322167"/>
    <w:rsid w:val="00335837"/>
    <w:rsid w:val="00335938"/>
    <w:rsid w:val="00342CC6"/>
    <w:rsid w:val="003443ED"/>
    <w:rsid w:val="00381298"/>
    <w:rsid w:val="00387440"/>
    <w:rsid w:val="003941CA"/>
    <w:rsid w:val="00396766"/>
    <w:rsid w:val="003A006F"/>
    <w:rsid w:val="003E21B4"/>
    <w:rsid w:val="003E2DA5"/>
    <w:rsid w:val="003F5018"/>
    <w:rsid w:val="003F5FC6"/>
    <w:rsid w:val="003F7963"/>
    <w:rsid w:val="00402A6F"/>
    <w:rsid w:val="00405162"/>
    <w:rsid w:val="00416E51"/>
    <w:rsid w:val="00417CF8"/>
    <w:rsid w:val="00420D39"/>
    <w:rsid w:val="004310CA"/>
    <w:rsid w:val="00440E5D"/>
    <w:rsid w:val="00463E6E"/>
    <w:rsid w:val="00470F4B"/>
    <w:rsid w:val="004763AE"/>
    <w:rsid w:val="0047654D"/>
    <w:rsid w:val="00481A80"/>
    <w:rsid w:val="00481AE3"/>
    <w:rsid w:val="00482D9A"/>
    <w:rsid w:val="00485C5B"/>
    <w:rsid w:val="00487C54"/>
    <w:rsid w:val="004945A7"/>
    <w:rsid w:val="004A5400"/>
    <w:rsid w:val="004B1E7E"/>
    <w:rsid w:val="004C58F4"/>
    <w:rsid w:val="004D1575"/>
    <w:rsid w:val="004D6725"/>
    <w:rsid w:val="004E030E"/>
    <w:rsid w:val="004E0E27"/>
    <w:rsid w:val="004E3CF1"/>
    <w:rsid w:val="004E4C8B"/>
    <w:rsid w:val="004E7DCE"/>
    <w:rsid w:val="00501F97"/>
    <w:rsid w:val="005118EF"/>
    <w:rsid w:val="00512799"/>
    <w:rsid w:val="0051377A"/>
    <w:rsid w:val="00513A25"/>
    <w:rsid w:val="005249C1"/>
    <w:rsid w:val="00530BD4"/>
    <w:rsid w:val="0054634C"/>
    <w:rsid w:val="005654CA"/>
    <w:rsid w:val="00573E17"/>
    <w:rsid w:val="00573F9E"/>
    <w:rsid w:val="005855D5"/>
    <w:rsid w:val="005957E5"/>
    <w:rsid w:val="005A3E8B"/>
    <w:rsid w:val="005B1B2C"/>
    <w:rsid w:val="005C03D8"/>
    <w:rsid w:val="005D7C2B"/>
    <w:rsid w:val="005E6A1F"/>
    <w:rsid w:val="005F6C39"/>
    <w:rsid w:val="0060083A"/>
    <w:rsid w:val="00601F54"/>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2054"/>
    <w:rsid w:val="00675F6F"/>
    <w:rsid w:val="006A63A7"/>
    <w:rsid w:val="006B50C7"/>
    <w:rsid w:val="006B5EFD"/>
    <w:rsid w:val="006B604A"/>
    <w:rsid w:val="006D05CF"/>
    <w:rsid w:val="006D5F8F"/>
    <w:rsid w:val="006E15D9"/>
    <w:rsid w:val="006F4672"/>
    <w:rsid w:val="00716686"/>
    <w:rsid w:val="00721C53"/>
    <w:rsid w:val="007453FF"/>
    <w:rsid w:val="00754C4A"/>
    <w:rsid w:val="00762508"/>
    <w:rsid w:val="007719E4"/>
    <w:rsid w:val="007915BA"/>
    <w:rsid w:val="00792939"/>
    <w:rsid w:val="007929ED"/>
    <w:rsid w:val="00792F5F"/>
    <w:rsid w:val="00796426"/>
    <w:rsid w:val="007B1F72"/>
    <w:rsid w:val="007B26F0"/>
    <w:rsid w:val="007B28DD"/>
    <w:rsid w:val="007B4482"/>
    <w:rsid w:val="007D5D17"/>
    <w:rsid w:val="007E14E2"/>
    <w:rsid w:val="007F12BB"/>
    <w:rsid w:val="007F7A91"/>
    <w:rsid w:val="008032FE"/>
    <w:rsid w:val="008072FF"/>
    <w:rsid w:val="008124A2"/>
    <w:rsid w:val="00821792"/>
    <w:rsid w:val="00834E22"/>
    <w:rsid w:val="0084464A"/>
    <w:rsid w:val="008458B4"/>
    <w:rsid w:val="008504EB"/>
    <w:rsid w:val="00856389"/>
    <w:rsid w:val="00865C85"/>
    <w:rsid w:val="008856C5"/>
    <w:rsid w:val="00886349"/>
    <w:rsid w:val="00894936"/>
    <w:rsid w:val="0089673E"/>
    <w:rsid w:val="008A28BD"/>
    <w:rsid w:val="008B5472"/>
    <w:rsid w:val="008B5D35"/>
    <w:rsid w:val="008B7CC5"/>
    <w:rsid w:val="008C0FEE"/>
    <w:rsid w:val="008C2D5B"/>
    <w:rsid w:val="008D692B"/>
    <w:rsid w:val="008F4883"/>
    <w:rsid w:val="008F4D6D"/>
    <w:rsid w:val="008F7CB3"/>
    <w:rsid w:val="00911B90"/>
    <w:rsid w:val="00914C38"/>
    <w:rsid w:val="00921E40"/>
    <w:rsid w:val="009222A6"/>
    <w:rsid w:val="00922EB0"/>
    <w:rsid w:val="00927483"/>
    <w:rsid w:val="009442D4"/>
    <w:rsid w:val="00952893"/>
    <w:rsid w:val="00955CA2"/>
    <w:rsid w:val="009653D4"/>
    <w:rsid w:val="00975851"/>
    <w:rsid w:val="00980A86"/>
    <w:rsid w:val="009823FA"/>
    <w:rsid w:val="009843D0"/>
    <w:rsid w:val="00994906"/>
    <w:rsid w:val="009A0C25"/>
    <w:rsid w:val="009A1037"/>
    <w:rsid w:val="009B0A47"/>
    <w:rsid w:val="009B1CDF"/>
    <w:rsid w:val="009B1EEE"/>
    <w:rsid w:val="009B38A7"/>
    <w:rsid w:val="009C0C9D"/>
    <w:rsid w:val="009C4803"/>
    <w:rsid w:val="009D2985"/>
    <w:rsid w:val="009D4D1A"/>
    <w:rsid w:val="009D6236"/>
    <w:rsid w:val="009E0D7F"/>
    <w:rsid w:val="009E2FEF"/>
    <w:rsid w:val="009E3810"/>
    <w:rsid w:val="009F1689"/>
    <w:rsid w:val="00A03943"/>
    <w:rsid w:val="00A25D52"/>
    <w:rsid w:val="00A34130"/>
    <w:rsid w:val="00A375CF"/>
    <w:rsid w:val="00A37731"/>
    <w:rsid w:val="00A51307"/>
    <w:rsid w:val="00A53A98"/>
    <w:rsid w:val="00A559FA"/>
    <w:rsid w:val="00A645AD"/>
    <w:rsid w:val="00A64CA0"/>
    <w:rsid w:val="00A6580E"/>
    <w:rsid w:val="00A65C53"/>
    <w:rsid w:val="00A702BD"/>
    <w:rsid w:val="00A71AF0"/>
    <w:rsid w:val="00A746E4"/>
    <w:rsid w:val="00A83ACB"/>
    <w:rsid w:val="00A846AA"/>
    <w:rsid w:val="00A91697"/>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17139"/>
    <w:rsid w:val="00B22F3B"/>
    <w:rsid w:val="00B25432"/>
    <w:rsid w:val="00B26D29"/>
    <w:rsid w:val="00B3182D"/>
    <w:rsid w:val="00B35D41"/>
    <w:rsid w:val="00B40F4D"/>
    <w:rsid w:val="00B419CA"/>
    <w:rsid w:val="00B44848"/>
    <w:rsid w:val="00B52032"/>
    <w:rsid w:val="00B54A57"/>
    <w:rsid w:val="00B5691D"/>
    <w:rsid w:val="00B62905"/>
    <w:rsid w:val="00B63F9D"/>
    <w:rsid w:val="00B7289B"/>
    <w:rsid w:val="00B80318"/>
    <w:rsid w:val="00B86868"/>
    <w:rsid w:val="00B9672B"/>
    <w:rsid w:val="00B96E81"/>
    <w:rsid w:val="00BA4937"/>
    <w:rsid w:val="00BA55CE"/>
    <w:rsid w:val="00BB34FC"/>
    <w:rsid w:val="00BB375E"/>
    <w:rsid w:val="00BB59A8"/>
    <w:rsid w:val="00BB5D88"/>
    <w:rsid w:val="00BB7941"/>
    <w:rsid w:val="00BC02A0"/>
    <w:rsid w:val="00BC03D5"/>
    <w:rsid w:val="00BD3290"/>
    <w:rsid w:val="00BD374B"/>
    <w:rsid w:val="00BE1EBF"/>
    <w:rsid w:val="00BF0D09"/>
    <w:rsid w:val="00C013F6"/>
    <w:rsid w:val="00C11E5F"/>
    <w:rsid w:val="00C20B9F"/>
    <w:rsid w:val="00C20F78"/>
    <w:rsid w:val="00C54D08"/>
    <w:rsid w:val="00C55553"/>
    <w:rsid w:val="00C65F27"/>
    <w:rsid w:val="00C6697A"/>
    <w:rsid w:val="00C674DC"/>
    <w:rsid w:val="00C80EBD"/>
    <w:rsid w:val="00CA60EE"/>
    <w:rsid w:val="00CA677B"/>
    <w:rsid w:val="00CA75B8"/>
    <w:rsid w:val="00CB2E80"/>
    <w:rsid w:val="00CB5973"/>
    <w:rsid w:val="00CC5952"/>
    <w:rsid w:val="00CD549F"/>
    <w:rsid w:val="00CE0E61"/>
    <w:rsid w:val="00CE3494"/>
    <w:rsid w:val="00CE39E2"/>
    <w:rsid w:val="00CE6ED5"/>
    <w:rsid w:val="00CF0661"/>
    <w:rsid w:val="00CF0B50"/>
    <w:rsid w:val="00CF4403"/>
    <w:rsid w:val="00D0483C"/>
    <w:rsid w:val="00D048DB"/>
    <w:rsid w:val="00D06FDE"/>
    <w:rsid w:val="00D11582"/>
    <w:rsid w:val="00D11D2D"/>
    <w:rsid w:val="00D139CC"/>
    <w:rsid w:val="00D23248"/>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491C"/>
    <w:rsid w:val="00DC46BF"/>
    <w:rsid w:val="00DC48A8"/>
    <w:rsid w:val="00DD06D6"/>
    <w:rsid w:val="00DD7DD7"/>
    <w:rsid w:val="00DE45E6"/>
    <w:rsid w:val="00DF1920"/>
    <w:rsid w:val="00DF2A5B"/>
    <w:rsid w:val="00DF4E44"/>
    <w:rsid w:val="00DF69C9"/>
    <w:rsid w:val="00E1579E"/>
    <w:rsid w:val="00E2386B"/>
    <w:rsid w:val="00E32CDB"/>
    <w:rsid w:val="00E413D1"/>
    <w:rsid w:val="00E43C72"/>
    <w:rsid w:val="00E44E30"/>
    <w:rsid w:val="00E47577"/>
    <w:rsid w:val="00E53E73"/>
    <w:rsid w:val="00E54E79"/>
    <w:rsid w:val="00E60AE8"/>
    <w:rsid w:val="00EA3BD7"/>
    <w:rsid w:val="00EA5C1E"/>
    <w:rsid w:val="00EB5801"/>
    <w:rsid w:val="00EC7E9B"/>
    <w:rsid w:val="00EE0BF7"/>
    <w:rsid w:val="00EE6E7B"/>
    <w:rsid w:val="00EF1B0A"/>
    <w:rsid w:val="00EF4ADF"/>
    <w:rsid w:val="00EF4B6A"/>
    <w:rsid w:val="00F143DB"/>
    <w:rsid w:val="00F15F04"/>
    <w:rsid w:val="00F25AFF"/>
    <w:rsid w:val="00F64657"/>
    <w:rsid w:val="00F65F54"/>
    <w:rsid w:val="00F66FF9"/>
    <w:rsid w:val="00F73CB8"/>
    <w:rsid w:val="00F73D67"/>
    <w:rsid w:val="00F755B2"/>
    <w:rsid w:val="00F82610"/>
    <w:rsid w:val="00F82A50"/>
    <w:rsid w:val="00F832D2"/>
    <w:rsid w:val="00F86DDF"/>
    <w:rsid w:val="00F902C3"/>
    <w:rsid w:val="00F97D4A"/>
    <w:rsid w:val="00FA6C99"/>
    <w:rsid w:val="00FB0559"/>
    <w:rsid w:val="00FB5AF3"/>
    <w:rsid w:val="00FC1B12"/>
    <w:rsid w:val="00FE0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Rubrik3utannumrering">
    <w:name w:val="Rubrik 3 utan numrering"/>
    <w:basedOn w:val="Rubrik3"/>
    <w:next w:val="Brdtext"/>
    <w:uiPriority w:val="1"/>
    <w:qFormat/>
    <w:rsid w:val="00B25432"/>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character" w:customStyle="1" w:styleId="bold">
    <w:name w:val="bold"/>
    <w:basedOn w:val="Standardstycketeckensnitt"/>
    <w:rsid w:val="00B63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58033">
      <w:bodyDiv w:val="1"/>
      <w:marLeft w:val="0"/>
      <w:marRight w:val="0"/>
      <w:marTop w:val="0"/>
      <w:marBottom w:val="0"/>
      <w:divBdr>
        <w:top w:val="none" w:sz="0" w:space="0" w:color="auto"/>
        <w:left w:val="none" w:sz="0" w:space="0" w:color="auto"/>
        <w:bottom w:val="none" w:sz="0" w:space="0" w:color="auto"/>
        <w:right w:val="none" w:sz="0" w:space="0" w:color="auto"/>
      </w:divBdr>
      <w:divsChild>
        <w:div w:id="1419448719">
          <w:marLeft w:val="0"/>
          <w:marRight w:val="0"/>
          <w:marTop w:val="0"/>
          <w:marBottom w:val="0"/>
          <w:divBdr>
            <w:top w:val="none" w:sz="0" w:space="0" w:color="auto"/>
            <w:left w:val="none" w:sz="0" w:space="0" w:color="auto"/>
            <w:bottom w:val="none" w:sz="0" w:space="0" w:color="auto"/>
            <w:right w:val="none" w:sz="0" w:space="0" w:color="auto"/>
          </w:divBdr>
          <w:divsChild>
            <w:div w:id="1155799060">
              <w:marLeft w:val="0"/>
              <w:marRight w:val="0"/>
              <w:marTop w:val="0"/>
              <w:marBottom w:val="0"/>
              <w:divBdr>
                <w:top w:val="none" w:sz="0" w:space="0" w:color="auto"/>
                <w:left w:val="none" w:sz="0" w:space="0" w:color="auto"/>
                <w:bottom w:val="none" w:sz="0" w:space="0" w:color="auto"/>
                <w:right w:val="none" w:sz="0" w:space="0" w:color="auto"/>
              </w:divBdr>
              <w:divsChild>
                <w:div w:id="1174227461">
                  <w:marLeft w:val="0"/>
                  <w:marRight w:val="0"/>
                  <w:marTop w:val="0"/>
                  <w:marBottom w:val="0"/>
                  <w:divBdr>
                    <w:top w:val="none" w:sz="0" w:space="0" w:color="auto"/>
                    <w:left w:val="none" w:sz="0" w:space="0" w:color="auto"/>
                    <w:bottom w:val="none" w:sz="0" w:space="0" w:color="auto"/>
                    <w:right w:val="none" w:sz="0" w:space="0" w:color="auto"/>
                  </w:divBdr>
                  <w:divsChild>
                    <w:div w:id="2112554380">
                      <w:marLeft w:val="0"/>
                      <w:marRight w:val="0"/>
                      <w:marTop w:val="0"/>
                      <w:marBottom w:val="0"/>
                      <w:divBdr>
                        <w:top w:val="none" w:sz="0" w:space="0" w:color="auto"/>
                        <w:left w:val="none" w:sz="0" w:space="0" w:color="auto"/>
                        <w:bottom w:val="none" w:sz="0" w:space="0" w:color="auto"/>
                        <w:right w:val="none" w:sz="0" w:space="0" w:color="auto"/>
                      </w:divBdr>
                      <w:divsChild>
                        <w:div w:id="204605100">
                          <w:marLeft w:val="0"/>
                          <w:marRight w:val="0"/>
                          <w:marTop w:val="0"/>
                          <w:marBottom w:val="0"/>
                          <w:divBdr>
                            <w:top w:val="none" w:sz="0" w:space="0" w:color="auto"/>
                            <w:left w:val="none" w:sz="0" w:space="0" w:color="auto"/>
                            <w:bottom w:val="none" w:sz="0" w:space="0" w:color="auto"/>
                            <w:right w:val="none" w:sz="0" w:space="0" w:color="auto"/>
                          </w:divBdr>
                          <w:divsChild>
                            <w:div w:id="645283845">
                              <w:marLeft w:val="0"/>
                              <w:marRight w:val="0"/>
                              <w:marTop w:val="0"/>
                              <w:marBottom w:val="0"/>
                              <w:divBdr>
                                <w:top w:val="none" w:sz="0" w:space="0" w:color="auto"/>
                                <w:left w:val="none" w:sz="0" w:space="0" w:color="auto"/>
                                <w:bottom w:val="none" w:sz="0" w:space="0" w:color="auto"/>
                                <w:right w:val="none" w:sz="0" w:space="0" w:color="auto"/>
                              </w:divBdr>
                              <w:divsChild>
                                <w:div w:id="444157391">
                                  <w:marLeft w:val="0"/>
                                  <w:marRight w:val="0"/>
                                  <w:marTop w:val="0"/>
                                  <w:marBottom w:val="0"/>
                                  <w:divBdr>
                                    <w:top w:val="none" w:sz="0" w:space="0" w:color="auto"/>
                                    <w:left w:val="none" w:sz="0" w:space="0" w:color="auto"/>
                                    <w:bottom w:val="none" w:sz="0" w:space="0" w:color="auto"/>
                                    <w:right w:val="none" w:sz="0" w:space="0" w:color="auto"/>
                                  </w:divBdr>
                                  <w:divsChild>
                                    <w:div w:id="18514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6462-9B1C-4D56-A160-DFD783BE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1794</Words>
  <Characters>11975</Characters>
  <Application>Microsoft Office Word</Application>
  <DocSecurity>4</DocSecurity>
  <Lines>921</Lines>
  <Paragraphs>191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2019-12-05T09:03:00Z</cp:lastPrinted>
  <dcterms:created xsi:type="dcterms:W3CDTF">2020-01-27T09:55:00Z</dcterms:created>
  <dcterms:modified xsi:type="dcterms:W3CDTF">2020-01-27T09:55:00Z</dcterms:modified>
</cp:coreProperties>
</file>