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glossary/numbering.xml" ContentType="application/vnd.openxmlformats-officedocument.wordprocessingml.numbering+xml"/>
  <Override PartName="/docProps/app.xml" ContentType="application/vnd.openxmlformats-officedocument.extended-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11F631108449EBBECBC12E627F5E71"/>
        </w:placeholder>
        <w:text/>
      </w:sdtPr>
      <w:sdtEndPr/>
      <w:sdtContent>
        <w:p w:rsidRPr="009B062B" w:rsidR="00AF30DD" w:rsidP="00DA28CE" w:rsidRDefault="00AF30DD" w14:paraId="31178080" w14:textId="77777777">
          <w:pPr>
            <w:pStyle w:val="Rubrik1"/>
            <w:spacing w:after="300"/>
          </w:pPr>
          <w:r w:rsidRPr="009B062B">
            <w:t>Förslag till riksdagsbeslut</w:t>
          </w:r>
        </w:p>
      </w:sdtContent>
    </w:sdt>
    <w:sdt>
      <w:sdtPr>
        <w:alias w:val="Yrkande 1"/>
        <w:tag w:val="9331ca2a-9098-4c9d-aab6-e9393bc83a58"/>
        <w:id w:val="1951281660"/>
        <w:lock w:val="sdtLocked"/>
      </w:sdtPr>
      <w:sdtEndPr/>
      <w:sdtContent>
        <w:p w:rsidR="001B6CF8" w:rsidRDefault="00B52AB9" w14:paraId="31178081" w14:textId="77777777">
          <w:pPr>
            <w:pStyle w:val="Frslagstext"/>
            <w:numPr>
              <w:ilvl w:val="0"/>
              <w:numId w:val="0"/>
            </w:numPr>
          </w:pPr>
          <w:r>
            <w:t>Riksdagen ställer sig bakom det som anförs i motionen om att regeringen ska återkomma till riksdagen med förslag om att införa en finsk modell för bostadslån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F451F059E045FCAEB8E7D5400C667E"/>
        </w:placeholder>
        <w:text/>
      </w:sdtPr>
      <w:sdtEndPr/>
      <w:sdtContent>
        <w:p w:rsidRPr="009B062B" w:rsidR="006D79C9" w:rsidP="00333E95" w:rsidRDefault="006D79C9" w14:paraId="31178082" w14:textId="77777777">
          <w:pPr>
            <w:pStyle w:val="Rubrik1"/>
          </w:pPr>
          <w:r>
            <w:t>Motivering</w:t>
          </w:r>
        </w:p>
      </w:sdtContent>
    </w:sdt>
    <w:p w:rsidR="00CC28A0" w:rsidP="00CC28A0" w:rsidRDefault="001F4FF2" w14:paraId="31178083" w14:textId="4CEC8E65">
      <w:pPr>
        <w:pStyle w:val="Normalutanindragellerluft"/>
      </w:pPr>
      <w:r w:rsidRPr="001F4FF2">
        <w:t>Förra året gjorde de fyra storbankerna</w:t>
      </w:r>
      <w:r>
        <w:t xml:space="preserve"> en sammanlagd vinst på hela 112</w:t>
      </w:r>
      <w:r w:rsidR="00BF35E5">
        <w:t> </w:t>
      </w:r>
      <w:r w:rsidRPr="001F4FF2">
        <w:t>miljarder kronor. En stor del av bankernas vinster kommer från bolånen.</w:t>
      </w:r>
      <w:r w:rsidR="00D05B9E">
        <w:t xml:space="preserve"> Bankernas vinster på bolånen, bolånemarginalerna, ligger på historiskt höga </w:t>
      </w:r>
      <w:r w:rsidR="00A06FB7">
        <w:t>nivåer (se figur 1 nedan). Sedan</w:t>
      </w:r>
      <w:r w:rsidR="00D05B9E">
        <w:t xml:space="preserve"> finanskrisen</w:t>
      </w:r>
      <w:r w:rsidR="00C1719F">
        <w:t xml:space="preserve"> 2008</w:t>
      </w:r>
      <w:r w:rsidR="00BF35E5">
        <w:t>–</w:t>
      </w:r>
      <w:r w:rsidR="00C1719F">
        <w:t xml:space="preserve">2009 har </w:t>
      </w:r>
      <w:r w:rsidR="00A06FB7">
        <w:t xml:space="preserve">bolånemarginalerna ökat kraftigt och </w:t>
      </w:r>
      <w:r w:rsidR="00C1719F">
        <w:t>toppade kring årsskiftet 2017/18</w:t>
      </w:r>
      <w:r w:rsidR="00A06FB7">
        <w:t>, då de låg</w:t>
      </w:r>
      <w:r w:rsidR="00C1719F">
        <w:t xml:space="preserve"> på ca 1,7</w:t>
      </w:r>
      <w:r w:rsidR="00BF35E5">
        <w:t> </w:t>
      </w:r>
      <w:r w:rsidR="00C1719F">
        <w:t>procentenheter</w:t>
      </w:r>
      <w:r w:rsidR="00E573C2">
        <w:t xml:space="preserve">. På senare tid </w:t>
      </w:r>
      <w:r w:rsidR="00C1719F">
        <w:t>har bankernas bolånemarginaler sjunkit något, men de ligger fortfarande på historiskt höga nivåer.</w:t>
      </w:r>
    </w:p>
    <w:p w:rsidR="00CC28A0" w:rsidRDefault="00CC28A0" w14:paraId="2A1F860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C28A0" w:rsidR="00D05B9E" w:rsidP="00CC28A0" w:rsidRDefault="00D05B9E" w14:paraId="31178085" w14:textId="77777777">
      <w:pPr>
        <w:pStyle w:val="Tabellrubrik"/>
        <w:keepNext/>
        <w:spacing w:after="80"/>
      </w:pPr>
      <w:r w:rsidRPr="00CC28A0">
        <w:lastRenderedPageBreak/>
        <w:t xml:space="preserve">Figur 1 Bankernas bolånemarginaler, </w:t>
      </w:r>
      <w:proofErr w:type="gramStart"/>
      <w:r w:rsidRPr="00CC28A0">
        <w:t>2003-2019</w:t>
      </w:r>
      <w:proofErr w:type="gramEnd"/>
      <w:r w:rsidRPr="00CC28A0">
        <w:t xml:space="preserve"> (juni)</w:t>
      </w:r>
    </w:p>
    <w:p w:rsidRPr="00D05B9E" w:rsidR="00D05B9E" w:rsidP="00D05B9E" w:rsidRDefault="00D05B9E" w14:paraId="31178086" w14:textId="77777777">
      <w:pPr>
        <w:ind w:firstLine="0"/>
      </w:pPr>
      <w:r>
        <w:rPr>
          <w:noProof/>
          <w:lang w:eastAsia="sv-SE"/>
          <w14:numSpacing w14:val="default"/>
        </w:rPr>
        <w:drawing>
          <wp:inline distT="0" distB="0" distL="0" distR="0" wp14:anchorId="311780A2" wp14:editId="3649744C">
            <wp:extent cx="4724400" cy="2861640"/>
            <wp:effectExtent l="19050" t="19050" r="19050" b="1524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2"/>
                    <a:stretch>
                      <a:fillRect/>
                    </a:stretch>
                  </pic:blipFill>
                  <pic:spPr>
                    <a:xfrm>
                      <a:off x="0" y="0"/>
                      <a:ext cx="4727633" cy="2863598"/>
                    </a:xfrm>
                    <a:prstGeom prst="rect">
                      <a:avLst/>
                    </a:prstGeom>
                    <a:ln w="3175">
                      <a:solidFill>
                        <a:schemeClr val="tx1"/>
                      </a:solidFill>
                    </a:ln>
                  </pic:spPr>
                </pic:pic>
              </a:graphicData>
            </a:graphic>
          </wp:inline>
        </w:drawing>
      </w:r>
    </w:p>
    <w:p w:rsidRPr="00CC28A0" w:rsidR="00BB6339" w:rsidP="00CC28A0" w:rsidRDefault="00D74552" w14:paraId="31178087" w14:textId="5CD0E7B5">
      <w:pPr>
        <w:pStyle w:val="Klla"/>
      </w:pPr>
      <w:r w:rsidRPr="00CC28A0">
        <w:t>Källa: Finansinspektionen</w:t>
      </w:r>
      <w:r w:rsidRPr="00CC28A0" w:rsidR="00BF35E5">
        <w:t>.</w:t>
      </w:r>
    </w:p>
    <w:p w:rsidR="00E573C2" w:rsidP="00CC28A0" w:rsidRDefault="00D74552" w14:paraId="3117808A" w14:textId="4AD06E42">
      <w:pPr>
        <w:pStyle w:val="Normalutanindragellerluft"/>
        <w:spacing w:before="150"/>
      </w:pPr>
      <w:r>
        <w:t xml:space="preserve">Utvecklingen i vårt nordiska grannland </w:t>
      </w:r>
      <w:r w:rsidR="00E573C2">
        <w:t>Finland har delvis varit annorlunda</w:t>
      </w:r>
      <w:r>
        <w:t>. Figuren nedan visar utvecklingen av bankernas bolånemarginaler i Sverige och Finland mellan december 2010 och juni 2019.</w:t>
      </w:r>
    </w:p>
    <w:p w:rsidRPr="00CC28A0" w:rsidR="00E573C2" w:rsidP="00CC28A0" w:rsidRDefault="00E573C2" w14:paraId="3117808B" w14:textId="77777777">
      <w:pPr>
        <w:pStyle w:val="Tabellrubrik"/>
        <w:spacing w:after="80"/>
      </w:pPr>
      <w:r w:rsidRPr="00CC28A0">
        <w:t xml:space="preserve">Figur 2 Bankernas bolånemarginaler i Sverige och Finland, dec </w:t>
      </w:r>
      <w:proofErr w:type="gramStart"/>
      <w:r w:rsidRPr="00CC28A0">
        <w:t>2010- juni</w:t>
      </w:r>
      <w:proofErr w:type="gramEnd"/>
      <w:r w:rsidRPr="00CC28A0">
        <w:t xml:space="preserve"> 2019</w:t>
      </w:r>
    </w:p>
    <w:p w:rsidR="00E573C2" w:rsidP="00D74552" w:rsidRDefault="00E573C2" w14:paraId="3117808C" w14:textId="77777777">
      <w:pPr>
        <w:ind w:firstLine="0"/>
      </w:pPr>
      <w:r>
        <w:rPr>
          <w:noProof/>
          <w:lang w:eastAsia="sv-SE"/>
          <w14:numSpacing w14:val="default"/>
        </w:rPr>
        <w:drawing>
          <wp:inline distT="0" distB="0" distL="0" distR="0" wp14:anchorId="311780A4" wp14:editId="60AC6B21">
            <wp:extent cx="4572000" cy="2743200"/>
            <wp:effectExtent l="0" t="0" r="0" b="0"/>
            <wp:docPr id="4" name="Diagram 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CC28A0" w:rsidR="00D74552" w:rsidP="00CC28A0" w:rsidRDefault="00E573C2" w14:paraId="3117808D" w14:textId="44F4CBCA">
      <w:pPr>
        <w:pStyle w:val="Klla"/>
      </w:pPr>
      <w:r w:rsidRPr="00CC28A0">
        <w:t xml:space="preserve">Källa: RUT, </w:t>
      </w:r>
      <w:r w:rsidRPr="00CC28A0" w:rsidR="00BF35E5">
        <w:t>d</w:t>
      </w:r>
      <w:r w:rsidRPr="00CC28A0">
        <w:t>nr 2019:1168</w:t>
      </w:r>
      <w:r w:rsidRPr="00CC28A0" w:rsidR="00BF35E5">
        <w:t>.</w:t>
      </w:r>
    </w:p>
    <w:p w:rsidRPr="00CC28A0" w:rsidR="004641CD" w:rsidP="00CC28A0" w:rsidRDefault="00E573C2" w14:paraId="3117808F" w14:textId="4355EDEA">
      <w:pPr>
        <w:pStyle w:val="Normalutanindragellerluft"/>
        <w:spacing w:before="150"/>
        <w:rPr>
          <w:spacing w:val="-1"/>
        </w:rPr>
      </w:pPr>
      <w:r w:rsidRPr="00CC28A0">
        <w:rPr>
          <w:spacing w:val="-1"/>
        </w:rPr>
        <w:t>Medan de svenska bankernas bolånemarginaler ökade ända fram till årsskiftet 2017/18 började de finska bankernas marginaler på bolånen att vända ned redan vid årsskiftet 2013/14. Skillnaden i bolånemarginaler mellan de både ländernas banker up</w:t>
      </w:r>
      <w:r w:rsidRPr="00CC28A0" w:rsidR="004024D7">
        <w:rPr>
          <w:spacing w:val="-1"/>
        </w:rPr>
        <w:t>pgår i</w:t>
      </w:r>
      <w:r w:rsidRPr="00CC28A0" w:rsidR="001C0DFC">
        <w:rPr>
          <w:spacing w:val="-1"/>
        </w:rPr>
        <w:t xml:space="preserve"> </w:t>
      </w:r>
      <w:r w:rsidRPr="00CC28A0" w:rsidR="004024D7">
        <w:rPr>
          <w:spacing w:val="-1"/>
        </w:rPr>
        <w:t>dag (juni</w:t>
      </w:r>
      <w:r w:rsidRPr="00CC28A0" w:rsidR="00BF35E5">
        <w:rPr>
          <w:spacing w:val="-1"/>
        </w:rPr>
        <w:t> </w:t>
      </w:r>
      <w:r w:rsidRPr="00CC28A0" w:rsidR="004024D7">
        <w:rPr>
          <w:spacing w:val="-1"/>
        </w:rPr>
        <w:t xml:space="preserve">2019) </w:t>
      </w:r>
      <w:r w:rsidRPr="00CC28A0">
        <w:rPr>
          <w:spacing w:val="-1"/>
        </w:rPr>
        <w:t>till 0,7</w:t>
      </w:r>
      <w:r w:rsidRPr="00CC28A0" w:rsidR="00BF35E5">
        <w:rPr>
          <w:spacing w:val="-1"/>
        </w:rPr>
        <w:t> </w:t>
      </w:r>
      <w:r w:rsidRPr="00CC28A0">
        <w:rPr>
          <w:spacing w:val="-1"/>
        </w:rPr>
        <w:t>procentenheter</w:t>
      </w:r>
      <w:r w:rsidRPr="00CC28A0" w:rsidR="004024D7">
        <w:rPr>
          <w:spacing w:val="-1"/>
        </w:rPr>
        <w:t xml:space="preserve">. För ett </w:t>
      </w:r>
      <w:r w:rsidRPr="00CC28A0" w:rsidR="004641CD">
        <w:rPr>
          <w:spacing w:val="-1"/>
        </w:rPr>
        <w:t xml:space="preserve">svenskt </w:t>
      </w:r>
      <w:r w:rsidRPr="00CC28A0" w:rsidR="004024D7">
        <w:rPr>
          <w:spacing w:val="-1"/>
        </w:rPr>
        <w:t>b</w:t>
      </w:r>
      <w:r w:rsidRPr="00CC28A0" w:rsidR="004641CD">
        <w:rPr>
          <w:spacing w:val="-1"/>
        </w:rPr>
        <w:t>ostadslån på 2</w:t>
      </w:r>
      <w:r w:rsidRPr="00CC28A0" w:rsidR="00BF35E5">
        <w:rPr>
          <w:spacing w:val="-1"/>
        </w:rPr>
        <w:t> </w:t>
      </w:r>
      <w:r w:rsidRPr="00CC28A0" w:rsidR="004641CD">
        <w:rPr>
          <w:spacing w:val="-1"/>
        </w:rPr>
        <w:t>miljoner kronor motsvarar detta högre räntekostnader på närmare 1</w:t>
      </w:r>
      <w:r w:rsidRPr="00CC28A0" w:rsidR="00BF35E5">
        <w:rPr>
          <w:spacing w:val="-1"/>
        </w:rPr>
        <w:t> </w:t>
      </w:r>
      <w:r w:rsidRPr="00CC28A0" w:rsidR="004641CD">
        <w:rPr>
          <w:spacing w:val="-1"/>
        </w:rPr>
        <w:t>200 kronor i månaden.</w:t>
      </w:r>
      <w:r w:rsidRPr="00CC28A0" w:rsidR="00A06FB7">
        <w:rPr>
          <w:rStyle w:val="Fotnotsreferens"/>
          <w:spacing w:val="-1"/>
        </w:rPr>
        <w:footnoteReference w:id="1"/>
      </w:r>
      <w:r w:rsidRPr="00CC28A0" w:rsidR="004641CD">
        <w:rPr>
          <w:spacing w:val="-1"/>
        </w:rPr>
        <w:t xml:space="preserve"> En bidrag</w:t>
      </w:r>
      <w:r w:rsidR="00CC28A0">
        <w:rPr>
          <w:spacing w:val="-1"/>
        </w:rPr>
        <w:softHyphen/>
      </w:r>
      <w:r w:rsidRPr="00CC28A0" w:rsidR="004641CD">
        <w:rPr>
          <w:spacing w:val="-1"/>
        </w:rPr>
        <w:t xml:space="preserve">ande orsak till att de svenska bankerna har kunnat pressa upp sina bolånemarginaler är den svaga sits som de svenska bolånekunderna har gentemot banken vid en förhandling om bolåneräntan. Kunderna vet t.ex. i allmänhet inte hur </w:t>
      </w:r>
      <w:r w:rsidRPr="00CC28A0" w:rsidR="004641CD">
        <w:rPr>
          <w:spacing w:val="-1"/>
        </w:rPr>
        <w:lastRenderedPageBreak/>
        <w:t>stora bankens upplånings</w:t>
      </w:r>
      <w:r w:rsidR="00CC28A0">
        <w:rPr>
          <w:spacing w:val="-1"/>
        </w:rPr>
        <w:softHyphen/>
      </w:r>
      <w:r w:rsidRPr="00CC28A0" w:rsidR="004641CD">
        <w:rPr>
          <w:spacing w:val="-1"/>
        </w:rPr>
        <w:t>kostnader för bolånen är, vilket gör det svårt för kunden att värdera bankens erbju</w:t>
      </w:r>
      <w:r w:rsidRPr="00CC28A0" w:rsidR="001C0DFC">
        <w:rPr>
          <w:spacing w:val="-1"/>
        </w:rPr>
        <w:t>danden i en förhandling.</w:t>
      </w:r>
    </w:p>
    <w:p w:rsidRPr="00CC28A0" w:rsidR="00E573C2" w:rsidP="00CC28A0" w:rsidRDefault="004641CD" w14:paraId="31178090" w14:textId="529D8491">
      <w:pPr>
        <w:rPr>
          <w:spacing w:val="-1"/>
        </w:rPr>
      </w:pPr>
      <w:r w:rsidRPr="00CC28A0">
        <w:rPr>
          <w:spacing w:val="-1"/>
        </w:rPr>
        <w:t xml:space="preserve">I Finland däremot sätts bostadsräntorna ofta som ett påslag på internbankräntan i euroområdet, </w:t>
      </w:r>
      <w:proofErr w:type="spellStart"/>
      <w:r w:rsidRPr="00CC28A0">
        <w:rPr>
          <w:spacing w:val="-1"/>
        </w:rPr>
        <w:t>Euribor</w:t>
      </w:r>
      <w:proofErr w:type="spellEnd"/>
      <w:r w:rsidRPr="00CC28A0">
        <w:rPr>
          <w:spacing w:val="-1"/>
        </w:rPr>
        <w:t>. Det blir då tydligt för kunden hur stort påslag banken</w:t>
      </w:r>
      <w:r w:rsidRPr="00CC28A0" w:rsidR="00546DBC">
        <w:rPr>
          <w:spacing w:val="-1"/>
        </w:rPr>
        <w:t xml:space="preserve"> gör</w:t>
      </w:r>
      <w:r w:rsidRPr="00CC28A0">
        <w:rPr>
          <w:spacing w:val="-1"/>
        </w:rPr>
        <w:t xml:space="preserve">, vilket gör det lättare för kunden att jämföra och värdera bankens erbjudande. </w:t>
      </w:r>
      <w:r w:rsidRPr="00CC28A0" w:rsidR="00CB4966">
        <w:rPr>
          <w:spacing w:val="-1"/>
        </w:rPr>
        <w:t>Vänsterpartiet föreslår att ett liknande system införs i Sverige. Bankerna ska vara skyldiga att presen</w:t>
      </w:r>
      <w:bookmarkStart w:name="_GoBack" w:id="1"/>
      <w:bookmarkEnd w:id="1"/>
      <w:r w:rsidRPr="00CC28A0" w:rsidR="00CB4966">
        <w:rPr>
          <w:spacing w:val="-1"/>
        </w:rPr>
        <w:t xml:space="preserve">tera den s.k. </w:t>
      </w:r>
      <w:proofErr w:type="spellStart"/>
      <w:r w:rsidRPr="00CC28A0" w:rsidR="00CB4966">
        <w:rPr>
          <w:spacing w:val="-1"/>
        </w:rPr>
        <w:t>S</w:t>
      </w:r>
      <w:r w:rsidRPr="00CC28A0" w:rsidR="00BF35E5">
        <w:rPr>
          <w:spacing w:val="-1"/>
        </w:rPr>
        <w:t>tibor</w:t>
      </w:r>
      <w:r w:rsidRPr="00CC28A0" w:rsidR="00CB4966">
        <w:rPr>
          <w:spacing w:val="-1"/>
        </w:rPr>
        <w:t>räntan</w:t>
      </w:r>
      <w:proofErr w:type="spellEnd"/>
      <w:r w:rsidRPr="00CC28A0" w:rsidR="00CB4966">
        <w:rPr>
          <w:spacing w:val="-1"/>
        </w:rPr>
        <w:t xml:space="preserve">, som är den svenska internbankräntan. Denna ska sedan utgöra basen för den fortsatta förhandlingen mellan kund och bank om bostadsräntan. Bankerna ska sedan vara skyldiga att redovisa påslaget på </w:t>
      </w:r>
      <w:proofErr w:type="spellStart"/>
      <w:r w:rsidRPr="00CC28A0" w:rsidR="00BF35E5">
        <w:rPr>
          <w:spacing w:val="-1"/>
        </w:rPr>
        <w:t>Stiborräntan</w:t>
      </w:r>
      <w:proofErr w:type="spellEnd"/>
      <w:r w:rsidRPr="00CC28A0" w:rsidR="00CB4966">
        <w:rPr>
          <w:spacing w:val="-1"/>
        </w:rPr>
        <w:t xml:space="preserve"> uttryckt både i procentenheter och i kronor. Regeringen bör återkomma till riksdagen med förslag om att införa en finsk modell för bostadslån i Sverige. Detta bör riksdagen ställa sig bakom och ge regeringen till känna.</w:t>
      </w:r>
    </w:p>
    <w:sdt>
      <w:sdtPr>
        <w:alias w:val="CC_Underskrifter"/>
        <w:tag w:val="CC_Underskrifter"/>
        <w:id w:val="583496634"/>
        <w:lock w:val="sdtContentLocked"/>
        <w:placeholder>
          <w:docPart w:val="DE7F3C9579934517A24C138299EA5D94"/>
        </w:placeholder>
      </w:sdtPr>
      <w:sdtEndPr/>
      <w:sdtContent>
        <w:p w:rsidR="00DF7860" w:rsidP="00DF7860" w:rsidRDefault="00DF7860" w14:paraId="31178091" w14:textId="77777777"/>
        <w:p w:rsidRPr="008E0FE2" w:rsidR="004801AC" w:rsidP="00DF7860" w:rsidRDefault="00CC28A0" w14:paraId="311780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Christina Höj Larsen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A94B63" w:rsidRDefault="00A94B63" w14:paraId="311780A2" w14:textId="77777777"/>
    <w:sectPr w:rsidR="00A94B63" w:rsidSect="00C16A70">
      <w:headerReference w:type="even" r:id="rId14"/>
      <w:headerReference w:type="default" r:id="rId15"/>
      <w:footerReference w:type="even" r:id="rId16"/>
      <w:footerReference w:type="default" r:id="rId17"/>
      <w:head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780A8" w14:textId="77777777" w:rsidR="001F4FF2" w:rsidRDefault="001F4FF2" w:rsidP="000C1CAD">
      <w:pPr>
        <w:spacing w:line="240" w:lineRule="auto"/>
      </w:pPr>
      <w:r>
        <w:separator/>
      </w:r>
    </w:p>
  </w:endnote>
  <w:endnote w:type="continuationSeparator" w:id="0">
    <w:p w14:paraId="311780A9" w14:textId="77777777" w:rsidR="001F4FF2" w:rsidRDefault="001F4F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80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80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786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780A6" w14:textId="0B9F949E" w:rsidR="001F4FF2" w:rsidRDefault="001F4FF2" w:rsidP="000C1CAD">
      <w:pPr>
        <w:spacing w:line="240" w:lineRule="auto"/>
      </w:pPr>
    </w:p>
  </w:footnote>
  <w:footnote w:type="continuationSeparator" w:id="0">
    <w:p w14:paraId="311780A7" w14:textId="77777777" w:rsidR="001F4FF2" w:rsidRDefault="001F4FF2" w:rsidP="000C1CAD">
      <w:pPr>
        <w:spacing w:line="240" w:lineRule="auto"/>
      </w:pPr>
      <w:r>
        <w:continuationSeparator/>
      </w:r>
    </w:p>
  </w:footnote>
  <w:footnote w:id="1">
    <w:p w14:paraId="311780BC" w14:textId="77777777" w:rsidR="00A06FB7" w:rsidRDefault="00A06FB7">
      <w:pPr>
        <w:pStyle w:val="Fotnotstext"/>
      </w:pPr>
      <w:r>
        <w:rPr>
          <w:rStyle w:val="Fotnotsreferens"/>
        </w:rPr>
        <w:footnoteRef/>
      </w:r>
      <w:r>
        <w:t xml:space="preserve"> RUT, Dnr 2019:1168</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1780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1780B9" wp14:anchorId="311780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28A0" w14:paraId="311780BD" w14:textId="77777777">
                          <w:pPr>
                            <w:jc w:val="right"/>
                          </w:pPr>
                          <w:sdt>
                            <w:sdtPr>
                              <w:alias w:val="CC_Noformat_Partikod"/>
                              <w:tag w:val="CC_Noformat_Partikod"/>
                              <w:id w:val="-53464382"/>
                              <w:placeholder>
                                <w:docPart w:val="76A1C1FD7EC6466B9BA6918C77BCBD62"/>
                              </w:placeholder>
                              <w:text/>
                            </w:sdtPr>
                            <w:sdtEndPr/>
                            <w:sdtContent>
                              <w:r w:rsidR="001F4FF2">
                                <w:t>V</w:t>
                              </w:r>
                            </w:sdtContent>
                          </w:sdt>
                          <w:sdt>
                            <w:sdtPr>
                              <w:alias w:val="CC_Noformat_Partinummer"/>
                              <w:tag w:val="CC_Noformat_Partinummer"/>
                              <w:id w:val="-1709555926"/>
                              <w:placeholder>
                                <w:docPart w:val="58994CAD500B4BA9BA2585AD02FCAADC"/>
                              </w:placeholder>
                              <w:text/>
                            </w:sdtPr>
                            <w:sdtEndPr/>
                            <w:sdtContent>
                              <w:r w:rsidR="001F4FF2">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1780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28A0" w14:paraId="311780BD" w14:textId="77777777">
                    <w:pPr>
                      <w:jc w:val="right"/>
                    </w:pPr>
                    <w:sdt>
                      <w:sdtPr>
                        <w:alias w:val="CC_Noformat_Partikod"/>
                        <w:tag w:val="CC_Noformat_Partikod"/>
                        <w:id w:val="-53464382"/>
                        <w:placeholder>
                          <w:docPart w:val="76A1C1FD7EC6466B9BA6918C77BCBD62"/>
                        </w:placeholder>
                        <w:text/>
                      </w:sdtPr>
                      <w:sdtEndPr/>
                      <w:sdtContent>
                        <w:r w:rsidR="001F4FF2">
                          <w:t>V</w:t>
                        </w:r>
                      </w:sdtContent>
                    </w:sdt>
                    <w:sdt>
                      <w:sdtPr>
                        <w:alias w:val="CC_Noformat_Partinummer"/>
                        <w:tag w:val="CC_Noformat_Partinummer"/>
                        <w:id w:val="-1709555926"/>
                        <w:placeholder>
                          <w:docPart w:val="58994CAD500B4BA9BA2585AD02FCAADC"/>
                        </w:placeholder>
                        <w:text/>
                      </w:sdtPr>
                      <w:sdtEndPr/>
                      <w:sdtContent>
                        <w:r w:rsidR="001F4FF2">
                          <w:t>702</w:t>
                        </w:r>
                      </w:sdtContent>
                    </w:sdt>
                  </w:p>
                </w:txbxContent>
              </v:textbox>
              <w10:wrap anchorx="page"/>
            </v:shape>
          </w:pict>
        </mc:Fallback>
      </mc:AlternateContent>
    </w:r>
  </w:p>
  <w:p w:rsidRPr="00293C4F" w:rsidR="00262EA3" w:rsidP="00776B74" w:rsidRDefault="00262EA3" w14:paraId="311780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1780AC" w14:textId="77777777">
    <w:pPr>
      <w:jc w:val="right"/>
    </w:pPr>
  </w:p>
  <w:p w:rsidR="00262EA3" w:rsidP="00776B74" w:rsidRDefault="00262EA3" w14:paraId="311780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28A0" w14:paraId="311780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1780BB" wp14:anchorId="31178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28A0" w14:paraId="311780B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F4FF2">
          <w:t>V</w:t>
        </w:r>
      </w:sdtContent>
    </w:sdt>
    <w:sdt>
      <w:sdtPr>
        <w:alias w:val="CC_Noformat_Partinummer"/>
        <w:tag w:val="CC_Noformat_Partinummer"/>
        <w:id w:val="-2014525982"/>
        <w:text/>
      </w:sdtPr>
      <w:sdtEndPr/>
      <w:sdtContent>
        <w:r w:rsidR="001F4FF2">
          <w:t>702</w:t>
        </w:r>
      </w:sdtContent>
    </w:sdt>
  </w:p>
  <w:p w:rsidRPr="008227B3" w:rsidR="00262EA3" w:rsidP="008227B3" w:rsidRDefault="00CC28A0" w14:paraId="311780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28A0" w14:paraId="311780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:589</w:t>
        </w:r>
      </w:sdtContent>
    </w:sdt>
  </w:p>
  <w:p w:rsidR="00262EA3" w:rsidP="00E03A3D" w:rsidRDefault="00CC28A0" w14:paraId="311780B4" w14:textId="77777777">
    <w:pPr>
      <w:pStyle w:val="Motionr"/>
    </w:pPr>
    <w:sdt>
      <w:sdtPr>
        <w:alias w:val="CC_Noformat_Avtext"/>
        <w:tag w:val="CC_Noformat_Avtext"/>
        <w:id w:val="-2020768203"/>
        <w:lock w:val="sdtContentLocked"/>
        <w15:appearance w15:val="hidden"/>
        <w:text/>
      </w:sdtPr>
      <w:sdtEndPr/>
      <w:sdtContent>
        <w:r>
          <w:t>av Ulla Andersson m.fl. (V)</w:t>
        </w:r>
      </w:sdtContent>
    </w:sdt>
  </w:p>
  <w:sdt>
    <w:sdtPr>
      <w:alias w:val="CC_Noformat_Rubtext"/>
      <w:tag w:val="CC_Noformat_Rubtext"/>
      <w:id w:val="-218060500"/>
      <w:lock w:val="sdtLocked"/>
      <w:text/>
    </w:sdtPr>
    <w:sdtEndPr/>
    <w:sdtContent>
      <w:p w:rsidR="00262EA3" w:rsidP="00283E0F" w:rsidRDefault="001F4FF2" w14:paraId="311780B5" w14:textId="77777777">
        <w:pPr>
          <w:pStyle w:val="FSHRub2"/>
        </w:pPr>
        <w:r>
          <w:t>Inför finsk modell för bostadslån</w:t>
        </w:r>
      </w:p>
    </w:sdtContent>
  </w:sdt>
  <w:sdt>
    <w:sdtPr>
      <w:alias w:val="CC_Boilerplate_3"/>
      <w:tag w:val="CC_Boilerplate_3"/>
      <w:id w:val="1606463544"/>
      <w:lock w:val="sdtContentLocked"/>
      <w15:appearance w15:val="hidden"/>
      <w:text w:multiLine="1"/>
    </w:sdtPr>
    <w:sdtEndPr/>
    <w:sdtContent>
      <w:p w:rsidR="00262EA3" w:rsidP="00283E0F" w:rsidRDefault="00262EA3" w14:paraId="311780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F4F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F24"/>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CF8"/>
    <w:rsid w:val="001B7753"/>
    <w:rsid w:val="001C0DFC"/>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2"/>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4D7"/>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C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DBC"/>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C39"/>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42"/>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FB7"/>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B63"/>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EBD"/>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AB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5E5"/>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19F"/>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966"/>
    <w:rsid w:val="00CB5655"/>
    <w:rsid w:val="00CB5C69"/>
    <w:rsid w:val="00CB6984"/>
    <w:rsid w:val="00CB6B0C"/>
    <w:rsid w:val="00CB6C04"/>
    <w:rsid w:val="00CC11BF"/>
    <w:rsid w:val="00CC12A8"/>
    <w:rsid w:val="00CC1D33"/>
    <w:rsid w:val="00CC24B9"/>
    <w:rsid w:val="00CC28A0"/>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B9E"/>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55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29F"/>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860"/>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3C2"/>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17807F"/>
  <w15:chartTrackingRefBased/>
  <w15:docId w15:val="{3B557555-87F7-406D-B109-D241841A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06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16" Type="http://schemas.openxmlformats.org/officeDocument/2006/relationships/footer" Target="footer1.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Blad1!$E$3</c:f>
              <c:strCache>
                <c:ptCount val="1"/>
                <c:pt idx="0">
                  <c:v>Sverige</c:v>
                </c:pt>
              </c:strCache>
            </c:strRef>
          </c:tx>
          <c:spPr>
            <a:ln w="28575" cap="rnd">
              <a:solidFill>
                <a:schemeClr val="accent1"/>
              </a:solidFill>
              <a:round/>
            </a:ln>
            <a:effectLst/>
          </c:spPr>
          <c:marker>
            <c:symbol val="none"/>
          </c:marker>
          <c:cat>
            <c:numRef>
              <c:f>Blad1!$D$4:$D$14</c:f>
              <c:numCache>
                <c:formatCode>m/d/yyyy</c:formatCode>
                <c:ptCount val="11"/>
                <c:pt idx="0">
                  <c:v>40513</c:v>
                </c:pt>
                <c:pt idx="1">
                  <c:v>40878</c:v>
                </c:pt>
                <c:pt idx="2">
                  <c:v>41244</c:v>
                </c:pt>
                <c:pt idx="3">
                  <c:v>41609</c:v>
                </c:pt>
                <c:pt idx="4">
                  <c:v>41974</c:v>
                </c:pt>
                <c:pt idx="5">
                  <c:v>42339</c:v>
                </c:pt>
                <c:pt idx="6">
                  <c:v>42705</c:v>
                </c:pt>
                <c:pt idx="7">
                  <c:v>43070</c:v>
                </c:pt>
                <c:pt idx="8">
                  <c:v>43160</c:v>
                </c:pt>
                <c:pt idx="9">
                  <c:v>43435</c:v>
                </c:pt>
                <c:pt idx="10">
                  <c:v>43617</c:v>
                </c:pt>
              </c:numCache>
            </c:numRef>
          </c:cat>
          <c:val>
            <c:numRef>
              <c:f>Blad1!$E$4:$E$14</c:f>
              <c:numCache>
                <c:formatCode>General</c:formatCode>
                <c:ptCount val="11"/>
                <c:pt idx="0">
                  <c:v>0.55000000000000004</c:v>
                </c:pt>
                <c:pt idx="1">
                  <c:v>0.9</c:v>
                </c:pt>
                <c:pt idx="2">
                  <c:v>1.33</c:v>
                </c:pt>
                <c:pt idx="3">
                  <c:v>1.2</c:v>
                </c:pt>
                <c:pt idx="4">
                  <c:v>1.53</c:v>
                </c:pt>
                <c:pt idx="5">
                  <c:v>1.44</c:v>
                </c:pt>
                <c:pt idx="6">
                  <c:v>1.66</c:v>
                </c:pt>
                <c:pt idx="7">
                  <c:v>1.71</c:v>
                </c:pt>
                <c:pt idx="8">
                  <c:v>1.64</c:v>
                </c:pt>
                <c:pt idx="9">
                  <c:v>1.5</c:v>
                </c:pt>
                <c:pt idx="10">
                  <c:v>1.44</c:v>
                </c:pt>
              </c:numCache>
            </c:numRef>
          </c:val>
          <c:smooth val="0"/>
          <c:extLst>
            <c:ext xmlns:c16="http://schemas.microsoft.com/office/drawing/2014/chart" uri="{C3380CC4-5D6E-409C-BE32-E72D297353CC}">
              <c16:uniqueId val="{00000000-BF01-4DF0-AEB3-DF7673785320}"/>
            </c:ext>
          </c:extLst>
        </c:ser>
        <c:ser>
          <c:idx val="1"/>
          <c:order val="1"/>
          <c:tx>
            <c:strRef>
              <c:f>Blad1!$F$3</c:f>
              <c:strCache>
                <c:ptCount val="1"/>
                <c:pt idx="0">
                  <c:v>Finland</c:v>
                </c:pt>
              </c:strCache>
            </c:strRef>
          </c:tx>
          <c:spPr>
            <a:ln w="28575" cap="rnd">
              <a:solidFill>
                <a:schemeClr val="accent2"/>
              </a:solidFill>
              <a:round/>
            </a:ln>
            <a:effectLst/>
          </c:spPr>
          <c:marker>
            <c:symbol val="none"/>
          </c:marker>
          <c:cat>
            <c:numRef>
              <c:f>Blad1!$D$4:$D$14</c:f>
              <c:numCache>
                <c:formatCode>m/d/yyyy</c:formatCode>
                <c:ptCount val="11"/>
                <c:pt idx="0">
                  <c:v>40513</c:v>
                </c:pt>
                <c:pt idx="1">
                  <c:v>40878</c:v>
                </c:pt>
                <c:pt idx="2">
                  <c:v>41244</c:v>
                </c:pt>
                <c:pt idx="3">
                  <c:v>41609</c:v>
                </c:pt>
                <c:pt idx="4">
                  <c:v>41974</c:v>
                </c:pt>
                <c:pt idx="5">
                  <c:v>42339</c:v>
                </c:pt>
                <c:pt idx="6">
                  <c:v>42705</c:v>
                </c:pt>
                <c:pt idx="7">
                  <c:v>43070</c:v>
                </c:pt>
                <c:pt idx="8">
                  <c:v>43160</c:v>
                </c:pt>
                <c:pt idx="9">
                  <c:v>43435</c:v>
                </c:pt>
                <c:pt idx="10">
                  <c:v>43617</c:v>
                </c:pt>
              </c:numCache>
            </c:numRef>
          </c:cat>
          <c:val>
            <c:numRef>
              <c:f>Blad1!$F$4:$F$14</c:f>
              <c:numCache>
                <c:formatCode>General</c:formatCode>
                <c:ptCount val="11"/>
                <c:pt idx="0">
                  <c:v>0.78</c:v>
                </c:pt>
                <c:pt idx="1">
                  <c:v>0.87</c:v>
                </c:pt>
                <c:pt idx="2">
                  <c:v>1.36</c:v>
                </c:pt>
                <c:pt idx="3">
                  <c:v>1.56</c:v>
                </c:pt>
                <c:pt idx="4">
                  <c:v>1.44</c:v>
                </c:pt>
                <c:pt idx="5">
                  <c:v>1.26</c:v>
                </c:pt>
                <c:pt idx="6">
                  <c:v>1.1200000000000001</c:v>
                </c:pt>
                <c:pt idx="7">
                  <c:v>0.93</c:v>
                </c:pt>
                <c:pt idx="8">
                  <c:v>0.9</c:v>
                </c:pt>
                <c:pt idx="9">
                  <c:v>0.85</c:v>
                </c:pt>
                <c:pt idx="10">
                  <c:v>0.74</c:v>
                </c:pt>
              </c:numCache>
            </c:numRef>
          </c:val>
          <c:smooth val="0"/>
          <c:extLst>
            <c:ext xmlns:c16="http://schemas.microsoft.com/office/drawing/2014/chart" uri="{C3380CC4-5D6E-409C-BE32-E72D297353CC}">
              <c16:uniqueId val="{00000001-BF01-4DF0-AEB3-DF7673785320}"/>
            </c:ext>
          </c:extLst>
        </c:ser>
        <c:dLbls>
          <c:showLegendKey val="0"/>
          <c:showVal val="0"/>
          <c:showCatName val="0"/>
          <c:showSerName val="0"/>
          <c:showPercent val="0"/>
          <c:showBubbleSize val="0"/>
        </c:dLbls>
        <c:smooth val="0"/>
        <c:axId val="604607264"/>
        <c:axId val="604604312"/>
      </c:lineChart>
      <c:dateAx>
        <c:axId val="604607264"/>
        <c:scaling>
          <c:orientation val="minMax"/>
        </c:scaling>
        <c:delete val="0"/>
        <c:axPos val="b"/>
        <c:numFmt formatCode="yyyy/mm"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04604312"/>
        <c:crosses val="autoZero"/>
        <c:auto val="1"/>
        <c:lblOffset val="100"/>
        <c:baseTimeUnit val="months"/>
        <c:majorUnit val="6"/>
        <c:majorTimeUnit val="months"/>
      </c:dateAx>
      <c:valAx>
        <c:axId val="604604312"/>
        <c:scaling>
          <c:orientation val="minMax"/>
          <c:min val="0.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0460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11F631108449EBBECBC12E627F5E71"/>
        <w:category>
          <w:name w:val="Allmänt"/>
          <w:gallery w:val="placeholder"/>
        </w:category>
        <w:types>
          <w:type w:val="bbPlcHdr"/>
        </w:types>
        <w:behaviors>
          <w:behavior w:val="content"/>
        </w:behaviors>
        <w:guid w:val="{05C8DA56-5A3E-40BD-9719-65D65C06AA20}"/>
      </w:docPartPr>
      <w:docPartBody>
        <w:p w:rsidR="00ED5A70" w:rsidRDefault="00ED5A70">
          <w:pPr>
            <w:pStyle w:val="AB11F631108449EBBECBC12E627F5E71"/>
          </w:pPr>
          <w:r w:rsidRPr="005A0A93">
            <w:rPr>
              <w:rStyle w:val="Platshllartext"/>
            </w:rPr>
            <w:t>Förslag till riksdagsbeslut</w:t>
          </w:r>
        </w:p>
      </w:docPartBody>
    </w:docPart>
    <w:docPart>
      <w:docPartPr>
        <w:name w:val="74F451F059E045FCAEB8E7D5400C667E"/>
        <w:category>
          <w:name w:val="Allmänt"/>
          <w:gallery w:val="placeholder"/>
        </w:category>
        <w:types>
          <w:type w:val="bbPlcHdr"/>
        </w:types>
        <w:behaviors>
          <w:behavior w:val="content"/>
        </w:behaviors>
        <w:guid w:val="{64E60016-0035-497A-BFB2-87ADCECC2014}"/>
      </w:docPartPr>
      <w:docPartBody>
        <w:p w:rsidR="00ED5A70" w:rsidRDefault="00ED5A70">
          <w:pPr>
            <w:pStyle w:val="74F451F059E045FCAEB8E7D5400C667E"/>
          </w:pPr>
          <w:r w:rsidRPr="005A0A93">
            <w:rPr>
              <w:rStyle w:val="Platshllartext"/>
            </w:rPr>
            <w:t>Motivering</w:t>
          </w:r>
        </w:p>
      </w:docPartBody>
    </w:docPart>
    <w:docPart>
      <w:docPartPr>
        <w:name w:val="76A1C1FD7EC6466B9BA6918C77BCBD62"/>
        <w:category>
          <w:name w:val="Allmänt"/>
          <w:gallery w:val="placeholder"/>
        </w:category>
        <w:types>
          <w:type w:val="bbPlcHdr"/>
        </w:types>
        <w:behaviors>
          <w:behavior w:val="content"/>
        </w:behaviors>
        <w:guid w:val="{5275FC60-B6AE-4AD7-A6C0-EE8F07101848}"/>
      </w:docPartPr>
      <w:docPartBody>
        <w:p w:rsidR="00ED5A70" w:rsidRDefault="00ED5A70">
          <w:pPr>
            <w:pStyle w:val="76A1C1FD7EC6466B9BA6918C77BCBD62"/>
          </w:pPr>
          <w:r>
            <w:rPr>
              <w:rStyle w:val="Platshllartext"/>
            </w:rPr>
            <w:t xml:space="preserve"> </w:t>
          </w:r>
        </w:p>
      </w:docPartBody>
    </w:docPart>
    <w:docPart>
      <w:docPartPr>
        <w:name w:val="58994CAD500B4BA9BA2585AD02FCAADC"/>
        <w:category>
          <w:name w:val="Allmänt"/>
          <w:gallery w:val="placeholder"/>
        </w:category>
        <w:types>
          <w:type w:val="bbPlcHdr"/>
        </w:types>
        <w:behaviors>
          <w:behavior w:val="content"/>
        </w:behaviors>
        <w:guid w:val="{B5F9FE8D-0DA7-4D2D-BCE2-2CA52CF99F53}"/>
      </w:docPartPr>
      <w:docPartBody>
        <w:p w:rsidR="00ED5A70" w:rsidRDefault="00ED5A70">
          <w:pPr>
            <w:pStyle w:val="58994CAD500B4BA9BA2585AD02FCAADC"/>
          </w:pPr>
          <w:r>
            <w:t xml:space="preserve"> </w:t>
          </w:r>
        </w:p>
      </w:docPartBody>
    </w:docPart>
    <w:docPart>
      <w:docPartPr>
        <w:name w:val="DE7F3C9579934517A24C138299EA5D94"/>
        <w:category>
          <w:name w:val="Allmänt"/>
          <w:gallery w:val="placeholder"/>
        </w:category>
        <w:types>
          <w:type w:val="bbPlcHdr"/>
        </w:types>
        <w:behaviors>
          <w:behavior w:val="content"/>
        </w:behaviors>
        <w:guid w:val="{FE11FF15-E8FE-444B-9CE2-9110440F3188}"/>
      </w:docPartPr>
      <w:docPartBody>
        <w:p w:rsidR="002B7F88" w:rsidRDefault="002B7F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A70"/>
    <w:rsid w:val="002B7F88"/>
    <w:rsid w:val="00ED5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11F631108449EBBECBC12E627F5E71">
    <w:name w:val="AB11F631108449EBBECBC12E627F5E71"/>
  </w:style>
  <w:style w:type="paragraph" w:customStyle="1" w:styleId="9938B9BCED3149F9873E7804DE5B1CE6">
    <w:name w:val="9938B9BCED3149F9873E7804DE5B1C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FD8B1FCE434F3CB627B74485F86A2F">
    <w:name w:val="EDFD8B1FCE434F3CB627B74485F86A2F"/>
  </w:style>
  <w:style w:type="paragraph" w:customStyle="1" w:styleId="74F451F059E045FCAEB8E7D5400C667E">
    <w:name w:val="74F451F059E045FCAEB8E7D5400C667E"/>
  </w:style>
  <w:style w:type="paragraph" w:customStyle="1" w:styleId="991E8DFEFD6A4C28891B442FE03125FD">
    <w:name w:val="991E8DFEFD6A4C28891B442FE03125FD"/>
  </w:style>
  <w:style w:type="paragraph" w:customStyle="1" w:styleId="13BC738F994B442F88A89E5FF0160D14">
    <w:name w:val="13BC738F994B442F88A89E5FF0160D14"/>
  </w:style>
  <w:style w:type="paragraph" w:customStyle="1" w:styleId="76A1C1FD7EC6466B9BA6918C77BCBD62">
    <w:name w:val="76A1C1FD7EC6466B9BA6918C77BCBD62"/>
  </w:style>
  <w:style w:type="paragraph" w:customStyle="1" w:styleId="58994CAD500B4BA9BA2585AD02FCAADC">
    <w:name w:val="58994CAD500B4BA9BA2585AD02FCA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B39EF-27B2-49B3-A989-BA9268FEEFD2}"/>
</file>

<file path=customXml/itemProps2.xml><?xml version="1.0" encoding="utf-8"?>
<ds:datastoreItem xmlns:ds="http://schemas.openxmlformats.org/officeDocument/2006/customXml" ds:itemID="{A3184399-5557-4AC0-9B67-66AB75BA0421}"/>
</file>

<file path=customXml/itemProps3.xml><?xml version="1.0" encoding="utf-8"?>
<ds:datastoreItem xmlns:ds="http://schemas.openxmlformats.org/officeDocument/2006/customXml" ds:itemID="{38225502-06AF-4F54-8CC1-2451007B6BB2}"/>
</file>

<file path=docProps/app.xml><?xml version="1.0" encoding="utf-8"?>
<Properties xmlns="http://schemas.openxmlformats.org/officeDocument/2006/extended-properties" xmlns:vt="http://schemas.openxmlformats.org/officeDocument/2006/docPropsVTypes">
  <Template>Normal</Template>
  <TotalTime>11</TotalTime>
  <Pages>3</Pages>
  <Words>430</Words>
  <Characters>2492</Characters>
  <Application>Microsoft Office Word</Application>
  <DocSecurity>0</DocSecurity>
  <Lines>57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V702 Inför finsk modell för bostadslån</vt:lpstr>
      <vt:lpstr>
      </vt:lpstr>
    </vt:vector>
  </TitlesOfParts>
  <Company>Sveriges riksdag</Company>
  <LinksUpToDate>false</LinksUpToDate>
  <CharactersWithSpaces>2899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