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606686" w:rsidRPr="00005077">
        <w:tc>
          <w:tcPr>
            <w:tcW w:w="2268" w:type="dxa"/>
          </w:tcPr>
          <w:p w:rsidR="00606686" w:rsidRPr="00005077" w:rsidRDefault="00606686" w:rsidP="007242A3">
            <w:pPr>
              <w:framePr w:w="5035" w:h="1644" w:wrap="notBeside" w:vAnchor="page" w:hAnchor="page" w:x="6573" w:y="721"/>
              <w:rPr>
                <w:rFonts w:ascii="TradeGothic" w:hAnsi="TradeGothic"/>
                <w:i/>
                <w:sz w:val="18"/>
              </w:rPr>
            </w:pPr>
          </w:p>
        </w:tc>
        <w:tc>
          <w:tcPr>
            <w:tcW w:w="2999" w:type="dxa"/>
            <w:gridSpan w:val="2"/>
          </w:tcPr>
          <w:p w:rsidR="00606686" w:rsidRPr="00AF3405" w:rsidRDefault="00606686" w:rsidP="00AF3405">
            <w:pPr>
              <w:framePr w:w="5035" w:h="1644" w:wrap="notBeside" w:vAnchor="page" w:hAnchor="page" w:x="6573" w:y="721"/>
              <w:jc w:val="center"/>
              <w:rPr>
                <w:rFonts w:ascii="TradeGothic" w:hAnsi="TradeGothic"/>
                <w:sz w:val="18"/>
              </w:rPr>
            </w:pPr>
            <w:r>
              <w:rPr>
                <w:rFonts w:ascii="TradeGothic" w:hAnsi="TradeGothic"/>
                <w:sz w:val="18"/>
              </w:rPr>
              <w:t>Ekofin</w:t>
            </w:r>
          </w:p>
        </w:tc>
      </w:tr>
      <w:tr w:rsidR="00606686" w:rsidRPr="00005077">
        <w:tc>
          <w:tcPr>
            <w:tcW w:w="2268" w:type="dxa"/>
          </w:tcPr>
          <w:p w:rsidR="00606686" w:rsidRPr="00005077" w:rsidRDefault="00606686"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606686" w:rsidRPr="00005077" w:rsidRDefault="00606686" w:rsidP="007C14A6">
            <w:pPr>
              <w:framePr w:w="5035" w:h="1644" w:wrap="notBeside" w:vAnchor="page" w:hAnchor="page" w:x="6573" w:y="721"/>
              <w:rPr>
                <w:rFonts w:ascii="TradeGothic" w:hAnsi="TradeGothic"/>
                <w:b/>
                <w:sz w:val="22"/>
              </w:rPr>
            </w:pPr>
          </w:p>
        </w:tc>
      </w:tr>
      <w:tr w:rsidR="00606686" w:rsidRPr="00005077">
        <w:tc>
          <w:tcPr>
            <w:tcW w:w="3402" w:type="dxa"/>
            <w:gridSpan w:val="2"/>
          </w:tcPr>
          <w:p w:rsidR="00606686" w:rsidRPr="00005077" w:rsidRDefault="00606686" w:rsidP="007242A3">
            <w:pPr>
              <w:framePr w:w="5035" w:h="1644" w:wrap="notBeside" w:vAnchor="page" w:hAnchor="page" w:x="6573" w:y="721"/>
            </w:pPr>
          </w:p>
        </w:tc>
        <w:tc>
          <w:tcPr>
            <w:tcW w:w="1865" w:type="dxa"/>
          </w:tcPr>
          <w:p w:rsidR="00606686" w:rsidRPr="00005077" w:rsidRDefault="00606686" w:rsidP="007242A3">
            <w:pPr>
              <w:framePr w:w="5035" w:h="1644" w:wrap="notBeside" w:vAnchor="page" w:hAnchor="page" w:x="6573" w:y="721"/>
            </w:pPr>
          </w:p>
        </w:tc>
      </w:tr>
      <w:tr w:rsidR="00606686" w:rsidRPr="00005077">
        <w:tc>
          <w:tcPr>
            <w:tcW w:w="2268" w:type="dxa"/>
          </w:tcPr>
          <w:p w:rsidR="00606686" w:rsidRPr="00005077" w:rsidRDefault="00606686" w:rsidP="00601A62">
            <w:pPr>
              <w:framePr w:w="5035" w:h="1644" w:wrap="notBeside" w:vAnchor="page" w:hAnchor="page" w:x="6573" w:y="721"/>
            </w:pPr>
            <w:r>
              <w:t>2013-06-10</w:t>
            </w:r>
          </w:p>
        </w:tc>
        <w:tc>
          <w:tcPr>
            <w:tcW w:w="2999" w:type="dxa"/>
            <w:gridSpan w:val="2"/>
          </w:tcPr>
          <w:p w:rsidR="00606686" w:rsidRPr="00005077" w:rsidRDefault="00606686" w:rsidP="00761BFC">
            <w:pPr>
              <w:framePr w:w="5035" w:h="1644" w:wrap="notBeside" w:vAnchor="page" w:hAnchor="page" w:x="6573" w:y="721"/>
              <w:rPr>
                <w:sz w:val="20"/>
              </w:rPr>
            </w:pPr>
            <w:r>
              <w:rPr>
                <w:sz w:val="20"/>
              </w:rPr>
              <w:t>Fi 2013/147</w:t>
            </w:r>
          </w:p>
        </w:tc>
      </w:tr>
      <w:tr w:rsidR="00606686" w:rsidRPr="00005077">
        <w:tc>
          <w:tcPr>
            <w:tcW w:w="2268" w:type="dxa"/>
          </w:tcPr>
          <w:p w:rsidR="00606686" w:rsidRPr="00005077" w:rsidRDefault="00606686" w:rsidP="007242A3">
            <w:pPr>
              <w:framePr w:w="5035" w:h="1644" w:wrap="notBeside" w:vAnchor="page" w:hAnchor="page" w:x="6573" w:y="721"/>
            </w:pPr>
          </w:p>
        </w:tc>
        <w:tc>
          <w:tcPr>
            <w:tcW w:w="2999" w:type="dxa"/>
            <w:gridSpan w:val="2"/>
          </w:tcPr>
          <w:p w:rsidR="00606686" w:rsidRPr="00005077" w:rsidRDefault="00606686" w:rsidP="007242A3">
            <w:pPr>
              <w:framePr w:w="5035" w:h="1644" w:wrap="notBeside" w:vAnchor="page" w:hAnchor="page" w:x="6573" w:y="721"/>
            </w:pPr>
          </w:p>
        </w:tc>
      </w:tr>
    </w:tbl>
    <w:p w:rsidR="00606686" w:rsidRPr="00F31507" w:rsidRDefault="00606686" w:rsidP="00F31507">
      <w:pPr>
        <w:rPr>
          <w:vanish/>
        </w:rPr>
      </w:pPr>
    </w:p>
    <w:tbl>
      <w:tblPr>
        <w:tblW w:w="0" w:type="auto"/>
        <w:tblLayout w:type="fixed"/>
        <w:tblLook w:val="0000"/>
      </w:tblPr>
      <w:tblGrid>
        <w:gridCol w:w="4911"/>
      </w:tblGrid>
      <w:tr w:rsidR="00606686" w:rsidRPr="00005077">
        <w:trPr>
          <w:trHeight w:val="284"/>
        </w:trPr>
        <w:tc>
          <w:tcPr>
            <w:tcW w:w="4911" w:type="dxa"/>
          </w:tcPr>
          <w:p w:rsidR="00606686" w:rsidRPr="00005077" w:rsidRDefault="00606686">
            <w:pPr>
              <w:pStyle w:val="Avsndare"/>
              <w:framePr w:h="2483" w:wrap="notBeside" w:x="1504"/>
              <w:rPr>
                <w:b/>
                <w:i w:val="0"/>
                <w:sz w:val="22"/>
              </w:rPr>
            </w:pPr>
            <w:r>
              <w:rPr>
                <w:b/>
                <w:i w:val="0"/>
                <w:sz w:val="22"/>
              </w:rPr>
              <w:t>Finansdepartementet</w:t>
            </w:r>
          </w:p>
        </w:tc>
      </w:tr>
      <w:tr w:rsidR="00606686" w:rsidRPr="00005077">
        <w:trPr>
          <w:trHeight w:val="284"/>
        </w:trPr>
        <w:tc>
          <w:tcPr>
            <w:tcW w:w="4911" w:type="dxa"/>
          </w:tcPr>
          <w:p w:rsidR="00606686" w:rsidRPr="00005077" w:rsidRDefault="00606686">
            <w:pPr>
              <w:pStyle w:val="Avsndare"/>
              <w:framePr w:h="2483" w:wrap="notBeside" w:x="1504"/>
              <w:rPr>
                <w:bCs/>
                <w:iCs/>
              </w:rPr>
            </w:pPr>
          </w:p>
        </w:tc>
      </w:tr>
      <w:tr w:rsidR="00606686" w:rsidRPr="00005077">
        <w:trPr>
          <w:trHeight w:val="284"/>
        </w:trPr>
        <w:tc>
          <w:tcPr>
            <w:tcW w:w="4911" w:type="dxa"/>
          </w:tcPr>
          <w:p w:rsidR="00606686" w:rsidRPr="00005077" w:rsidRDefault="00606686">
            <w:pPr>
              <w:pStyle w:val="Avsndare"/>
              <w:framePr w:h="2483" w:wrap="notBeside" w:x="1504"/>
              <w:rPr>
                <w:bCs/>
                <w:iCs/>
              </w:rPr>
            </w:pPr>
          </w:p>
        </w:tc>
      </w:tr>
      <w:tr w:rsidR="00606686" w:rsidRPr="00005077">
        <w:trPr>
          <w:trHeight w:val="284"/>
        </w:trPr>
        <w:tc>
          <w:tcPr>
            <w:tcW w:w="4911" w:type="dxa"/>
          </w:tcPr>
          <w:p w:rsidR="00606686" w:rsidRPr="00005077" w:rsidRDefault="00606686">
            <w:pPr>
              <w:pStyle w:val="Avsndare"/>
              <w:framePr w:h="2483" w:wrap="notBeside" w:x="1504"/>
              <w:rPr>
                <w:bCs/>
                <w:iCs/>
              </w:rPr>
            </w:pPr>
          </w:p>
        </w:tc>
      </w:tr>
      <w:tr w:rsidR="00606686" w:rsidRPr="00005077">
        <w:trPr>
          <w:trHeight w:val="284"/>
        </w:trPr>
        <w:tc>
          <w:tcPr>
            <w:tcW w:w="4911" w:type="dxa"/>
          </w:tcPr>
          <w:p w:rsidR="00606686" w:rsidRPr="00005077" w:rsidRDefault="00606686">
            <w:pPr>
              <w:pStyle w:val="Avsndare"/>
              <w:framePr w:h="2483" w:wrap="notBeside" w:x="1504"/>
              <w:rPr>
                <w:bCs/>
                <w:iCs/>
              </w:rPr>
            </w:pPr>
          </w:p>
        </w:tc>
      </w:tr>
      <w:tr w:rsidR="00606686" w:rsidRPr="00005077">
        <w:trPr>
          <w:trHeight w:val="284"/>
        </w:trPr>
        <w:tc>
          <w:tcPr>
            <w:tcW w:w="4911" w:type="dxa"/>
          </w:tcPr>
          <w:p w:rsidR="00606686" w:rsidRPr="00005077" w:rsidRDefault="00606686">
            <w:pPr>
              <w:pStyle w:val="Avsndare"/>
              <w:framePr w:h="2483" w:wrap="notBeside" w:x="1504"/>
              <w:rPr>
                <w:bCs/>
                <w:iCs/>
              </w:rPr>
            </w:pPr>
          </w:p>
        </w:tc>
      </w:tr>
      <w:tr w:rsidR="00606686" w:rsidRPr="00005077">
        <w:trPr>
          <w:trHeight w:val="284"/>
        </w:trPr>
        <w:tc>
          <w:tcPr>
            <w:tcW w:w="4911" w:type="dxa"/>
          </w:tcPr>
          <w:p w:rsidR="00606686" w:rsidRPr="00005077" w:rsidRDefault="00606686">
            <w:pPr>
              <w:pStyle w:val="Avsndare"/>
              <w:framePr w:h="2483" w:wrap="notBeside" w:x="1504"/>
              <w:rPr>
                <w:bCs/>
                <w:iCs/>
              </w:rPr>
            </w:pPr>
          </w:p>
        </w:tc>
      </w:tr>
    </w:tbl>
    <w:p w:rsidR="00606686" w:rsidRDefault="00606686">
      <w:pPr>
        <w:framePr w:w="4400" w:h="2523" w:wrap="notBeside" w:vAnchor="page" w:hAnchor="page" w:x="6453" w:y="2445"/>
        <w:ind w:left="142"/>
      </w:pPr>
      <w:r>
        <w:t>Till: Riksdagen</w:t>
      </w:r>
    </w:p>
    <w:p w:rsidR="00606686" w:rsidRDefault="00606686">
      <w:pPr>
        <w:framePr w:w="4400" w:h="2523" w:wrap="notBeside" w:vAnchor="page" w:hAnchor="page" w:x="6453" w:y="2445"/>
        <w:ind w:left="142"/>
      </w:pPr>
    </w:p>
    <w:p w:rsidR="00606686" w:rsidRDefault="00606686">
      <w:pPr>
        <w:framePr w:w="4400" w:h="2523" w:wrap="notBeside" w:vAnchor="page" w:hAnchor="page" w:x="6453" w:y="2445"/>
        <w:ind w:left="142"/>
      </w:pPr>
      <w:r>
        <w:t xml:space="preserve">Ekofinrådets möte den </w:t>
      </w:r>
    </w:p>
    <w:p w:rsidR="00606686" w:rsidRPr="00005077" w:rsidRDefault="00606686">
      <w:pPr>
        <w:framePr w:w="4400" w:h="2523" w:wrap="notBeside" w:vAnchor="page" w:hAnchor="page" w:x="6453" w:y="2445"/>
        <w:ind w:left="142"/>
      </w:pPr>
      <w:r>
        <w:t>21 juni i Luxemburg</w:t>
      </w:r>
    </w:p>
    <w:p w:rsidR="00606686" w:rsidRPr="00005077" w:rsidRDefault="00606686" w:rsidP="00005077">
      <w:pPr>
        <w:pStyle w:val="RKrubrik"/>
        <w:pBdr>
          <w:bottom w:val="single" w:sz="4" w:space="1" w:color="000000"/>
        </w:pBdr>
        <w:spacing w:before="0" w:after="0"/>
      </w:pPr>
      <w:r>
        <w:t>Kommenterad dagordning</w:t>
      </w:r>
    </w:p>
    <w:p w:rsidR="00606686" w:rsidRPr="00005077" w:rsidRDefault="00606686">
      <w:pPr>
        <w:pStyle w:val="RKnormal"/>
        <w:rPr>
          <w:sz w:val="20"/>
        </w:rPr>
      </w:pPr>
      <w:r>
        <w:rPr>
          <w:sz w:val="20"/>
        </w:rPr>
        <w:t xml:space="preserve">- enligt den preliminära dagordning som framkom </w:t>
      </w:r>
      <w:r w:rsidRPr="00E12752">
        <w:rPr>
          <w:sz w:val="20"/>
        </w:rPr>
        <w:t xml:space="preserve">i Coreper den </w:t>
      </w:r>
      <w:r w:rsidRPr="00DE2E09">
        <w:rPr>
          <w:sz w:val="20"/>
        </w:rPr>
        <w:t>29</w:t>
      </w:r>
      <w:r w:rsidRPr="00E12752">
        <w:rPr>
          <w:sz w:val="20"/>
        </w:rPr>
        <w:t xml:space="preserve"> maj</w:t>
      </w:r>
    </w:p>
    <w:p w:rsidR="00606686" w:rsidRDefault="00606686" w:rsidP="00013C04">
      <w:pPr>
        <w:pStyle w:val="Heading2"/>
        <w:numPr>
          <w:ilvl w:val="0"/>
          <w:numId w:val="7"/>
        </w:numPr>
        <w:rPr>
          <w:lang w:eastAsia="sv-SE"/>
        </w:rPr>
      </w:pPr>
      <w:r>
        <w:rPr>
          <w:lang w:eastAsia="sv-SE"/>
        </w:rPr>
        <w:t>Godkännande av den preliminära dagordningen</w:t>
      </w:r>
    </w:p>
    <w:p w:rsidR="00606686" w:rsidRDefault="00606686" w:rsidP="00196DDE">
      <w:pPr>
        <w:pStyle w:val="Heading2"/>
        <w:rPr>
          <w:u w:val="single"/>
        </w:rPr>
      </w:pPr>
      <w:r>
        <w:rPr>
          <w:u w:val="single"/>
        </w:rPr>
        <w:t>Icke lagstiftande verksamhet</w:t>
      </w:r>
    </w:p>
    <w:p w:rsidR="00606686" w:rsidRDefault="00606686" w:rsidP="0028134B">
      <w:pPr>
        <w:pStyle w:val="Heading2"/>
        <w:numPr>
          <w:ilvl w:val="0"/>
          <w:numId w:val="7"/>
        </w:numPr>
        <w:rPr>
          <w:rStyle w:val="Strong"/>
          <w:b/>
        </w:rPr>
      </w:pPr>
      <w:r w:rsidRPr="0028134B">
        <w:rPr>
          <w:rStyle w:val="Strong"/>
          <w:b/>
        </w:rPr>
        <w:t>Godkännande av listan över A-punkter</w:t>
      </w:r>
    </w:p>
    <w:p w:rsidR="00606686" w:rsidRDefault="00606686" w:rsidP="009972E5">
      <w:pPr>
        <w:pStyle w:val="Heading2"/>
        <w:numPr>
          <w:ilvl w:val="0"/>
          <w:numId w:val="7"/>
        </w:numPr>
        <w:ind w:left="1134" w:hanging="774"/>
        <w:rPr>
          <w:lang w:eastAsia="sv-SE"/>
        </w:rPr>
      </w:pPr>
      <w:r>
        <w:rPr>
          <w:lang w:eastAsia="sv-SE"/>
        </w:rPr>
        <w:t>Bidrag till Europeiska rådets möte 27-28 juni 2013 – Europeiska terminen 2013</w:t>
      </w:r>
    </w:p>
    <w:p w:rsidR="00606686" w:rsidRDefault="00606686" w:rsidP="00C923D4">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ab/>
      </w:r>
      <w:r w:rsidRPr="00572980">
        <w:rPr>
          <w:rFonts w:ascii="TradeGothic" w:hAnsi="TradeGothic"/>
          <w:b/>
          <w:kern w:val="28"/>
          <w:sz w:val="22"/>
          <w:lang w:eastAsia="sv-SE"/>
        </w:rPr>
        <w:t>3</w:t>
      </w:r>
      <w:r>
        <w:rPr>
          <w:rFonts w:ascii="TradeGothic" w:hAnsi="TradeGothic"/>
          <w:b/>
          <w:kern w:val="28"/>
          <w:sz w:val="22"/>
          <w:lang w:eastAsia="sv-SE"/>
        </w:rPr>
        <w:t xml:space="preserve"> (</w:t>
      </w:r>
      <w:r w:rsidRPr="00572980">
        <w:rPr>
          <w:rFonts w:ascii="TradeGothic" w:hAnsi="TradeGothic"/>
          <w:b/>
          <w:kern w:val="28"/>
          <w:sz w:val="22"/>
          <w:lang w:eastAsia="sv-SE"/>
        </w:rPr>
        <w:t>a)</w:t>
      </w:r>
      <w:r>
        <w:rPr>
          <w:rFonts w:ascii="TradeGothic" w:hAnsi="TradeGothic"/>
          <w:b/>
          <w:kern w:val="28"/>
          <w:sz w:val="22"/>
          <w:lang w:eastAsia="sv-SE"/>
        </w:rPr>
        <w:t xml:space="preserve">. Rådets rekommendationer och yttranden </w:t>
      </w:r>
    </w:p>
    <w:p w:rsidR="00606686" w:rsidRDefault="00606686" w:rsidP="00C923D4">
      <w:pPr>
        <w:pStyle w:val="RKnormal"/>
        <w:numPr>
          <w:ilvl w:val="3"/>
          <w:numId w:val="7"/>
        </w:numPr>
        <w:tabs>
          <w:tab w:val="clear" w:pos="2835"/>
          <w:tab w:val="left" w:pos="1276"/>
        </w:tabs>
        <w:ind w:left="1134" w:firstLine="0"/>
        <w:rPr>
          <w:b/>
          <w:i/>
          <w:kern w:val="28"/>
          <w:sz w:val="22"/>
          <w:lang w:eastAsia="sv-SE"/>
        </w:rPr>
      </w:pPr>
      <w:r>
        <w:rPr>
          <w:b/>
          <w:i/>
          <w:kern w:val="28"/>
          <w:sz w:val="22"/>
          <w:lang w:eastAsia="sv-SE"/>
        </w:rPr>
        <w:t xml:space="preserve">Godkännande </w:t>
      </w:r>
    </w:p>
    <w:p w:rsidR="00606686" w:rsidRDefault="00606686" w:rsidP="00C923D4">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ab/>
      </w:r>
      <w:r w:rsidRPr="00572980">
        <w:rPr>
          <w:rFonts w:ascii="TradeGothic" w:hAnsi="TradeGothic"/>
          <w:b/>
          <w:kern w:val="28"/>
          <w:sz w:val="22"/>
          <w:lang w:eastAsia="sv-SE"/>
        </w:rPr>
        <w:t>3</w:t>
      </w:r>
      <w:r>
        <w:rPr>
          <w:rFonts w:ascii="TradeGothic" w:hAnsi="TradeGothic"/>
          <w:b/>
          <w:kern w:val="28"/>
          <w:sz w:val="22"/>
          <w:lang w:eastAsia="sv-SE"/>
        </w:rPr>
        <w:t xml:space="preserve"> (b</w:t>
      </w:r>
      <w:r w:rsidRPr="00572980">
        <w:rPr>
          <w:rFonts w:ascii="TradeGothic" w:hAnsi="TradeGothic"/>
          <w:b/>
          <w:kern w:val="28"/>
          <w:sz w:val="22"/>
          <w:lang w:eastAsia="sv-SE"/>
        </w:rPr>
        <w:t>)</w:t>
      </w:r>
      <w:r>
        <w:rPr>
          <w:rFonts w:ascii="TradeGothic" w:hAnsi="TradeGothic"/>
          <w:b/>
          <w:kern w:val="28"/>
          <w:sz w:val="22"/>
          <w:lang w:eastAsia="sv-SE"/>
        </w:rPr>
        <w:t xml:space="preserve">. Rådets rekommendation till euroländerna </w:t>
      </w:r>
    </w:p>
    <w:p w:rsidR="00606686" w:rsidRDefault="00606686" w:rsidP="00572980">
      <w:pPr>
        <w:pStyle w:val="RKnormal"/>
        <w:numPr>
          <w:ilvl w:val="3"/>
          <w:numId w:val="7"/>
        </w:numPr>
        <w:tabs>
          <w:tab w:val="clear" w:pos="2835"/>
          <w:tab w:val="left" w:pos="1276"/>
        </w:tabs>
        <w:spacing w:after="240"/>
        <w:ind w:left="1134" w:firstLine="0"/>
        <w:rPr>
          <w:b/>
          <w:i/>
          <w:kern w:val="28"/>
          <w:sz w:val="22"/>
          <w:lang w:eastAsia="sv-SE"/>
        </w:rPr>
      </w:pPr>
      <w:r>
        <w:rPr>
          <w:b/>
          <w:i/>
          <w:kern w:val="28"/>
          <w:sz w:val="22"/>
          <w:lang w:eastAsia="sv-SE"/>
        </w:rPr>
        <w:t xml:space="preserve">Godkännande </w:t>
      </w:r>
    </w:p>
    <w:p w:rsidR="00606686" w:rsidRDefault="00606686" w:rsidP="00C1636D">
      <w:r>
        <w:t xml:space="preserve">Rådet ska godkänna landspecifika rekommendationer till medlemsstaterna inom ramen för den europeiska terminen (samt gemensamma rekommendationer riktad till alla euroländer). </w:t>
      </w:r>
    </w:p>
    <w:p w:rsidR="00606686" w:rsidRDefault="00606686" w:rsidP="00C1636D"/>
    <w:p w:rsidR="00606686" w:rsidRDefault="00606686" w:rsidP="00C1636D">
      <w:pPr>
        <w:rPr>
          <w:color w:val="000000"/>
        </w:rPr>
      </w:pPr>
      <w:r>
        <w:rPr>
          <w:color w:val="000000"/>
        </w:rPr>
        <w:t xml:space="preserve">Rekommendationerna baseras på de allmänna riktlinjerna för den ekonomiska politiken och sysselsättningsriktlinjerna samt ländernas nationella reformprogram och stabilitets- eller konvergensprogram. </w:t>
      </w:r>
    </w:p>
    <w:p w:rsidR="00606686" w:rsidRDefault="00606686" w:rsidP="00C1636D">
      <w:pPr>
        <w:rPr>
          <w:color w:val="000000"/>
        </w:rPr>
      </w:pPr>
    </w:p>
    <w:p w:rsidR="00606686" w:rsidRDefault="00606686" w:rsidP="00C1636D">
      <w:pPr>
        <w:rPr>
          <w:color w:val="000000"/>
        </w:rPr>
      </w:pPr>
      <w:r>
        <w:rPr>
          <w:color w:val="000000"/>
        </w:rPr>
        <w:t xml:space="preserve">Rådet antar även en gemensam rekommendation som riktar sig till de medlemsstater som har euron som valuta. Endast euroländer har rösträtt avseende denna rekommendation. </w:t>
      </w:r>
    </w:p>
    <w:p w:rsidR="00606686" w:rsidRDefault="00606686" w:rsidP="00C1636D">
      <w:pPr>
        <w:rPr>
          <w:color w:val="000000"/>
        </w:rPr>
      </w:pPr>
    </w:p>
    <w:p w:rsidR="00606686" w:rsidRDefault="00606686" w:rsidP="00C1636D">
      <w:pPr>
        <w:rPr>
          <w:color w:val="000000"/>
        </w:rPr>
      </w:pPr>
      <w:r>
        <w:rPr>
          <w:color w:val="000000"/>
        </w:rPr>
        <w:t xml:space="preserve">Rekommendationerna ska godkännas av Ekofinrådet (de delar som rör de allmänna riktlinjerna för den ekonomiska politiken) och Epscorådet (de delar som rör sysselsättningsriktlinjerna) i syfte att få politisk stöd vid Europeiska rådet i juni och slutligen antas av rådet i juli. </w:t>
      </w:r>
    </w:p>
    <w:p w:rsidR="00606686" w:rsidRDefault="00606686" w:rsidP="00C1636D"/>
    <w:p w:rsidR="00606686" w:rsidRDefault="00606686" w:rsidP="00C1636D">
      <w:pPr>
        <w:rPr>
          <w:szCs w:val="24"/>
        </w:rPr>
      </w:pPr>
      <w:r>
        <w:rPr>
          <w:szCs w:val="24"/>
        </w:rPr>
        <w:t xml:space="preserve">Sverige har ställt sig bakom EU:s regler för den ekonomisk-politiska samordningen, där det bland annat framgår att medlemsstaterna ska betrakta den ekonomiska politiken som en fråga av gemensamt intresse och samordna denna inom rådet.  </w:t>
      </w:r>
    </w:p>
    <w:p w:rsidR="00606686" w:rsidRDefault="00606686" w:rsidP="00C1636D">
      <w:pPr>
        <w:rPr>
          <w:szCs w:val="24"/>
        </w:rPr>
      </w:pPr>
    </w:p>
    <w:p w:rsidR="00606686" w:rsidRDefault="00606686" w:rsidP="00C1636D">
      <w:pPr>
        <w:rPr>
          <w:szCs w:val="24"/>
        </w:rPr>
      </w:pPr>
      <w:r>
        <w:rPr>
          <w:szCs w:val="24"/>
        </w:rPr>
        <w:t>Inom ramen för den ekonomisk-politiska samordningen riktas rekommendationer till medlemsstaterna. Sverige ser rekommendationerna som ett viktigt instrument för att uppmuntra till en ansvarfull ekonomisk politik och uppfyllelse av de mål som sätts upp inom ramen för samordningen av den ekonomiska politiken. Rekommendationerna ska samtidigt respektera nationell praxis och de nationella systemen för lönebildning.</w:t>
      </w:r>
    </w:p>
    <w:p w:rsidR="00606686" w:rsidRDefault="00606686" w:rsidP="00C1636D">
      <w:pPr>
        <w:rPr>
          <w:szCs w:val="24"/>
        </w:rPr>
      </w:pPr>
    </w:p>
    <w:p w:rsidR="00606686" w:rsidRDefault="00606686" w:rsidP="00C1636D">
      <w:pPr>
        <w:rPr>
          <w:szCs w:val="24"/>
        </w:rPr>
      </w:pPr>
      <w:r>
        <w:rPr>
          <w:szCs w:val="24"/>
        </w:rPr>
        <w:t>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w:t>
      </w:r>
    </w:p>
    <w:p w:rsidR="00606686" w:rsidRDefault="00606686" w:rsidP="00C1636D">
      <w:pPr>
        <w:rPr>
          <w:szCs w:val="24"/>
        </w:rPr>
      </w:pPr>
    </w:p>
    <w:p w:rsidR="00606686" w:rsidRDefault="00606686" w:rsidP="00C1636D">
      <w:pPr>
        <w:rPr>
          <w:szCs w:val="24"/>
        </w:rPr>
      </w:pPr>
      <w:r>
        <w:rPr>
          <w:szCs w:val="24"/>
        </w:rPr>
        <w:t xml:space="preserve">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 </w:t>
      </w:r>
    </w:p>
    <w:p w:rsidR="00606686" w:rsidRDefault="00606686" w:rsidP="00C1636D">
      <w:pPr>
        <w:rPr>
          <w:szCs w:val="24"/>
        </w:rPr>
      </w:pPr>
    </w:p>
    <w:p w:rsidR="00606686" w:rsidRDefault="00606686" w:rsidP="00C1636D">
      <w:pPr>
        <w:rPr>
          <w:szCs w:val="24"/>
        </w:rPr>
      </w:pPr>
      <w:r>
        <w:rPr>
          <w:szCs w:val="24"/>
        </w:rPr>
        <w:t xml:space="preserve">Regeringen ställer sig bakom att rekommendationer ges till medlemsländerna. Det är sedan upp till varje medlemsland att välja hur man förhåller sig till rekommendationerna. </w:t>
      </w:r>
    </w:p>
    <w:p w:rsidR="00606686" w:rsidRPr="00572980" w:rsidRDefault="00606686" w:rsidP="00572980">
      <w:pPr>
        <w:pStyle w:val="RKnormal"/>
        <w:spacing w:line="240" w:lineRule="auto"/>
        <w:rPr>
          <w:b/>
          <w:kern w:val="28"/>
          <w:sz w:val="22"/>
          <w:lang w:eastAsia="sv-SE"/>
        </w:rPr>
      </w:pPr>
    </w:p>
    <w:p w:rsidR="00606686" w:rsidRDefault="00606686" w:rsidP="00C923D4">
      <w:pPr>
        <w:pStyle w:val="RKnormal"/>
        <w:tabs>
          <w:tab w:val="clear" w:pos="2835"/>
          <w:tab w:val="left" w:pos="567"/>
        </w:tabs>
        <w:ind w:left="360"/>
        <w:rPr>
          <w:rFonts w:ascii="TradeGothic" w:hAnsi="TradeGothic"/>
          <w:b/>
          <w:kern w:val="28"/>
          <w:sz w:val="22"/>
          <w:lang w:eastAsia="sv-SE"/>
        </w:rPr>
      </w:pPr>
      <w:r w:rsidRPr="00572980">
        <w:rPr>
          <w:rFonts w:ascii="TradeGothic" w:hAnsi="TradeGothic"/>
          <w:b/>
          <w:kern w:val="28"/>
          <w:sz w:val="22"/>
          <w:lang w:eastAsia="sv-SE"/>
        </w:rPr>
        <w:t>3</w:t>
      </w:r>
      <w:r>
        <w:rPr>
          <w:rFonts w:ascii="TradeGothic" w:hAnsi="TradeGothic"/>
          <w:b/>
          <w:kern w:val="28"/>
          <w:sz w:val="22"/>
          <w:lang w:eastAsia="sv-SE"/>
        </w:rPr>
        <w:t xml:space="preserve"> (c</w:t>
      </w:r>
      <w:r w:rsidRPr="00572980">
        <w:rPr>
          <w:rFonts w:ascii="TradeGothic" w:hAnsi="TradeGothic"/>
          <w:b/>
          <w:kern w:val="28"/>
          <w:sz w:val="22"/>
          <w:lang w:eastAsia="sv-SE"/>
        </w:rPr>
        <w:t>)</w:t>
      </w:r>
      <w:r>
        <w:rPr>
          <w:rFonts w:ascii="TradeGothic" w:hAnsi="TradeGothic"/>
          <w:b/>
          <w:kern w:val="28"/>
          <w:sz w:val="22"/>
          <w:lang w:eastAsia="sv-SE"/>
        </w:rPr>
        <w:t xml:space="preserve">. Rådslutsatser om Kroatien </w:t>
      </w:r>
    </w:p>
    <w:p w:rsidR="00606686" w:rsidRDefault="00606686" w:rsidP="00572980">
      <w:pPr>
        <w:pStyle w:val="RKnormal"/>
        <w:numPr>
          <w:ilvl w:val="3"/>
          <w:numId w:val="7"/>
        </w:numPr>
        <w:tabs>
          <w:tab w:val="clear" w:pos="2835"/>
          <w:tab w:val="left" w:pos="1276"/>
        </w:tabs>
        <w:spacing w:after="240"/>
        <w:ind w:left="1134" w:firstLine="0"/>
        <w:rPr>
          <w:b/>
          <w:i/>
          <w:kern w:val="28"/>
          <w:sz w:val="22"/>
          <w:lang w:eastAsia="sv-SE"/>
        </w:rPr>
      </w:pPr>
      <w:r>
        <w:rPr>
          <w:b/>
          <w:i/>
          <w:kern w:val="28"/>
          <w:sz w:val="22"/>
          <w:lang w:eastAsia="sv-SE"/>
        </w:rPr>
        <w:t xml:space="preserve">Antagande </w:t>
      </w:r>
    </w:p>
    <w:p w:rsidR="00606686" w:rsidRDefault="00606686" w:rsidP="00C1636D">
      <w:r>
        <w:t xml:space="preserve">Kroatiens ekonomiska program har analyserats av kommissionen. Ekofinrådet väntas godkänna slutsatserna från översynen. </w:t>
      </w:r>
    </w:p>
    <w:p w:rsidR="00606686" w:rsidRDefault="00606686" w:rsidP="00C1636D"/>
    <w:p w:rsidR="00606686" w:rsidRDefault="00606686" w:rsidP="00C1636D">
      <w:r>
        <w:t>Eftersom Kroatien ännu inte är medlem i EU (inträdesdatum är satt till den 1 juli i år) omfattas landet ännu inte av den europiska terminen. Trots det har Kroatien frivilligt valt att skicka in ett ekonomiskt program enligt tidtabellen för den europeiska semestern 2013. Rådet kommer dock inte att utfärda landspecifika rekommendationer för Kroatien vid detta tillfälle.</w:t>
      </w:r>
    </w:p>
    <w:p w:rsidR="00606686" w:rsidRDefault="00606686" w:rsidP="00C1636D">
      <w:pPr>
        <w:rPr>
          <w:b/>
          <w:i/>
          <w:kern w:val="28"/>
          <w:sz w:val="22"/>
          <w:lang w:eastAsia="sv-SE"/>
        </w:rPr>
      </w:pPr>
    </w:p>
    <w:p w:rsidR="00606686" w:rsidRPr="006B69F4" w:rsidRDefault="00606686" w:rsidP="00C1636D">
      <w:r>
        <w:t>Regeringen kan ställa sig bakom kommissionens utkast till slutsatser.</w:t>
      </w:r>
      <w:r>
        <w:rPr>
          <w:i/>
          <w:color w:val="000000"/>
        </w:rPr>
        <w:t xml:space="preserve"> </w:t>
      </w:r>
    </w:p>
    <w:p w:rsidR="00606686" w:rsidRPr="006C4B59" w:rsidRDefault="00606686" w:rsidP="00603DD1">
      <w:pPr>
        <w:pStyle w:val="Heading2"/>
        <w:numPr>
          <w:ilvl w:val="0"/>
          <w:numId w:val="7"/>
        </w:numPr>
      </w:pPr>
      <w:r w:rsidRPr="006C4B59">
        <w:t xml:space="preserve">Genomförande av stabilitets- och tillväxtpakten </w:t>
      </w:r>
    </w:p>
    <w:p w:rsidR="00606686" w:rsidRDefault="00606686" w:rsidP="00C1636D">
      <w:r w:rsidRPr="003A4DFF">
        <w:t>Ekofinrådet väntas anta rekommendationer och beslut inom ramen</w:t>
      </w:r>
      <w:r>
        <w:t xml:space="preserve"> för</w:t>
      </w:r>
      <w:r w:rsidRPr="003A4DFF">
        <w:t xml:space="preserve"> </w:t>
      </w:r>
      <w:r>
        <w:t>s</w:t>
      </w:r>
      <w:r w:rsidRPr="003A4DFF">
        <w:t>tabilitets- och tillväxtpaktens korrigerande del.</w:t>
      </w:r>
    </w:p>
    <w:p w:rsidR="00606686" w:rsidRDefault="00606686" w:rsidP="00C1636D"/>
    <w:p w:rsidR="00606686" w:rsidRDefault="00606686" w:rsidP="00C1636D">
      <w:r>
        <w:t xml:space="preserve">För närvarande </w:t>
      </w:r>
      <w:r w:rsidRPr="00F75A4D">
        <w:t>befinner sig</w:t>
      </w:r>
      <w:r>
        <w:t xml:space="preserve"> 20 medlemsstater </w:t>
      </w:r>
      <w:r w:rsidRPr="00F75A4D">
        <w:t xml:space="preserve">i </w:t>
      </w:r>
      <w:r>
        <w:t>underskottsförfarande vilket innebär att de bryter mot stabilitets- och tillväxtpaktens regler om alltför stora underskott i den offentliga sektorns finanser. Med anledning av den senaste tidens ekonomiska utveckling och försämrade utsikter för den kommande utvecklingen, rekommenderar kommissionen rådet att förlänga tidsfristerna för korrigering av alltför stora underskott för sex medlemsstater, avbryta underskottsförfarandet för fem medlemsstater, inleda underskottsförfarande för Malta, samt trappa upp underskottsförfarandet för Belgien.</w:t>
      </w:r>
    </w:p>
    <w:p w:rsidR="00606686" w:rsidRDefault="00606686" w:rsidP="00C1636D"/>
    <w:p w:rsidR="00606686" w:rsidRDefault="00606686" w:rsidP="00C1636D">
      <w:r w:rsidRPr="00EB650E">
        <w:rPr>
          <w:color w:val="000000"/>
        </w:rPr>
        <w:t>Regeringen avser att ställa sig bakom kommissionens</w:t>
      </w:r>
      <w:r>
        <w:rPr>
          <w:color w:val="000000"/>
        </w:rPr>
        <w:t xml:space="preserve"> </w:t>
      </w:r>
      <w:r w:rsidRPr="00EB650E">
        <w:rPr>
          <w:color w:val="000000"/>
        </w:rPr>
        <w:t xml:space="preserve">rekommendationer. </w:t>
      </w:r>
      <w:r>
        <w:t>Endast länder med euro som valuta har rösträtt då beslut tas gällande andra euroländer. Samtliga medlemsstater deltar i besluten för icke-euroländer. Berörd medlemsstats röst räknas inte.</w:t>
      </w:r>
    </w:p>
    <w:p w:rsidR="00606686" w:rsidRDefault="00606686" w:rsidP="001726CF">
      <w:pPr>
        <w:pStyle w:val="Heading2"/>
        <w:numPr>
          <w:ilvl w:val="0"/>
          <w:numId w:val="7"/>
        </w:numPr>
      </w:pPr>
      <w:r>
        <w:t xml:space="preserve">Rapport från kommissionen och EIB till Europeiska rådet </w:t>
      </w:r>
    </w:p>
    <w:p w:rsidR="00606686" w:rsidRDefault="00606686" w:rsidP="00EF07F1">
      <w:pPr>
        <w:pStyle w:val="Heading4"/>
        <w:ind w:left="1134"/>
      </w:pPr>
      <w:r>
        <w:t>- Presentation och diskussion</w:t>
      </w:r>
    </w:p>
    <w:p w:rsidR="00606686" w:rsidRDefault="00606686" w:rsidP="00C1636D">
      <w:r>
        <w:t xml:space="preserve">Vid mötet väntas en presentation av en rapport från kommissionen och EIB </w:t>
      </w:r>
      <w:r w:rsidRPr="00EF07F1">
        <w:t>om genomförandet av ”Pakten för tillväxt och sysselsättning”</w:t>
      </w:r>
      <w:r>
        <w:t xml:space="preserve">, följt av en diskussion. </w:t>
      </w:r>
    </w:p>
    <w:p w:rsidR="00606686" w:rsidRDefault="00606686" w:rsidP="00C1636D"/>
    <w:p w:rsidR="00606686" w:rsidRDefault="00606686" w:rsidP="00C1636D">
      <w:r w:rsidRPr="00EF07F1">
        <w:t>Vid Europeiska rådet</w:t>
      </w:r>
      <w:r>
        <w:t>s möte</w:t>
      </w:r>
      <w:r w:rsidRPr="00EF07F1">
        <w:t xml:space="preserve"> den 14-15 mars 2013 fastslogs att kommissionen och EIB skulle återrapportera om genomförandet av ”Pakten för tillväxt och sysselsättning” under juni månad, med specifikt fokus på infrastruktur, den digitala ekonomin, effektivt resurs- och energiutnyttjande, forskning och innovation, samt små- och medelstora företag. </w:t>
      </w:r>
    </w:p>
    <w:p w:rsidR="00606686" w:rsidRDefault="00606686" w:rsidP="00C1636D"/>
    <w:p w:rsidR="00606686" w:rsidRPr="00EF07F1" w:rsidRDefault="00606686" w:rsidP="00C1636D">
      <w:r w:rsidRPr="00EF07F1">
        <w:t>I skrivande stund har ingen rapport presenterats</w:t>
      </w:r>
      <w:r>
        <w:t xml:space="preserve">. </w:t>
      </w:r>
      <w:r w:rsidRPr="00EF07F1">
        <w:t>Regeringen</w:t>
      </w:r>
      <w:r>
        <w:t xml:space="preserve"> </w:t>
      </w:r>
      <w:r w:rsidRPr="00EF07F1">
        <w:t>återkomm</w:t>
      </w:r>
      <w:r>
        <w:t xml:space="preserve">er med ståndpunkt </w:t>
      </w:r>
      <w:r w:rsidRPr="00EF07F1">
        <w:t>efter att rapporten har inkommit.</w:t>
      </w:r>
    </w:p>
    <w:p w:rsidR="00606686" w:rsidRPr="006C4B59" w:rsidRDefault="00606686" w:rsidP="005E0FBB">
      <w:pPr>
        <w:pStyle w:val="Heading2"/>
        <w:keepLines/>
        <w:numPr>
          <w:ilvl w:val="0"/>
          <w:numId w:val="7"/>
        </w:numPr>
      </w:pPr>
      <w:r w:rsidRPr="006C4B59">
        <w:t xml:space="preserve">(ev.) Finansiellt stöd till Irland och Portugal </w:t>
      </w:r>
    </w:p>
    <w:p w:rsidR="00606686" w:rsidRDefault="00606686" w:rsidP="005E0FBB">
      <w:pPr>
        <w:pStyle w:val="RKnormal"/>
        <w:keepNext/>
        <w:keepLines/>
        <w:numPr>
          <w:ilvl w:val="3"/>
          <w:numId w:val="7"/>
        </w:numPr>
        <w:tabs>
          <w:tab w:val="clear" w:pos="2835"/>
          <w:tab w:val="left" w:pos="1276"/>
        </w:tabs>
        <w:spacing w:after="240"/>
        <w:ind w:left="1134" w:firstLine="0"/>
        <w:rPr>
          <w:b/>
          <w:i/>
          <w:kern w:val="28"/>
          <w:sz w:val="22"/>
          <w:lang w:eastAsia="sv-SE"/>
        </w:rPr>
      </w:pPr>
      <w:r>
        <w:rPr>
          <w:b/>
          <w:i/>
          <w:kern w:val="28"/>
          <w:sz w:val="22"/>
          <w:lang w:eastAsia="sv-SE"/>
        </w:rPr>
        <w:t xml:space="preserve">Antagande </w:t>
      </w:r>
    </w:p>
    <w:p w:rsidR="00606686" w:rsidRDefault="00606686" w:rsidP="005E0FBB">
      <w:pPr>
        <w:keepNext/>
        <w:keepLines/>
      </w:pPr>
      <w:r>
        <w:t>Rådet väntas formellt besluta att godkänna förlängningarna av EFSM-lånens löptider till Irland och Portugal samt förändringarna i respektive rådsbeslut.</w:t>
      </w:r>
    </w:p>
    <w:p w:rsidR="00606686" w:rsidRPr="00DE2E09" w:rsidRDefault="00606686" w:rsidP="00C1636D"/>
    <w:p w:rsidR="00606686" w:rsidRPr="00DE2E09" w:rsidRDefault="00606686" w:rsidP="00C1636D">
      <w:r w:rsidRPr="00DE2E09">
        <w:t xml:space="preserve">Finansutskottet informerades 2013-04-09 om </w:t>
      </w:r>
      <w:r>
        <w:t xml:space="preserve">förslaget att </w:t>
      </w:r>
      <w:r w:rsidRPr="00DE2E09">
        <w:t>förläng</w:t>
      </w:r>
      <w:r>
        <w:t xml:space="preserve">a löptiden för Irlands och Portugals </w:t>
      </w:r>
      <w:r w:rsidRPr="00DE2E09">
        <w:t>EFSM-lån</w:t>
      </w:r>
      <w:r>
        <w:t>.</w:t>
      </w:r>
      <w:r w:rsidRPr="00DE2E09">
        <w:t xml:space="preserve"> </w:t>
      </w:r>
    </w:p>
    <w:p w:rsidR="00606686" w:rsidRPr="00DE2E09" w:rsidRDefault="00606686" w:rsidP="00C1636D"/>
    <w:p w:rsidR="00606686" w:rsidRDefault="00606686" w:rsidP="00C1636D">
      <w:r>
        <w:t xml:space="preserve">Kommissionen har föreslagit </w:t>
      </w:r>
      <w:r w:rsidRPr="00DE2E09">
        <w:t>en 7-</w:t>
      </w:r>
      <w:r w:rsidRPr="001A6FA0">
        <w:t xml:space="preserve">årig förlängning av de genomsnittliga löptiderna på lånen från EFSM. Vid informella Ekofin i Dublin den 12-13 april nådde finansministrarna en informell överenskommelse om denna förlängning. Överenskommelsen villkorades bl.a. </w:t>
      </w:r>
      <w:r>
        <w:t>med</w:t>
      </w:r>
      <w:r w:rsidRPr="001A6FA0">
        <w:t xml:space="preserve"> att länderna följer sina respektive ekonomiska anpassningsprogram väl och</w:t>
      </w:r>
      <w:r>
        <w:t xml:space="preserve"> att Irlands </w:t>
      </w:r>
      <w:r w:rsidRPr="001A6FA0">
        <w:t>nionde</w:t>
      </w:r>
      <w:r>
        <w:t xml:space="preserve"> programöversyn</w:t>
      </w:r>
      <w:r w:rsidRPr="001A6FA0">
        <w:t xml:space="preserve"> och Portugal</w:t>
      </w:r>
      <w:r>
        <w:t>s</w:t>
      </w:r>
      <w:r w:rsidRPr="001A6FA0">
        <w:t xml:space="preserve"> sjunde programöversyn</w:t>
      </w:r>
      <w:r>
        <w:t xml:space="preserve"> godkändes</w:t>
      </w:r>
      <w:r w:rsidRPr="001A6FA0">
        <w:t xml:space="preserve">. </w:t>
      </w:r>
    </w:p>
    <w:p w:rsidR="00606686" w:rsidRDefault="00606686" w:rsidP="00C1636D"/>
    <w:p w:rsidR="00606686" w:rsidRPr="00425952" w:rsidRDefault="00606686" w:rsidP="00C1636D">
      <w:pPr>
        <w:rPr>
          <w:color w:val="000000"/>
          <w:sz w:val="28"/>
          <w:szCs w:val="28"/>
        </w:rPr>
      </w:pPr>
      <w:r>
        <w:rPr>
          <w:color w:val="000000"/>
        </w:rPr>
        <w:t xml:space="preserve">Regeringen kan ställa sig bakom förlängningen av EFSM-lånens löptider till Irland och Portugal och därmed ändringarna i respektive rådsbeslut. </w:t>
      </w:r>
    </w:p>
    <w:p w:rsidR="00606686" w:rsidRPr="00726DBE" w:rsidRDefault="00606686" w:rsidP="008649AC">
      <w:pPr>
        <w:pStyle w:val="Heading2"/>
        <w:numPr>
          <w:ilvl w:val="0"/>
          <w:numId w:val="7"/>
        </w:numPr>
        <w:ind w:left="1134" w:hanging="774"/>
      </w:pPr>
      <w:r w:rsidRPr="00726DBE">
        <w:t>(ev.) Medelfristiga budgetmål och operationalisering av investeringsklausulen i stabilitets- och tillväxtpakten</w:t>
      </w:r>
    </w:p>
    <w:p w:rsidR="00606686" w:rsidRPr="00C45D0B" w:rsidRDefault="00606686" w:rsidP="00EB0EAE">
      <w:pPr>
        <w:pStyle w:val="Heading4"/>
        <w:ind w:left="1080"/>
      </w:pPr>
      <w:r w:rsidRPr="00726DBE">
        <w:t>- Diskussion</w:t>
      </w:r>
      <w:r w:rsidRPr="00C45D0B">
        <w:t xml:space="preserve"> </w:t>
      </w:r>
    </w:p>
    <w:p w:rsidR="00606686" w:rsidRPr="00C45D0B" w:rsidRDefault="00606686" w:rsidP="00C1636D">
      <w:r w:rsidRPr="00C45D0B">
        <w:t xml:space="preserve">Ekofinrådet </w:t>
      </w:r>
      <w:r>
        <w:t>väntas</w:t>
      </w:r>
      <w:r w:rsidRPr="00C45D0B">
        <w:t xml:space="preserve"> diskutera ett meddelande från kommissionen avseende dels medlemsstaternas anpassningsbanor mot sina medelfristiga budgetmål, dels offentliga investeringar inom ramen för den förebyggande delen av stabilitets- och tillväxtpakten. Kommissionen har ännu inte presenterat något meddelande. </w:t>
      </w:r>
    </w:p>
    <w:p w:rsidR="00606686" w:rsidRPr="00C45D0B" w:rsidRDefault="00606686" w:rsidP="00C1636D"/>
    <w:p w:rsidR="00606686" w:rsidRPr="00DE2E09" w:rsidRDefault="00606686" w:rsidP="00C1636D">
      <w:r w:rsidRPr="00C92E67">
        <w:t xml:space="preserve">Enligt </w:t>
      </w:r>
      <w:r w:rsidRPr="00DE2E09">
        <w:t xml:space="preserve">Fördraget om stabilitet, samordning och styrning inom EMU (den s.k. finanspakten) ska de medlemsstater som är bundna av dess finanspolitiska bestämmelser ha ett medelfristigt budgetmål och om detta inte är uppnått säkerställa en snabb konvergens mot detta mål. Kommissionen väntas i </w:t>
      </w:r>
      <w:r>
        <w:t xml:space="preserve">den första delen av </w:t>
      </w:r>
      <w:r w:rsidRPr="00DE2E09">
        <w:t xml:space="preserve">meddelandet redogöra för respektive berörd medlemsstats konvergens mot sitt medelfristiga budgetmål. </w:t>
      </w:r>
    </w:p>
    <w:p w:rsidR="00606686" w:rsidRPr="00DE2E09" w:rsidRDefault="00606686" w:rsidP="00C1636D"/>
    <w:p w:rsidR="00606686" w:rsidRPr="00C45D0B" w:rsidRDefault="00606686" w:rsidP="00C1636D">
      <w:r w:rsidRPr="00DE2E09">
        <w:t xml:space="preserve">Vidare väntas </w:t>
      </w:r>
      <w:r>
        <w:t xml:space="preserve">den andra delen av </w:t>
      </w:r>
      <w:r w:rsidRPr="00DE2E09">
        <w:t>meddelandet redogöra för</w:t>
      </w:r>
      <w:r>
        <w:t xml:space="preserve"> hur en undantagsklausul i </w:t>
      </w:r>
      <w:r w:rsidRPr="00DE2E09">
        <w:t xml:space="preserve">den förebyggande delen av stabilitets- och tillväxtpakten </w:t>
      </w:r>
      <w:r>
        <w:t xml:space="preserve">kan tolkas. Detta handlar om att </w:t>
      </w:r>
      <w:r w:rsidRPr="00DE2E09">
        <w:t xml:space="preserve">i vissa fall tillåta </w:t>
      </w:r>
      <w:r>
        <w:t xml:space="preserve">medlemsstater att </w:t>
      </w:r>
      <w:r w:rsidRPr="00DE2E09">
        <w:t xml:space="preserve">avvika från anpassningsbanan mot sitt medelfristiga budgetmål för att kompensera för utgifter förknippade med vissa offentliga investeringar som är samfinansierade av EU. </w:t>
      </w:r>
      <w:r>
        <w:t>Operationaliseringen</w:t>
      </w:r>
      <w:r w:rsidRPr="00DE2E09">
        <w:t xml:space="preserve"> väntas inte kräva någon ändring av regelverket eller formellt beslut av rådet. Frågan har tidigare behandlats i underkommittéer till rådet.</w:t>
      </w:r>
      <w:r w:rsidRPr="00C45D0B">
        <w:t xml:space="preserve"> </w:t>
      </w:r>
    </w:p>
    <w:p w:rsidR="00606686" w:rsidRDefault="00606686" w:rsidP="00C1636D"/>
    <w:p w:rsidR="00606686" w:rsidRDefault="00606686" w:rsidP="00C1636D">
      <w:r>
        <w:t xml:space="preserve">Sverige är inte bundet av de finanspolitiska reglerna i finanspakten. Därför berörs Sverige inte av den första delen av meddelandet. </w:t>
      </w:r>
    </w:p>
    <w:p w:rsidR="00606686" w:rsidRDefault="00606686" w:rsidP="00C1636D"/>
    <w:p w:rsidR="00606686" w:rsidRDefault="00606686" w:rsidP="00C1636D">
      <w:r>
        <w:t xml:space="preserve">Vad gäller den andra delen av meddelandet som förväntas beröra offentliga investeringar i den förebyggande delen av stabilitets- och tillväxtpakten, anser regeringen att investeringar i real- och humankapital är förutsättningar för långsiktig tillväxt. Vid tolkning av undantagsklausuler bör emellertid alltid en avvägning göras gentemot risken att stabilitets- och tillväxtpaktens regelverk kan komma att försvagas. </w:t>
      </w:r>
    </w:p>
    <w:p w:rsidR="00606686" w:rsidRPr="00451C5D" w:rsidRDefault="00606686" w:rsidP="001726CF">
      <w:pPr>
        <w:pStyle w:val="Heading2"/>
        <w:numPr>
          <w:ilvl w:val="0"/>
          <w:numId w:val="7"/>
        </w:numPr>
        <w:ind w:left="1134" w:hanging="774"/>
      </w:pPr>
      <w:r>
        <w:t xml:space="preserve">ECB/kommissionens konvergensrapporter och utvidgning av euroområdet </w:t>
      </w:r>
    </w:p>
    <w:p w:rsidR="00606686" w:rsidRDefault="00606686" w:rsidP="00D6783C">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ab/>
        <w:t>8 (</w:t>
      </w:r>
      <w:r w:rsidRPr="00572980">
        <w:rPr>
          <w:rFonts w:ascii="TradeGothic" w:hAnsi="TradeGothic"/>
          <w:b/>
          <w:kern w:val="28"/>
          <w:sz w:val="22"/>
          <w:lang w:eastAsia="sv-SE"/>
        </w:rPr>
        <w:t>a)</w:t>
      </w:r>
      <w:r>
        <w:rPr>
          <w:rFonts w:ascii="TradeGothic" w:hAnsi="TradeGothic"/>
          <w:b/>
          <w:kern w:val="28"/>
          <w:sz w:val="22"/>
          <w:lang w:eastAsia="sv-SE"/>
        </w:rPr>
        <w:t>. F</w:t>
      </w:r>
      <w:r w:rsidRPr="00EB0EAE">
        <w:rPr>
          <w:rFonts w:ascii="TradeGothic" w:hAnsi="TradeGothic"/>
          <w:b/>
          <w:kern w:val="28"/>
          <w:sz w:val="22"/>
          <w:lang w:eastAsia="sv-SE"/>
        </w:rPr>
        <w:t>örslag om införande av euro som valuta i Lettland</w:t>
      </w:r>
    </w:p>
    <w:p w:rsidR="00606686" w:rsidRDefault="00606686" w:rsidP="00455C56">
      <w:pPr>
        <w:pStyle w:val="RKnormal"/>
        <w:numPr>
          <w:ilvl w:val="3"/>
          <w:numId w:val="7"/>
        </w:numPr>
        <w:tabs>
          <w:tab w:val="clear" w:pos="2835"/>
          <w:tab w:val="left" w:pos="1276"/>
        </w:tabs>
        <w:ind w:left="1134" w:firstLine="0"/>
        <w:rPr>
          <w:b/>
          <w:i/>
          <w:kern w:val="28"/>
          <w:sz w:val="22"/>
          <w:lang w:eastAsia="sv-SE"/>
        </w:rPr>
      </w:pPr>
      <w:r>
        <w:rPr>
          <w:b/>
          <w:i/>
          <w:kern w:val="28"/>
          <w:sz w:val="22"/>
          <w:lang w:eastAsia="sv-SE"/>
        </w:rPr>
        <w:t xml:space="preserve">Antagande </w:t>
      </w:r>
    </w:p>
    <w:p w:rsidR="00606686" w:rsidRDefault="00606686" w:rsidP="00D6783C">
      <w:pPr>
        <w:pStyle w:val="RKnormal"/>
        <w:tabs>
          <w:tab w:val="clear" w:pos="2835"/>
          <w:tab w:val="left" w:pos="567"/>
        </w:tabs>
        <w:ind w:left="360"/>
        <w:rPr>
          <w:rFonts w:ascii="TradeGothic" w:hAnsi="TradeGothic"/>
          <w:b/>
          <w:kern w:val="28"/>
          <w:sz w:val="22"/>
          <w:lang w:eastAsia="sv-SE"/>
        </w:rPr>
      </w:pPr>
      <w:r>
        <w:rPr>
          <w:rFonts w:ascii="TradeGothic" w:hAnsi="TradeGothic"/>
          <w:b/>
          <w:kern w:val="28"/>
          <w:sz w:val="22"/>
          <w:lang w:eastAsia="sv-SE"/>
        </w:rPr>
        <w:tab/>
        <w:t>8 (b</w:t>
      </w:r>
      <w:r w:rsidRPr="00572980">
        <w:rPr>
          <w:rFonts w:ascii="TradeGothic" w:hAnsi="TradeGothic"/>
          <w:b/>
          <w:kern w:val="28"/>
          <w:sz w:val="22"/>
          <w:lang w:eastAsia="sv-SE"/>
        </w:rPr>
        <w:t>)</w:t>
      </w:r>
      <w:r>
        <w:rPr>
          <w:rFonts w:ascii="TradeGothic" w:hAnsi="TradeGothic"/>
          <w:b/>
          <w:kern w:val="28"/>
          <w:sz w:val="22"/>
          <w:lang w:eastAsia="sv-SE"/>
        </w:rPr>
        <w:t>. B</w:t>
      </w:r>
      <w:r w:rsidRPr="00EB0EAE">
        <w:rPr>
          <w:rFonts w:ascii="TradeGothic" w:hAnsi="TradeGothic"/>
          <w:b/>
          <w:kern w:val="28"/>
          <w:sz w:val="22"/>
          <w:lang w:eastAsia="sv-SE"/>
        </w:rPr>
        <w:t xml:space="preserve">rev från Ekofinrådets ordförande till Europeiska rådet </w:t>
      </w:r>
    </w:p>
    <w:p w:rsidR="00606686" w:rsidRDefault="00606686" w:rsidP="00EB0EAE">
      <w:pPr>
        <w:pStyle w:val="RKnormal"/>
        <w:tabs>
          <w:tab w:val="clear" w:pos="2835"/>
          <w:tab w:val="left" w:pos="1276"/>
        </w:tabs>
        <w:spacing w:after="240"/>
        <w:ind w:left="1134"/>
        <w:rPr>
          <w:b/>
          <w:i/>
          <w:kern w:val="28"/>
          <w:sz w:val="22"/>
          <w:lang w:eastAsia="sv-SE"/>
        </w:rPr>
      </w:pPr>
      <w:r>
        <w:rPr>
          <w:b/>
          <w:i/>
          <w:kern w:val="28"/>
          <w:sz w:val="22"/>
          <w:lang w:eastAsia="sv-SE"/>
        </w:rPr>
        <w:t xml:space="preserve">- Förberedelse  </w:t>
      </w:r>
    </w:p>
    <w:p w:rsidR="00606686" w:rsidRDefault="00606686" w:rsidP="00C1636D">
      <w:r w:rsidRPr="00AB7D93">
        <w:t xml:space="preserve">Ekofinrådet ska </w:t>
      </w:r>
      <w:r>
        <w:t xml:space="preserve">ta ställning till kommissionens förslag om </w:t>
      </w:r>
      <w:r w:rsidRPr="00AB7D93">
        <w:t>införande av euro som valuta i Lettland</w:t>
      </w:r>
      <w:r>
        <w:t xml:space="preserve"> på en rekommendation från euroländerna</w:t>
      </w:r>
      <w:r w:rsidRPr="00AB7D93">
        <w:t>.</w:t>
      </w:r>
      <w:r>
        <w:t xml:space="preserve"> Rådet väntas även förbereda ett utkast till brev från Ekofinrådets ordförande till Europeiska rådet. Brevet redogör för Lettlands uppfyllande av konvergens</w:t>
      </w:r>
      <w:r>
        <w:softHyphen/>
        <w:t xml:space="preserve">kriterierna. </w:t>
      </w:r>
    </w:p>
    <w:p w:rsidR="00606686" w:rsidRDefault="00606686" w:rsidP="00C1636D"/>
    <w:p w:rsidR="00606686" w:rsidRDefault="00606686" w:rsidP="00C1636D">
      <w:r>
        <w:rPr>
          <w:color w:val="000000"/>
        </w:rPr>
        <w:t xml:space="preserve">Lettland begärde den 5 mars 2013 en konvergensprövning med mål att införa euro den 1 januari 2014. ECB och kommissionen har under våren förberett konvergensrapporter som publicerades den 5 juni 2013. </w:t>
      </w:r>
      <w:r>
        <w:t>E</w:t>
      </w:r>
      <w:r>
        <w:rPr>
          <w:rFonts w:cs="Helv"/>
          <w:color w:val="000000"/>
          <w:szCs w:val="24"/>
          <w:lang w:eastAsia="sv-SE"/>
        </w:rPr>
        <w:t xml:space="preserve">konomiska kriterier som ska uppfyllas för eurointräde är </w:t>
      </w:r>
      <w:r>
        <w:t>prisstabilitet, sunda offentliga finanser, växelkurs</w:t>
      </w:r>
      <w:r>
        <w:softHyphen/>
        <w:t>stabilitet samt att den långa räntan inte avviker alltför mycket från räntan i euro</w:t>
      </w:r>
      <w:r>
        <w:softHyphen/>
        <w:t xml:space="preserve">länderna. </w:t>
      </w:r>
      <w:r w:rsidRPr="00A81B0E">
        <w:t>Huruvida medlemsstatens nationella lagstift</w:t>
      </w:r>
      <w:r>
        <w:softHyphen/>
      </w:r>
      <w:r w:rsidRPr="00A81B0E">
        <w:t>ning överens</w:t>
      </w:r>
      <w:r>
        <w:softHyphen/>
      </w:r>
      <w:r w:rsidRPr="00A81B0E">
        <w:t>stämmer med gemenskapsrätten är också en del av bedömningen.</w:t>
      </w:r>
      <w:r>
        <w:t xml:space="preserve"> </w:t>
      </w:r>
      <w:r>
        <w:rPr>
          <w:color w:val="000000"/>
        </w:rPr>
        <w:t xml:space="preserve">Kommissionen och ECB:s slutsats från konvergensprövningen är att </w:t>
      </w:r>
      <w:r>
        <w:t>Lettland uppfyller kriterierna</w:t>
      </w:r>
      <w:r w:rsidRPr="00A81B0E">
        <w:t xml:space="preserve">. </w:t>
      </w:r>
    </w:p>
    <w:p w:rsidR="00606686" w:rsidRDefault="00606686" w:rsidP="00C1636D"/>
    <w:p w:rsidR="00606686" w:rsidRPr="00425952" w:rsidRDefault="00606686" w:rsidP="00C1636D">
      <w:pPr>
        <w:rPr>
          <w:color w:val="000000"/>
        </w:rPr>
      </w:pPr>
      <w:r>
        <w:t>Formellt beslut om inför</w:t>
      </w:r>
      <w:r>
        <w:softHyphen/>
        <w:t>ande av euron i Lettland väntas fattas vid Ekofin den 9 juli, där de slutliga rättsakterna ska antas efter samråd med Europaparlamentet och efter diskussionen inom Europeiska rådet den 27-28 juni.</w:t>
      </w:r>
    </w:p>
    <w:p w:rsidR="00606686" w:rsidRDefault="00606686" w:rsidP="00C1636D">
      <w:pPr>
        <w:rPr>
          <w:color w:val="000000"/>
        </w:rPr>
      </w:pPr>
    </w:p>
    <w:p w:rsidR="00606686" w:rsidRDefault="00606686" w:rsidP="00C1636D">
      <w:r w:rsidRPr="00D62E4F">
        <w:t>Euroländernas rekommendation på kommissionens förslag antas i rådet av medlemsstater med euron som valuta</w:t>
      </w:r>
      <w:r>
        <w:t>.</w:t>
      </w:r>
    </w:p>
    <w:p w:rsidR="00606686" w:rsidRPr="00451C5D" w:rsidRDefault="00606686" w:rsidP="001726CF">
      <w:pPr>
        <w:pStyle w:val="Heading2"/>
        <w:numPr>
          <w:ilvl w:val="0"/>
          <w:numId w:val="7"/>
        </w:numPr>
        <w:ind w:left="1134" w:hanging="774"/>
      </w:pPr>
      <w:r>
        <w:t xml:space="preserve">Uppföljning av Europeiska rådet i maj – klimat/energifrågor  </w:t>
      </w:r>
      <w:r w:rsidRPr="004210EB">
        <w:t xml:space="preserve"> </w:t>
      </w:r>
    </w:p>
    <w:p w:rsidR="00606686" w:rsidRDefault="00606686" w:rsidP="00265730">
      <w:pPr>
        <w:pStyle w:val="Heading4"/>
        <w:ind w:left="1080"/>
      </w:pPr>
      <w:r>
        <w:t xml:space="preserve">- Uppdatering av läget </w:t>
      </w:r>
    </w:p>
    <w:p w:rsidR="00606686" w:rsidRDefault="00606686" w:rsidP="00C1636D">
      <w:r>
        <w:t xml:space="preserve">Dagordningspunkten har tillkommit på polskt initiativ. Polen kommer att uppmärksamma rådet på vikten av att följa upp den ekonomiska dimensionen av kommissionens arbete med det klimat- och energipolitiska ramverket till 2030. </w:t>
      </w:r>
    </w:p>
    <w:p w:rsidR="00606686" w:rsidRDefault="00606686" w:rsidP="00C1636D">
      <w:r>
        <w:t xml:space="preserve">Den specifika frågan om att följa upp den ekonomiska dimensionen av det klimat- och energipolitiska ramverket i Ekofinrådet har inte tidigare </w:t>
      </w:r>
      <w:r w:rsidRPr="00A232AF">
        <w:t xml:space="preserve">behandlats i vare sig EU-nämnden eller i något utskott. </w:t>
      </w:r>
      <w:r w:rsidRPr="00DE2E09">
        <w:t>Samråd med EU-nämnden om slutsatser inför Europeiska rådets möte den 22 maj 2013 skedde den 21 maj 2013. Återrapportering från Europeiska rådets möte skedde den 28 maj 2013.</w:t>
      </w:r>
      <w:r w:rsidRPr="00A232AF">
        <w:t xml:space="preserve"> Den 4 juni 2013 informerade Näringsdepartementet Näringsutskottet om kommissionens grönbok om klimat- och</w:t>
      </w:r>
      <w:r>
        <w:t xml:space="preserve"> energipolitiken till 2030.</w:t>
      </w:r>
    </w:p>
    <w:p w:rsidR="00606686" w:rsidRDefault="00606686" w:rsidP="00C1636D"/>
    <w:p w:rsidR="00606686" w:rsidRDefault="00606686" w:rsidP="00C1636D">
      <w:r>
        <w:t>Kommissionen</w:t>
      </w:r>
      <w:r w:rsidRPr="00533F2D">
        <w:t xml:space="preserve"> har nyligen publicerat en grönbok om ett ramverk för energi- och klimatpolitiken med inriktning på 2030. </w:t>
      </w:r>
      <w:r>
        <w:t>Europeiska rådet välkomnade grönboken vid sitt möte i maj och beslutade då att återkomma till energi- och klimatpaketet i mars 2014 inför klimatförhandlingsmötet i Paris i slutet av året. Som r</w:t>
      </w:r>
      <w:r w:rsidRPr="00DE2E09">
        <w:t xml:space="preserve">egeringen </w:t>
      </w:r>
      <w:r>
        <w:t xml:space="preserve">tidigare framfört </w:t>
      </w:r>
      <w:r w:rsidRPr="00DE2E09">
        <w:t xml:space="preserve">anser </w:t>
      </w:r>
      <w:r>
        <w:t>man att</w:t>
      </w:r>
      <w:r w:rsidRPr="00DE2E09">
        <w:t xml:space="preserve"> EU bör besluta om ett ambitiöst bindande mål för hur mycket unionens utsläpp av växthusgaser bör minska till 2030. Målet bör uppnås genom utsläppsminskningar både inom och utanför EU. Regeringen anser att 2030-målet bör sättas så att målet att minska utsläppen med 80 till 95 procent till 2050 kan uppfyllas på ett kostnadseffektivt sätt. För att ta en ledande roll i förhandlingarna om den nya internationella klimatöverenskommelsen och för att kunna påverka andra parter, i syfte att nå ett slutresultat som gör det möjligt att nå tvågraders</w:t>
      </w:r>
      <w:r w:rsidRPr="009F1201">
        <w:t>målet, anser regeringen att EU bör besluta om utsläppsminskningsmål till 2030 före 2015 då den nya överenskommelsen ska antas.</w:t>
      </w:r>
      <w:r w:rsidRPr="004D091D">
        <w:t xml:space="preserve"> </w:t>
      </w:r>
    </w:p>
    <w:p w:rsidR="00606686" w:rsidRDefault="00606686" w:rsidP="00C1636D"/>
    <w:p w:rsidR="00606686" w:rsidRPr="004D091D" w:rsidRDefault="00606686" w:rsidP="00C1636D">
      <w:r w:rsidRPr="00DE2E09">
        <w:t xml:space="preserve">Regeringen anser att den ekonomiska dimensionen av ett ambitiöst klimat- och energipolitiskt ramverk i sedvanlig ordning föranleder en noggrann uppföljning </w:t>
      </w:r>
      <w:r>
        <w:t xml:space="preserve">av </w:t>
      </w:r>
      <w:r w:rsidRPr="00DE2E09">
        <w:t>kommissionens förslag och analyser av Ekofin</w:t>
      </w:r>
      <w:r>
        <w:t>rådet och dess underkommittéer</w:t>
      </w:r>
      <w:r w:rsidRPr="00F509B6">
        <w:t xml:space="preserve">. </w:t>
      </w:r>
    </w:p>
    <w:p w:rsidR="00606686" w:rsidRPr="004D091D" w:rsidRDefault="00606686" w:rsidP="00601A62">
      <w:pPr>
        <w:pStyle w:val="Heading2"/>
        <w:numPr>
          <w:ilvl w:val="0"/>
          <w:numId w:val="7"/>
        </w:numPr>
        <w:ind w:left="1134" w:hanging="774"/>
      </w:pPr>
      <w:r w:rsidRPr="004D091D">
        <w:t>(ev.) Uppförandekod</w:t>
      </w:r>
      <w:r>
        <w:t>en (företagsbeskattning)</w:t>
      </w:r>
      <w:r w:rsidRPr="004D091D">
        <w:t xml:space="preserve"> </w:t>
      </w:r>
    </w:p>
    <w:p w:rsidR="00606686" w:rsidRDefault="00606686" w:rsidP="00455C56">
      <w:pPr>
        <w:pStyle w:val="Heading4"/>
        <w:spacing w:after="0"/>
        <w:ind w:left="1080"/>
      </w:pPr>
      <w:r w:rsidRPr="004D091D">
        <w:t xml:space="preserve">- </w:t>
      </w:r>
      <w:r>
        <w:t xml:space="preserve">Antagande av slutsatser </w:t>
      </w:r>
    </w:p>
    <w:p w:rsidR="00606686" w:rsidRPr="004D091D" w:rsidRDefault="00606686" w:rsidP="002500E3">
      <w:pPr>
        <w:pStyle w:val="Heading4"/>
        <w:ind w:left="1080"/>
      </w:pPr>
      <w:r>
        <w:t>- Rapport till rådet</w:t>
      </w:r>
      <w:r w:rsidRPr="004D091D">
        <w:t xml:space="preserve"> </w:t>
      </w:r>
    </w:p>
    <w:p w:rsidR="00606686" w:rsidRDefault="00606686" w:rsidP="00C1636D">
      <w:r>
        <w:t>Rådet ska anta slutsatser om den rapport som uppförandekodgruppen ska lämna till rådet om sitt arbete under det irländska ordförandeskapet.</w:t>
      </w:r>
    </w:p>
    <w:p w:rsidR="00606686" w:rsidRDefault="00606686" w:rsidP="00C1636D"/>
    <w:p w:rsidR="00606686" w:rsidRDefault="00606686" w:rsidP="00C1636D">
      <w:pPr>
        <w:rPr>
          <w:color w:val="000000"/>
        </w:rPr>
      </w:pPr>
      <w:r>
        <w:rPr>
          <w:color w:val="000000"/>
        </w:rPr>
        <w:t xml:space="preserve">I december 1997 antog rådet en resolution om en uppförandekod för företagsbeskattning. Syftet med koden är att motverka skadlig skattekonkurrens. En särskild högnivågrupp inom rådet har inrättats för att genomföra uppförandekodens principer. </w:t>
      </w:r>
    </w:p>
    <w:p w:rsidR="00606686" w:rsidRDefault="00606686" w:rsidP="00C1636D">
      <w:pPr>
        <w:rPr>
          <w:color w:val="000000"/>
        </w:rPr>
      </w:pPr>
    </w:p>
    <w:p w:rsidR="00606686" w:rsidRDefault="00606686" w:rsidP="00C1636D">
      <w:pPr>
        <w:rPr>
          <w:color w:val="000000"/>
        </w:rPr>
      </w:pPr>
      <w:r>
        <w:rPr>
          <w:color w:val="000000"/>
        </w:rPr>
        <w:t xml:space="preserve">Uppförandekodgruppen ska lämna en rapport till Ekofinrådet om sitt arbete under det irländska ordförandeskapet. Gruppen har fortsatt sitt arbete med att granska nya skatteåtgärder (frysning) och avveckling av skatteåtgärder som bedömts vara skadliga. Vidare har gruppen arbetat med de frågor som ingår i det arbetspaket som beslutades av rådet i december 2011. </w:t>
      </w:r>
      <w:r>
        <w:t>Det rör sig om förhållandet till tredje länder, administrativ praxis, åtgärder för att motverka skattebedrägeri och annat missbruk, övervakning av genomförande av överenskomna riktlinjer, framtagande av riktlinjer för olika typer av förmånliga regimer samt vissa frågor om skatteplanering med hjälp av särskilda skatteregimer för investeringsfonder.</w:t>
      </w:r>
    </w:p>
    <w:p w:rsidR="00606686" w:rsidRDefault="00606686" w:rsidP="00C1636D"/>
    <w:p w:rsidR="00606686" w:rsidRDefault="00606686" w:rsidP="00C1636D">
      <w:r>
        <w:rPr>
          <w:color w:val="000000"/>
        </w:rPr>
        <w:t>Regeringen kan ställa sig bakom utkastet till slutsatser.</w:t>
      </w:r>
    </w:p>
    <w:p w:rsidR="00606686" w:rsidRPr="004D091D" w:rsidRDefault="00606686" w:rsidP="004D091D">
      <w:pPr>
        <w:pStyle w:val="Heading2"/>
        <w:numPr>
          <w:ilvl w:val="0"/>
          <w:numId w:val="7"/>
        </w:numPr>
      </w:pPr>
      <w:r w:rsidRPr="004D091D">
        <w:t xml:space="preserve">(ev.) Ekofinrådets rapport om skattefrågor till Europeiska rådet </w:t>
      </w:r>
    </w:p>
    <w:p w:rsidR="00606686" w:rsidRPr="004D091D" w:rsidRDefault="00606686" w:rsidP="0052446B">
      <w:pPr>
        <w:pStyle w:val="Heading4"/>
        <w:ind w:left="1080"/>
      </w:pPr>
      <w:r w:rsidRPr="004D091D">
        <w:t xml:space="preserve">- Godkännande </w:t>
      </w:r>
    </w:p>
    <w:p w:rsidR="00606686" w:rsidRDefault="00606686" w:rsidP="00C1636D">
      <w:r>
        <w:t xml:space="preserve">Ekofinrådet ska godkänna en rapport om skattefrågor vilken ska överlämnas till Europeiska rådet den 27 – 28 juni 2013. </w:t>
      </w:r>
    </w:p>
    <w:p w:rsidR="00606686" w:rsidRDefault="00606686" w:rsidP="00C1636D"/>
    <w:p w:rsidR="00606686" w:rsidRDefault="00606686" w:rsidP="00C1636D">
      <w:r>
        <w:t>Europeiska rådet gav den 1-2 mars 2012 ett uppdrag till kommissionen och rådet att återrapportera dels om konkreta metoder för att stärka kampen mot skattebedrägeri och skatteundandragande, dels om det pågående arbetet med vissa skatteförslag i rådet: energiskattedirektiv, gemensam konsoliderad bolagsskattebas (CCCTB), transaktionsskatt, sparandedirektivet och förhandlingsmandaten för sparandeavtal med tredje länder. Den första återrapporteringen enligt detta uppdrag skedde i juni 2012 och en andra återrapportering i december 2012.</w:t>
      </w:r>
    </w:p>
    <w:p w:rsidR="00606686" w:rsidRDefault="00606686" w:rsidP="00C1636D"/>
    <w:p w:rsidR="00606686" w:rsidRDefault="00606686" w:rsidP="00C1636D">
      <w:r>
        <w:t xml:space="preserve">Enligt uppdraget skulle arbetet inriktas på områden där mer ambitiösa insatser är tänkbara, med fokus på hur skattepolitiken kan stödja samordningen av den ekonomiska politiken och bidra till finanspolitisk samordning och tillväxt. </w:t>
      </w:r>
    </w:p>
    <w:p w:rsidR="00606686" w:rsidRDefault="00606686" w:rsidP="00C1636D"/>
    <w:p w:rsidR="00606686" w:rsidRDefault="00606686" w:rsidP="00C1636D">
      <w:r>
        <w:t>Även i uttalandet från Europeiska rådet den 30 januari 2012 finns en uppmaning om framsteg i strukturerade diskussioner om samordning i skattepolitiska frågor och förebyggande av skadliga skatteförfaranden inom ramen för europluspakten.</w:t>
      </w:r>
    </w:p>
    <w:p w:rsidR="00606686" w:rsidRDefault="00606686" w:rsidP="00C1636D"/>
    <w:p w:rsidR="00606686" w:rsidRDefault="00606686" w:rsidP="00C1636D">
      <w:pPr>
        <w:rPr>
          <w:color w:val="000000"/>
        </w:rPr>
      </w:pPr>
      <w:r>
        <w:rPr>
          <w:color w:val="000000"/>
        </w:rPr>
        <w:t>Innehållet i rapporten, vilken beskriver det arbete som bedrivits på skatteområdet under det irländska ordförandeskapet, har behandlats vid möte i rådets högnivågrupp för skattefrågor den 6 juni 2013.</w:t>
      </w:r>
    </w:p>
    <w:p w:rsidR="00606686" w:rsidRDefault="00606686" w:rsidP="00C1636D"/>
    <w:p w:rsidR="00606686" w:rsidRDefault="00606686" w:rsidP="00C1636D">
      <w:pPr>
        <w:rPr>
          <w:color w:val="000000"/>
        </w:rPr>
      </w:pPr>
      <w:r>
        <w:rPr>
          <w:color w:val="000000"/>
        </w:rPr>
        <w:t>Regeringen har inga invändningar emot utkastet till rapport.</w:t>
      </w:r>
    </w:p>
    <w:p w:rsidR="00606686" w:rsidRPr="004D091D" w:rsidRDefault="00606686" w:rsidP="004D091D">
      <w:pPr>
        <w:pStyle w:val="Heading2"/>
        <w:numPr>
          <w:ilvl w:val="0"/>
          <w:numId w:val="7"/>
        </w:numPr>
      </w:pPr>
      <w:r w:rsidRPr="004D091D">
        <w:t>(ev.) Finansministr</w:t>
      </w:r>
      <w:r>
        <w:t xml:space="preserve">arnas rapport om skattefrågor inom ramen för </w:t>
      </w:r>
      <w:r w:rsidRPr="004D091D">
        <w:t>europluspakten</w:t>
      </w:r>
      <w:r w:rsidRPr="004D091D">
        <w:rPr>
          <w:i/>
        </w:rPr>
        <w:t xml:space="preserve"> </w:t>
      </w:r>
      <w:r w:rsidRPr="004D091D">
        <w:t xml:space="preserve"> </w:t>
      </w:r>
    </w:p>
    <w:p w:rsidR="00606686" w:rsidRPr="004D091D" w:rsidRDefault="00606686" w:rsidP="00EF2669">
      <w:pPr>
        <w:pStyle w:val="Heading4"/>
        <w:ind w:left="1080"/>
      </w:pPr>
      <w:r w:rsidRPr="004D091D">
        <w:t xml:space="preserve">- Godkännande </w:t>
      </w:r>
    </w:p>
    <w:p w:rsidR="00606686" w:rsidRDefault="00606686" w:rsidP="00C1636D">
      <w:pPr>
        <w:rPr>
          <w:i/>
        </w:rPr>
      </w:pPr>
      <w:r>
        <w:t xml:space="preserve">Ekofinrådet ska godkänna en rapport om skattefrågor inom ramen för europluspakten från de deltagande finansministrarna vilken ska överlämnas till Europeiska rådet den 27 – 28 juni 2013. </w:t>
      </w:r>
    </w:p>
    <w:p w:rsidR="00606686" w:rsidRDefault="00606686" w:rsidP="00C1636D">
      <w:pPr>
        <w:rPr>
          <w:i/>
        </w:rPr>
      </w:pPr>
    </w:p>
    <w:p w:rsidR="00606686" w:rsidRDefault="00606686" w:rsidP="00C1636D">
      <w:r>
        <w:t>De i europluspakten deltagande finansministrarna rapporterade i juni 2012 om framstegen som gjorts i de strukturerade diskussionerna om skattepolitisk samordning. Finansministrarna uppmanades av Europeiska rådet den 28 – 29 juni 2012 att fortsätta detta arbete, särskilt för att utbyta bästa praxis. De deltagande finansministrarna rapporterade även i december 2012.</w:t>
      </w:r>
    </w:p>
    <w:p w:rsidR="00606686" w:rsidRDefault="00606686" w:rsidP="00C1636D"/>
    <w:p w:rsidR="00606686" w:rsidRDefault="00606686" w:rsidP="00C1636D">
      <w:r>
        <w:t>Även i uttalandet från Europeiska rådet den 30 januari 2012 finns en uppmaning om framsteg i strukturerade diskussioner om samordning i skattepolitiska frågor och förebyggande av skadliga skatteförfaranden inom ramen för europluspakten.</w:t>
      </w:r>
    </w:p>
    <w:p w:rsidR="00606686" w:rsidRDefault="00606686" w:rsidP="00C1636D"/>
    <w:p w:rsidR="00606686" w:rsidRDefault="00606686" w:rsidP="00C1636D">
      <w:pPr>
        <w:rPr>
          <w:color w:val="000000"/>
        </w:rPr>
      </w:pPr>
      <w:r>
        <w:rPr>
          <w:color w:val="000000"/>
        </w:rPr>
        <w:t>Innehållet i rapporten, vilken beskriver det arbete som bedrivits på skatteområdet inom ramen för europluspakten under det irländska ordförandeskapet, har behandlats vid möte i rådets högnivågrupp för skattefrågor den 6 juni 2013.</w:t>
      </w:r>
    </w:p>
    <w:p w:rsidR="00606686" w:rsidRDefault="00606686" w:rsidP="00C1636D">
      <w:pPr>
        <w:rPr>
          <w:i/>
        </w:rPr>
      </w:pPr>
    </w:p>
    <w:p w:rsidR="00606686" w:rsidRDefault="00606686" w:rsidP="00C1636D">
      <w:pPr>
        <w:rPr>
          <w:i/>
        </w:rPr>
      </w:pPr>
      <w:r w:rsidRPr="009F1201">
        <w:rPr>
          <w:color w:val="000000"/>
        </w:rPr>
        <w:t>Regeringen har inga invändningar emot utkastet till rapport.</w:t>
      </w:r>
    </w:p>
    <w:p w:rsidR="00606686" w:rsidRPr="004D091D" w:rsidRDefault="00606686" w:rsidP="004D091D">
      <w:pPr>
        <w:pStyle w:val="Heading2"/>
        <w:numPr>
          <w:ilvl w:val="0"/>
          <w:numId w:val="7"/>
        </w:numPr>
      </w:pPr>
      <w:r w:rsidRPr="004D091D">
        <w:t xml:space="preserve"> Övriga frågor</w:t>
      </w:r>
      <w:r w:rsidRPr="004D091D">
        <w:rPr>
          <w:i/>
        </w:rPr>
        <w:t xml:space="preserve"> </w:t>
      </w:r>
    </w:p>
    <w:p w:rsidR="00606686" w:rsidRDefault="00606686" w:rsidP="00C1636D">
      <w:pPr>
        <w:rPr>
          <w:lang w:eastAsia="sv-SE"/>
        </w:rPr>
      </w:pPr>
      <w:r w:rsidRPr="00451C5D">
        <w:rPr>
          <w:lang w:eastAsia="sv-SE"/>
        </w:rPr>
        <w:t>De</w:t>
      </w:r>
      <w:r>
        <w:rPr>
          <w:lang w:eastAsia="sv-SE"/>
        </w:rPr>
        <w:t>t</w:t>
      </w:r>
      <w:r w:rsidRPr="00451C5D">
        <w:rPr>
          <w:lang w:eastAsia="sv-SE"/>
        </w:rPr>
        <w:t xml:space="preserve"> </w:t>
      </w:r>
      <w:r>
        <w:rPr>
          <w:lang w:eastAsia="sv-SE"/>
        </w:rPr>
        <w:t xml:space="preserve">har </w:t>
      </w:r>
      <w:r w:rsidRPr="00451C5D">
        <w:rPr>
          <w:lang w:eastAsia="sv-SE"/>
        </w:rPr>
        <w:t>i skrivande stund in</w:t>
      </w:r>
      <w:r>
        <w:rPr>
          <w:lang w:eastAsia="sv-SE"/>
        </w:rPr>
        <w:t>te presenterats några övriga ärenden.</w:t>
      </w:r>
    </w:p>
    <w:p w:rsidR="00606686" w:rsidRDefault="00606686" w:rsidP="00196DDE">
      <w:pPr>
        <w:pStyle w:val="Heading2"/>
        <w:rPr>
          <w:u w:val="single"/>
        </w:rPr>
      </w:pPr>
      <w:r>
        <w:rPr>
          <w:u w:val="single"/>
        </w:rPr>
        <w:t>Lagstiftande verksamhet</w:t>
      </w:r>
    </w:p>
    <w:p w:rsidR="00606686" w:rsidRPr="000403A6" w:rsidRDefault="00606686" w:rsidP="004D091D">
      <w:pPr>
        <w:pStyle w:val="Heading2"/>
        <w:numPr>
          <w:ilvl w:val="0"/>
          <w:numId w:val="7"/>
        </w:numPr>
      </w:pPr>
      <w:r>
        <w:t xml:space="preserve">(ev.) Godkännande av listan över A-punkter </w:t>
      </w:r>
    </w:p>
    <w:p w:rsidR="00606686" w:rsidRPr="00A8087D" w:rsidRDefault="00606686" w:rsidP="00455C56">
      <w:pPr>
        <w:pStyle w:val="Heading2"/>
        <w:keepLines/>
        <w:numPr>
          <w:ilvl w:val="0"/>
          <w:numId w:val="7"/>
        </w:numPr>
      </w:pPr>
      <w:r w:rsidRPr="00A8087D">
        <w:t xml:space="preserve">Mervärdesskattebedrägeri: Mekanism för snabba insatser – Förfarande för omvänd betalningsskyldighet  </w:t>
      </w:r>
    </w:p>
    <w:p w:rsidR="00606686" w:rsidRPr="00455C56" w:rsidRDefault="00606686" w:rsidP="00455C56">
      <w:pPr>
        <w:pStyle w:val="Heading4"/>
        <w:keepLines/>
        <w:ind w:left="1080"/>
      </w:pPr>
      <w:r w:rsidRPr="00455C56">
        <w:t xml:space="preserve">-Politisk överenskommelse </w:t>
      </w:r>
    </w:p>
    <w:p w:rsidR="00606686" w:rsidRPr="00246F8D" w:rsidRDefault="00606686" w:rsidP="00C1636D">
      <w:pPr>
        <w:rPr>
          <w:lang w:eastAsia="sv-SE"/>
        </w:rPr>
      </w:pPr>
      <w:r w:rsidRPr="00455C56">
        <w:rPr>
          <w:lang w:eastAsia="sv-SE"/>
        </w:rPr>
        <w:t xml:space="preserve">Syftet med behandlingen är att nå en politisk överenskommelse om ett åtgärdspaket mot momsbedrägerier. </w:t>
      </w:r>
      <w:r>
        <w:rPr>
          <w:lang w:eastAsia="sv-SE"/>
        </w:rPr>
        <w:t>Förslaget</w:t>
      </w:r>
      <w:r w:rsidRPr="00455C56">
        <w:rPr>
          <w:lang w:eastAsia="sv-SE"/>
        </w:rPr>
        <w:t xml:space="preserve"> innehåller två direktivförslag från kommissionen; en mekanism för snabba insatser mot</w:t>
      </w:r>
      <w:r w:rsidRPr="00246F8D">
        <w:rPr>
          <w:lang w:eastAsia="sv-SE"/>
        </w:rPr>
        <w:t xml:space="preserve"> mervärdesskattebedrägerier (QRM) samt frivillig och temporär omvänd skattskyldig för vissa tillhandahållanden som är särskilt känsliga för bedrägerier (omvänd skattskyldighet).</w:t>
      </w:r>
    </w:p>
    <w:p w:rsidR="00606686" w:rsidRPr="00246F8D" w:rsidRDefault="00606686" w:rsidP="00C1636D">
      <w:pPr>
        <w:rPr>
          <w:lang w:eastAsia="sv-SE"/>
        </w:rPr>
      </w:pPr>
    </w:p>
    <w:p w:rsidR="00606686" w:rsidRPr="00246F8D" w:rsidRDefault="00606686" w:rsidP="00C1636D">
      <w:pPr>
        <w:rPr>
          <w:lang w:eastAsia="sv-SE"/>
        </w:rPr>
      </w:pPr>
      <w:r w:rsidRPr="00246F8D">
        <w:rPr>
          <w:lang w:eastAsia="sv-SE"/>
        </w:rPr>
        <w:t xml:space="preserve">Samråd om </w:t>
      </w:r>
      <w:r>
        <w:rPr>
          <w:lang w:eastAsia="sv-SE"/>
        </w:rPr>
        <w:t>förslaget</w:t>
      </w:r>
      <w:r w:rsidRPr="00246F8D">
        <w:rPr>
          <w:lang w:eastAsia="sv-SE"/>
        </w:rPr>
        <w:t xml:space="preserve"> har skett med EU-nämnden 2013-03-01. Överläggning har skett med Skatteutskottet 2012-10-18 vad avser QRM. Överläggning med Skatteutskottet om </w:t>
      </w:r>
      <w:r>
        <w:rPr>
          <w:lang w:eastAsia="sv-SE"/>
        </w:rPr>
        <w:t>båda kompromissförslagen</w:t>
      </w:r>
      <w:r w:rsidRPr="00246F8D">
        <w:rPr>
          <w:lang w:eastAsia="sv-SE"/>
        </w:rPr>
        <w:t xml:space="preserve"> är inbokad till 2013-06-11.</w:t>
      </w:r>
    </w:p>
    <w:p w:rsidR="00606686" w:rsidRPr="00246F8D" w:rsidRDefault="00606686" w:rsidP="00C1636D">
      <w:pPr>
        <w:rPr>
          <w:lang w:eastAsia="sv-SE"/>
        </w:rPr>
      </w:pPr>
    </w:p>
    <w:p w:rsidR="00606686" w:rsidRPr="00246F8D" w:rsidRDefault="00606686" w:rsidP="00C1636D">
      <w:pPr>
        <w:rPr>
          <w:lang w:eastAsia="sv-SE"/>
        </w:rPr>
      </w:pPr>
      <w:r w:rsidRPr="00246F8D">
        <w:rPr>
          <w:lang w:eastAsia="sv-SE"/>
        </w:rPr>
        <w:t xml:space="preserve">Ordförandeskapet har tagit fram kompromissförslag om QRM och omvänd skattskyldighet. Förslaget om QRM innebär att en medlemsstat, som är utsatt för omfattande och plötsliga bedrägerier, har rätt att tillfälligt införa omvänd skattskyldighet på den vara eller tjänst som används för bedrägerierna. Förslaget om omvänd skattskyldighet innebär att en medlemsstat tillfälligt får införa omvänd skattskyldighet på mobiltelefoner, kretskort, spelkonsoler, läsplattor och handdatorer, el och gas (inklusive certifikat), spannmål och industrigrödor samt råmetaller. </w:t>
      </w:r>
      <w:r w:rsidRPr="0017371B">
        <w:rPr>
          <w:lang w:eastAsia="sv-SE"/>
        </w:rPr>
        <w:t>Förslagen har en begränsad löptid som går ut vid utgången av 2018.</w:t>
      </w:r>
    </w:p>
    <w:p w:rsidR="00606686" w:rsidRPr="00246F8D" w:rsidRDefault="00606686" w:rsidP="00C1636D">
      <w:pPr>
        <w:rPr>
          <w:lang w:eastAsia="sv-SE"/>
        </w:rPr>
      </w:pPr>
    </w:p>
    <w:p w:rsidR="00606686" w:rsidRPr="00246F8D" w:rsidRDefault="00606686" w:rsidP="00C1636D">
      <w:pPr>
        <w:rPr>
          <w:lang w:eastAsia="sv-SE"/>
        </w:rPr>
      </w:pPr>
      <w:r w:rsidRPr="00246F8D">
        <w:rPr>
          <w:lang w:eastAsia="sv-SE"/>
        </w:rPr>
        <w:t xml:space="preserve">Regeringen anser att det är viktigt att ta fram effektiva instrument för att bekämpa momsbedrägeri. Omvänd skattskyldighet kan vara ett sådant instrument. Det är samtidigt viktigt att slå vakt om principen att skattefrågor i rådet beslutas med enhällighet. Kompromissförslaget innebär att enhälligheten vid beslut om skatteåtgärder respekteras samtidigt som det ger medlemsstaterna möjligheter att förhindra hastigt uppkomna och omfattande bedrägerier. Regeringen kan stödja ett åtgärdspaket med en sådan inriktning som nu föreslås. </w:t>
      </w:r>
    </w:p>
    <w:p w:rsidR="00606686" w:rsidRPr="00DE2E09" w:rsidRDefault="00606686" w:rsidP="006B65BB">
      <w:pPr>
        <w:pStyle w:val="Heading2"/>
        <w:keepLines/>
        <w:numPr>
          <w:ilvl w:val="0"/>
          <w:numId w:val="7"/>
        </w:numPr>
      </w:pPr>
      <w:r w:rsidRPr="00DE2E09">
        <w:t>(ev.) Automatiskt informationsutbyte på skatteområdet</w:t>
      </w:r>
    </w:p>
    <w:p w:rsidR="00606686" w:rsidRPr="00DE2E09" w:rsidRDefault="00606686" w:rsidP="006B65BB">
      <w:pPr>
        <w:pStyle w:val="RKnormal"/>
        <w:keepNext/>
        <w:keepLines/>
        <w:numPr>
          <w:ilvl w:val="3"/>
          <w:numId w:val="48"/>
        </w:numPr>
        <w:tabs>
          <w:tab w:val="clear" w:pos="2835"/>
          <w:tab w:val="left" w:pos="1276"/>
        </w:tabs>
        <w:spacing w:after="240"/>
        <w:ind w:left="1134" w:firstLine="0"/>
        <w:rPr>
          <w:b/>
          <w:i/>
          <w:kern w:val="28"/>
          <w:sz w:val="22"/>
          <w:lang w:eastAsia="sv-SE"/>
        </w:rPr>
      </w:pPr>
      <w:r w:rsidRPr="00DE2E09">
        <w:rPr>
          <w:b/>
          <w:i/>
          <w:kern w:val="28"/>
          <w:sz w:val="22"/>
          <w:lang w:eastAsia="sv-SE"/>
        </w:rPr>
        <w:t xml:space="preserve">Presentation av kommissionen </w:t>
      </w:r>
    </w:p>
    <w:p w:rsidR="00606686" w:rsidRDefault="00606686" w:rsidP="006B65BB">
      <w:pPr>
        <w:keepNext/>
        <w:keepLines/>
      </w:pPr>
      <w:r>
        <w:t>Kommissionen ska presentera ett förslag om ändring av direktivet om administrativt samarbete i fråga om beskattning (handräckningsdirektivet) när det gäller automatiskt informationsutbyte på skatteområdet.</w:t>
      </w:r>
    </w:p>
    <w:p w:rsidR="00606686" w:rsidRDefault="00606686" w:rsidP="00C1636D"/>
    <w:p w:rsidR="00606686" w:rsidRDefault="00606686" w:rsidP="00C1636D">
      <w:pPr>
        <w:rPr>
          <w:color w:val="000000"/>
        </w:rPr>
      </w:pPr>
      <w:r>
        <w:rPr>
          <w:color w:val="000000"/>
        </w:rPr>
        <w:t>Kommissionen arbetar med ett förslag till utvidgning av de kategorier av inkomster och kapital avseende vilka automatiskt informationsutbyte ska ske enligt handräckningsdirektivet. Information om de kategorier av inkomster och kapital som sedan tidigare finns med i direktivet när det gäller automatiskt utbyte, behöver endast lämnas av en medlemsstat om uppgifterna av andra anledningar finns tillgängliga hos skattemyndig</w:t>
      </w:r>
      <w:r>
        <w:rPr>
          <w:color w:val="000000"/>
        </w:rPr>
        <w:softHyphen/>
        <w:t xml:space="preserve">heterna i medlemsstaten. Förslaget kommer att innebära att information om de nya kategorierna av inkomster och kapital ska utbytas automatiskt även om medlemsstaten inte har informationen tillgänglig av andra anledningar. De nya kategorierna av inkomster och kapital är kontobalanser och samtliga kapitalinkomster på finansiella konton. </w:t>
      </w:r>
    </w:p>
    <w:p w:rsidR="00606686" w:rsidRDefault="00606686" w:rsidP="00C1636D">
      <w:pPr>
        <w:rPr>
          <w:color w:val="000000"/>
        </w:rPr>
      </w:pPr>
    </w:p>
    <w:p w:rsidR="00606686" w:rsidRDefault="00606686" w:rsidP="00C1636D">
      <w:pPr>
        <w:rPr>
          <w:color w:val="000000"/>
        </w:rPr>
      </w:pPr>
      <w:r>
        <w:rPr>
          <w:color w:val="000000"/>
        </w:rPr>
        <w:t>Bakgrunden till förslaget är att samtliga medlemsstater förväntas ingå bilaterala avtal med USA om att lämna ut denna information om amerikanska kontoinnehavare till den amerikanska skattemyndigheten (s.k. FATCA-avtal). I handräcknings</w:t>
      </w:r>
      <w:r>
        <w:rPr>
          <w:color w:val="000000"/>
        </w:rPr>
        <w:softHyphen/>
        <w:t xml:space="preserve">direktivet föreskrivs att en medlemsstat som har ingått ett avtal med ett tredjeland om ett mer omfattande samarbete än det som följer av direktivet inte får vägra en annan medlemsstat att inleda ett lika omfattande samarbete.   </w:t>
      </w:r>
    </w:p>
    <w:p w:rsidR="00606686" w:rsidRPr="00771AE9" w:rsidRDefault="00606686" w:rsidP="004D091D">
      <w:pPr>
        <w:pStyle w:val="Heading2"/>
        <w:numPr>
          <w:ilvl w:val="0"/>
          <w:numId w:val="7"/>
        </w:numPr>
      </w:pPr>
      <w:r w:rsidRPr="00771AE9">
        <w:t>(ev.) Förslag till EU:s årsbudget för 2014</w:t>
      </w:r>
    </w:p>
    <w:p w:rsidR="00606686" w:rsidRDefault="00606686" w:rsidP="005F33FE">
      <w:pPr>
        <w:pStyle w:val="Heading4"/>
        <w:ind w:left="1080"/>
      </w:pPr>
      <w:r>
        <w:t xml:space="preserve">- Presentation av kommissionen  </w:t>
      </w:r>
    </w:p>
    <w:p w:rsidR="00606686" w:rsidRPr="005F33FE" w:rsidRDefault="00606686" w:rsidP="00C1636D">
      <w:pPr>
        <w:rPr>
          <w:lang w:eastAsia="sv-SE"/>
        </w:rPr>
      </w:pPr>
      <w:r w:rsidRPr="005F33FE">
        <w:rPr>
          <w:lang w:eastAsia="sv-SE"/>
        </w:rPr>
        <w:t xml:space="preserve">Kommissionen </w:t>
      </w:r>
      <w:r>
        <w:rPr>
          <w:lang w:eastAsia="sv-SE"/>
        </w:rPr>
        <w:t>väntas</w:t>
      </w:r>
      <w:r w:rsidRPr="005F33FE">
        <w:rPr>
          <w:lang w:eastAsia="sv-SE"/>
        </w:rPr>
        <w:t xml:space="preserve"> presentera sitt förslag till EU:s årsbudget för 2014. Dagordnings</w:t>
      </w:r>
      <w:r w:rsidRPr="005F33FE">
        <w:rPr>
          <w:lang w:eastAsia="sv-SE"/>
        </w:rPr>
        <w:softHyphen/>
        <w:t>punkten kommer att vara en informationspunkt.</w:t>
      </w:r>
    </w:p>
    <w:p w:rsidR="00606686" w:rsidRPr="005F33FE" w:rsidRDefault="00606686" w:rsidP="00C1636D">
      <w:pPr>
        <w:rPr>
          <w:lang w:eastAsia="sv-SE"/>
        </w:rPr>
      </w:pPr>
    </w:p>
    <w:p w:rsidR="00606686" w:rsidRPr="005F33FE" w:rsidRDefault="00606686" w:rsidP="00C1636D">
      <w:pPr>
        <w:rPr>
          <w:lang w:eastAsia="sv-SE"/>
        </w:rPr>
      </w:pPr>
      <w:r>
        <w:rPr>
          <w:lang w:eastAsia="sv-SE"/>
        </w:rPr>
        <w:t>En förutsättning för att kommissionen ska kunna presentera</w:t>
      </w:r>
      <w:r w:rsidRPr="005F33FE">
        <w:rPr>
          <w:lang w:eastAsia="sv-SE"/>
        </w:rPr>
        <w:t xml:space="preserve"> sitt förslag 2014</w:t>
      </w:r>
      <w:r>
        <w:rPr>
          <w:lang w:eastAsia="sv-SE"/>
        </w:rPr>
        <w:t xml:space="preserve"> för Ekofinrådet är att</w:t>
      </w:r>
      <w:r w:rsidRPr="005F33FE">
        <w:rPr>
          <w:lang w:eastAsia="sv-SE"/>
        </w:rPr>
        <w:t xml:space="preserve"> kommissionen dessförinnan har antagit sitt årsbudgetförslag</w:t>
      </w:r>
      <w:r>
        <w:rPr>
          <w:lang w:eastAsia="sv-SE"/>
        </w:rPr>
        <w:t>. I</w:t>
      </w:r>
      <w:r w:rsidRPr="005F33FE">
        <w:rPr>
          <w:lang w:eastAsia="sv-SE"/>
        </w:rPr>
        <w:t xml:space="preserve"> dagsläget finns </w:t>
      </w:r>
      <w:r>
        <w:rPr>
          <w:lang w:eastAsia="sv-SE"/>
        </w:rPr>
        <w:t xml:space="preserve">inte </w:t>
      </w:r>
      <w:r w:rsidRPr="005F33FE">
        <w:rPr>
          <w:lang w:eastAsia="sv-SE"/>
        </w:rPr>
        <w:t>någon bekräftad information om</w:t>
      </w:r>
      <w:r>
        <w:rPr>
          <w:lang w:eastAsia="sv-SE"/>
        </w:rPr>
        <w:t xml:space="preserve"> när förslaget antas</w:t>
      </w:r>
      <w:r w:rsidRPr="005F33FE">
        <w:rPr>
          <w:lang w:eastAsia="sv-SE"/>
        </w:rPr>
        <w:t xml:space="preserve">. </w:t>
      </w:r>
    </w:p>
    <w:p w:rsidR="00606686" w:rsidRPr="005F33FE" w:rsidRDefault="00606686" w:rsidP="00C1636D">
      <w:pPr>
        <w:rPr>
          <w:lang w:eastAsia="sv-SE"/>
        </w:rPr>
      </w:pPr>
    </w:p>
    <w:p w:rsidR="00606686" w:rsidRPr="005F33FE" w:rsidRDefault="00606686" w:rsidP="00C1636D">
      <w:pPr>
        <w:rPr>
          <w:lang w:eastAsia="sv-SE"/>
        </w:rPr>
      </w:pPr>
      <w:r w:rsidRPr="005F33FE">
        <w:rPr>
          <w:lang w:eastAsia="sv-SE"/>
        </w:rPr>
        <w:t xml:space="preserve">Årsbudgetförfarandet inleddes redan vid Ekofin den 12 februari då rådet antog riktlinjer för budgetförfarandet för 2014. I riktlinjerna betonas nödvändigheten av att vid upprättandet av EU-budgeten för 2014 ta hänsyn till de budgetära begränsningar som återfinns på nationell nivå i syfte att reducera underskott och skuldsättning samt behovet av att bevara budgetdisciplin på alla nivåer. </w:t>
      </w:r>
    </w:p>
    <w:p w:rsidR="00606686" w:rsidRPr="005F33FE" w:rsidRDefault="00606686" w:rsidP="00C1636D">
      <w:pPr>
        <w:rPr>
          <w:lang w:eastAsia="sv-SE"/>
        </w:rPr>
      </w:pPr>
    </w:p>
    <w:p w:rsidR="00606686" w:rsidRPr="005F33FE" w:rsidRDefault="00606686" w:rsidP="00C1636D">
      <w:pPr>
        <w:rPr>
          <w:lang w:eastAsia="sv-SE"/>
        </w:rPr>
      </w:pPr>
      <w:r w:rsidRPr="005F33FE">
        <w:rPr>
          <w:lang w:eastAsia="sv-SE"/>
        </w:rPr>
        <w:t>Under juni och juli förväntas årsbudgetförslaget behandlas i rådets Budgetkommitté och därefter förväntas rådet anta sin läsning av förslaget vid Ekofin budget den 25 juli. Europaparlamentet genomför sin läsning i slutet av oktober. Slutförhandlingen mellan rådet och Europa</w:t>
      </w:r>
      <w:r w:rsidRPr="005F33FE">
        <w:rPr>
          <w:lang w:eastAsia="sv-SE"/>
        </w:rPr>
        <w:softHyphen/>
        <w:t xml:space="preserve">parlamentet genomförs vid Ekofin budget den 8 november och Europarlamentet ska därefter inom två veckor fastställa budgeten för 2014. </w:t>
      </w:r>
    </w:p>
    <w:p w:rsidR="00606686" w:rsidRPr="005F33FE" w:rsidRDefault="00606686" w:rsidP="00C1636D">
      <w:pPr>
        <w:rPr>
          <w:lang w:eastAsia="sv-SE"/>
        </w:rPr>
      </w:pPr>
    </w:p>
    <w:p w:rsidR="00606686" w:rsidRPr="005F33FE" w:rsidRDefault="00606686" w:rsidP="00C1636D">
      <w:pPr>
        <w:rPr>
          <w:lang w:eastAsia="sv-SE"/>
        </w:rPr>
      </w:pPr>
      <w:r w:rsidRPr="005F33FE">
        <w:rPr>
          <w:lang w:eastAsia="sv-SE"/>
        </w:rPr>
        <w:t>Regeringen avser återkomma till riksdagen med sin ståndpunkt och förslag till förhandlingsposition inför den fortsatta behandlingen i rådet.</w:t>
      </w:r>
    </w:p>
    <w:p w:rsidR="00606686" w:rsidRPr="001F58B4" w:rsidRDefault="00606686" w:rsidP="004D091D">
      <w:pPr>
        <w:pStyle w:val="Heading2"/>
        <w:numPr>
          <w:ilvl w:val="0"/>
          <w:numId w:val="7"/>
        </w:numPr>
      </w:pPr>
      <w:r w:rsidRPr="001F58B4">
        <w:t xml:space="preserve">(ev.) Reviderade regler för finansiella instrument (MiFID/MiFIR) </w:t>
      </w:r>
    </w:p>
    <w:p w:rsidR="00606686" w:rsidRPr="00451C5D" w:rsidRDefault="00606686" w:rsidP="00572980">
      <w:pPr>
        <w:pStyle w:val="Heading4"/>
        <w:ind w:left="1080"/>
      </w:pPr>
      <w:r w:rsidRPr="001F58B4">
        <w:t>-Allmän inriktning</w:t>
      </w:r>
      <w:r>
        <w:t xml:space="preserve"> </w:t>
      </w:r>
    </w:p>
    <w:p w:rsidR="00606686" w:rsidRPr="00771AE9" w:rsidRDefault="00606686" w:rsidP="00C1636D">
      <w:pPr>
        <w:rPr>
          <w:i/>
        </w:rPr>
      </w:pPr>
      <w:r>
        <w:t xml:space="preserve">Ekofinrådet ska nå en allmän inriktning om ett kompromissförslag från </w:t>
      </w:r>
      <w:r w:rsidRPr="00771AE9">
        <w:t>det irländska ordförandeskapet rörande reviderade regler för marknader för finansiella instrument.</w:t>
      </w:r>
      <w:r w:rsidRPr="00771AE9">
        <w:rPr>
          <w:i/>
        </w:rPr>
        <w:t xml:space="preserve"> </w:t>
      </w:r>
    </w:p>
    <w:p w:rsidR="00606686" w:rsidRPr="00771AE9" w:rsidRDefault="00606686" w:rsidP="00C1636D">
      <w:pPr>
        <w:rPr>
          <w:i/>
        </w:rPr>
      </w:pPr>
    </w:p>
    <w:p w:rsidR="00606686" w:rsidRPr="00771AE9" w:rsidRDefault="00606686" w:rsidP="00C1636D">
      <w:r w:rsidRPr="00771AE9">
        <w:t xml:space="preserve">Överläggning har skett med Finansutskottet 2011-12-13 och information har lämnats vid flera tillfällen, senast 2013-02-14. Samråd med EU-nämnden har skett 2013-05-08. </w:t>
      </w:r>
    </w:p>
    <w:p w:rsidR="00606686" w:rsidRPr="00771AE9" w:rsidRDefault="00606686" w:rsidP="00C1636D">
      <w:pPr>
        <w:rPr>
          <w:i/>
        </w:rPr>
      </w:pPr>
    </w:p>
    <w:p w:rsidR="00606686" w:rsidRPr="0050771B" w:rsidRDefault="00606686" w:rsidP="00C1636D">
      <w:pPr>
        <w:rPr>
          <w:szCs w:val="24"/>
        </w:rPr>
      </w:pPr>
      <w:r w:rsidRPr="00771AE9">
        <w:rPr>
          <w:szCs w:val="24"/>
        </w:rPr>
        <w:t>EU-kommissionen lade hösten 2011 fram förslag till en förordning och ett nytt direktiv om marknader för finansiella instrument (MiFIR/ MiFID II). Förslagen innebär ändringar i de regler som gäller enligt direktivet om marknader för finansiella instrument (MiFID I), som i svensk rätt har genomförts huvudsakligen genom lagen om värdepap</w:t>
      </w:r>
      <w:r w:rsidRPr="00771AE9">
        <w:rPr>
          <w:szCs w:val="24"/>
        </w:rPr>
        <w:softHyphen/>
      </w:r>
      <w:r w:rsidRPr="0050771B">
        <w:rPr>
          <w:szCs w:val="24"/>
        </w:rPr>
        <w:t>persmarknaden.</w:t>
      </w:r>
      <w:r>
        <w:rPr>
          <w:szCs w:val="24"/>
        </w:rPr>
        <w:t xml:space="preserve"> Förslagen ingår som en del</w:t>
      </w:r>
      <w:r w:rsidRPr="0050771B">
        <w:rPr>
          <w:szCs w:val="24"/>
        </w:rPr>
        <w:t xml:space="preserve"> </w:t>
      </w:r>
      <w:r>
        <w:rPr>
          <w:szCs w:val="24"/>
        </w:rPr>
        <w:t xml:space="preserve">i </w:t>
      </w:r>
      <w:r w:rsidRPr="0050771B">
        <w:rPr>
          <w:szCs w:val="24"/>
        </w:rPr>
        <w:t>reformer</w:t>
      </w:r>
      <w:r>
        <w:rPr>
          <w:szCs w:val="24"/>
        </w:rPr>
        <w:t>ingen av</w:t>
      </w:r>
      <w:r w:rsidRPr="0050771B">
        <w:rPr>
          <w:szCs w:val="24"/>
        </w:rPr>
        <w:t xml:space="preserve"> det EU-rättsliga regelverket </w:t>
      </w:r>
      <w:r>
        <w:rPr>
          <w:szCs w:val="24"/>
        </w:rPr>
        <w:t xml:space="preserve">på finansmarknadsområdet och tar </w:t>
      </w:r>
      <w:r w:rsidRPr="0050771B">
        <w:rPr>
          <w:szCs w:val="24"/>
        </w:rPr>
        <w:t>sikte på att upp</w:t>
      </w:r>
      <w:r>
        <w:rPr>
          <w:szCs w:val="24"/>
        </w:rPr>
        <w:softHyphen/>
      </w:r>
      <w:r w:rsidRPr="0050771B">
        <w:rPr>
          <w:szCs w:val="24"/>
        </w:rPr>
        <w:t>nå ett säkrare, sundare, mer genomlyst och ans</w:t>
      </w:r>
      <w:r>
        <w:rPr>
          <w:szCs w:val="24"/>
        </w:rPr>
        <w:t>varstagande finansiellt system samt att u</w:t>
      </w:r>
      <w:r w:rsidRPr="0050771B">
        <w:rPr>
          <w:szCs w:val="24"/>
        </w:rPr>
        <w:t xml:space="preserve">ppfylla åtaganden i G20 att ta itu med finanssystemets mindre reglerade delar och förbättra </w:t>
      </w:r>
      <w:r>
        <w:rPr>
          <w:szCs w:val="24"/>
        </w:rPr>
        <w:t xml:space="preserve">genomlysning </w:t>
      </w:r>
      <w:r w:rsidRPr="0050771B">
        <w:rPr>
          <w:szCs w:val="24"/>
        </w:rPr>
        <w:t xml:space="preserve">och tillsyn, inte minst för </w:t>
      </w:r>
      <w:r>
        <w:rPr>
          <w:szCs w:val="24"/>
        </w:rPr>
        <w:t xml:space="preserve">finansiella </w:t>
      </w:r>
      <w:r w:rsidRPr="0050771B">
        <w:rPr>
          <w:szCs w:val="24"/>
        </w:rPr>
        <w:t xml:space="preserve">instrument som främst handlas </w:t>
      </w:r>
      <w:r>
        <w:rPr>
          <w:szCs w:val="24"/>
        </w:rPr>
        <w:t>vid sidan av handels</w:t>
      </w:r>
      <w:r>
        <w:rPr>
          <w:szCs w:val="24"/>
        </w:rPr>
        <w:softHyphen/>
        <w:t>platser (</w:t>
      </w:r>
      <w:r w:rsidRPr="0050771B">
        <w:rPr>
          <w:szCs w:val="24"/>
        </w:rPr>
        <w:t>OTC</w:t>
      </w:r>
      <w:r>
        <w:rPr>
          <w:szCs w:val="24"/>
        </w:rPr>
        <w:t>)</w:t>
      </w:r>
      <w:r w:rsidRPr="0050771B">
        <w:rPr>
          <w:szCs w:val="24"/>
        </w:rPr>
        <w:t>.</w:t>
      </w:r>
      <w:r>
        <w:rPr>
          <w:szCs w:val="24"/>
        </w:rPr>
        <w:t xml:space="preserve"> Förslagen </w:t>
      </w:r>
      <w:r w:rsidRPr="0050771B">
        <w:rPr>
          <w:szCs w:val="24"/>
        </w:rPr>
        <w:t>tar främst sikte på verksamhet som drivs av värdepappersföretag och börser.</w:t>
      </w:r>
      <w:r>
        <w:rPr>
          <w:szCs w:val="24"/>
        </w:rPr>
        <w:t xml:space="preserve"> Förslagen beskrivs i faktapromemoria 2011/12:FPM34.</w:t>
      </w:r>
    </w:p>
    <w:p w:rsidR="00606686" w:rsidRDefault="00606686" w:rsidP="00C1636D">
      <w:pPr>
        <w:rPr>
          <w:i/>
        </w:rPr>
      </w:pPr>
    </w:p>
    <w:p w:rsidR="00606686" w:rsidRDefault="00606686" w:rsidP="00C1636D">
      <w:r w:rsidRPr="0050771B">
        <w:t>Förhandlingarna i rådet pågår i skrivande stund. Förhandlingsläget är för närvarande svårbedömt</w:t>
      </w:r>
      <w:r>
        <w:t xml:space="preserve"> eftersom många viktiga frågor fortfarande inte är lösta</w:t>
      </w:r>
      <w:r w:rsidRPr="0050771B">
        <w:t>.</w:t>
      </w:r>
      <w:r>
        <w:t xml:space="preserve"> Nya kompromissförslag läggs fram löpande. Regeringen har som ambition att ge sitt stöd till att nå en allmän inriktning i syfte att en bred kompromiss ska föra förhandlingarna framåt. Regeringen återkommer med vidare information i ärendet.  </w:t>
      </w:r>
    </w:p>
    <w:p w:rsidR="00606686" w:rsidRPr="00451C5D" w:rsidRDefault="00606686" w:rsidP="004D091D">
      <w:pPr>
        <w:pStyle w:val="Heading2"/>
        <w:numPr>
          <w:ilvl w:val="0"/>
          <w:numId w:val="7"/>
        </w:numPr>
      </w:pPr>
      <w:r>
        <w:t xml:space="preserve">Återhämtning och rekonstruktion av banker (BRRD) </w:t>
      </w:r>
    </w:p>
    <w:p w:rsidR="00606686" w:rsidRPr="00451C5D" w:rsidRDefault="00606686" w:rsidP="00572980">
      <w:pPr>
        <w:pStyle w:val="Heading4"/>
        <w:ind w:left="1080"/>
      </w:pPr>
      <w:r>
        <w:t xml:space="preserve">-Allmän inriktning </w:t>
      </w:r>
    </w:p>
    <w:p w:rsidR="00606686" w:rsidRPr="00873303" w:rsidRDefault="00606686" w:rsidP="00C1636D">
      <w:r w:rsidRPr="00873303">
        <w:t xml:space="preserve">Ordförandeskapet </w:t>
      </w:r>
      <w:r>
        <w:t>avser att Ekofinrådet ska besluta om en allmän inriktning</w:t>
      </w:r>
      <w:r w:rsidRPr="00873303">
        <w:t xml:space="preserve"> </w:t>
      </w:r>
      <w:r>
        <w:t>rörande krishanteringsdirektivet (B</w:t>
      </w:r>
      <w:r>
        <w:rPr>
          <w:i/>
        </w:rPr>
        <w:t>ank R</w:t>
      </w:r>
      <w:r w:rsidRPr="00E165A2">
        <w:rPr>
          <w:i/>
        </w:rPr>
        <w:t xml:space="preserve">ecovery and </w:t>
      </w:r>
      <w:r>
        <w:rPr>
          <w:i/>
        </w:rPr>
        <w:t>R</w:t>
      </w:r>
      <w:r w:rsidRPr="00E165A2">
        <w:rPr>
          <w:i/>
        </w:rPr>
        <w:t>esolution</w:t>
      </w:r>
      <w:r>
        <w:rPr>
          <w:i/>
        </w:rPr>
        <w:t xml:space="preserve"> Directive, BRRD</w:t>
      </w:r>
      <w:r>
        <w:t>)</w:t>
      </w:r>
      <w:r w:rsidRPr="00873303">
        <w:t xml:space="preserve">. </w:t>
      </w:r>
    </w:p>
    <w:p w:rsidR="00606686" w:rsidRDefault="00606686" w:rsidP="00C1636D"/>
    <w:p w:rsidR="00606686" w:rsidRDefault="00606686" w:rsidP="00C1636D">
      <w:r>
        <w:t xml:space="preserve">Överläggning har skett med Finansutskottet 2012-08-28. Finansutskottet har dessutom informerats vid fyra tillfällen, senast 2013-03-21. Samråd med EU-nämnden har skett vid tre tillfällen, senast 2013-05-08. </w:t>
      </w:r>
    </w:p>
    <w:p w:rsidR="00606686" w:rsidRDefault="00606686" w:rsidP="00C1636D"/>
    <w:p w:rsidR="00606686" w:rsidRDefault="00606686" w:rsidP="00C1636D">
      <w:pPr>
        <w:rPr>
          <w:color w:val="000000"/>
        </w:rPr>
      </w:pPr>
      <w:r w:rsidRPr="00BD5B87">
        <w:rPr>
          <w:color w:val="000000"/>
        </w:rPr>
        <w:t>Kommissionen presenterade den 6 juni</w:t>
      </w:r>
      <w:r>
        <w:rPr>
          <w:color w:val="000000"/>
        </w:rPr>
        <w:t xml:space="preserve"> 2012</w:t>
      </w:r>
      <w:r w:rsidRPr="00BD5B87">
        <w:rPr>
          <w:color w:val="000000"/>
        </w:rPr>
        <w:t xml:space="preserve"> ett direktivförslag till EU-ramverk för hantering av banker, kreditmarknadsföretag och värdepappersföretag i kris. Direktivet syftar till att säkerställa att myndigheter har trovärdiga verktyg för att avv</w:t>
      </w:r>
      <w:r>
        <w:rPr>
          <w:color w:val="000000"/>
        </w:rPr>
        <w:t xml:space="preserve">eckla institut på ett sätt som </w:t>
      </w:r>
      <w:r w:rsidRPr="00BD5B87">
        <w:rPr>
          <w:color w:val="000000"/>
        </w:rPr>
        <w:t>minimerar spridningsrisker och samtidigt bibehåller tillgången på grundläggande finansiella tjänster.</w:t>
      </w:r>
      <w:r w:rsidRPr="00BD5B87">
        <w:t xml:space="preserve"> </w:t>
      </w:r>
      <w:r>
        <w:t xml:space="preserve">För vidare information (se </w:t>
      </w:r>
      <w:r>
        <w:rPr>
          <w:color w:val="000000"/>
        </w:rPr>
        <w:t>faktapromemoria</w:t>
      </w:r>
      <w:r w:rsidRPr="00BD5B87">
        <w:rPr>
          <w:color w:val="000000"/>
        </w:rPr>
        <w:t xml:space="preserve"> 2011/12:FPM165</w:t>
      </w:r>
      <w:r>
        <w:rPr>
          <w:color w:val="000000"/>
        </w:rPr>
        <w:t>).</w:t>
      </w:r>
    </w:p>
    <w:p w:rsidR="00606686" w:rsidRDefault="00606686" w:rsidP="00C1636D"/>
    <w:p w:rsidR="00606686" w:rsidRPr="00BD5B87" w:rsidRDefault="00606686" w:rsidP="002468C8">
      <w:pPr>
        <w:pStyle w:val="RKnormal"/>
        <w:spacing w:line="240" w:lineRule="auto"/>
        <w:rPr>
          <w:color w:val="000000"/>
        </w:rPr>
      </w:pPr>
      <w:r>
        <w:rPr>
          <w:color w:val="000000"/>
        </w:rPr>
        <w:t>Regeringen</w:t>
      </w:r>
      <w:r w:rsidRPr="00BD5B87">
        <w:rPr>
          <w:color w:val="000000"/>
        </w:rPr>
        <w:t xml:space="preserve"> välkomnar </w:t>
      </w:r>
      <w:r>
        <w:rPr>
          <w:color w:val="000000"/>
        </w:rPr>
        <w:t xml:space="preserve">att </w:t>
      </w:r>
      <w:r w:rsidRPr="00BD5B87">
        <w:rPr>
          <w:color w:val="000000"/>
        </w:rPr>
        <w:t xml:space="preserve">en minimiharmonisering av krishantering av banker, kreditmarknadsföretag och värdepappersbolag sker inom EU. </w:t>
      </w:r>
      <w:r>
        <w:rPr>
          <w:color w:val="000000"/>
        </w:rPr>
        <w:t>Regeringen</w:t>
      </w:r>
      <w:r w:rsidRPr="00BD5B87">
        <w:rPr>
          <w:color w:val="000000"/>
        </w:rPr>
        <w:t xml:space="preserve"> är dock tveksam till om det aktuella förslagets innehåll innebär att en systemkris kommer att kunna hanteras</w:t>
      </w:r>
      <w:r>
        <w:rPr>
          <w:color w:val="000000"/>
        </w:rPr>
        <w:t xml:space="preserve"> bättre än med befintliga verktyg</w:t>
      </w:r>
      <w:r w:rsidRPr="00BD5B87">
        <w:rPr>
          <w:color w:val="000000"/>
        </w:rPr>
        <w:t xml:space="preserve">. </w:t>
      </w:r>
    </w:p>
    <w:p w:rsidR="00606686" w:rsidRPr="00BD5B87" w:rsidRDefault="00606686" w:rsidP="002468C8">
      <w:pPr>
        <w:pStyle w:val="RKnormal"/>
        <w:spacing w:line="240" w:lineRule="auto"/>
        <w:rPr>
          <w:color w:val="000000"/>
        </w:rPr>
      </w:pPr>
    </w:p>
    <w:p w:rsidR="00606686" w:rsidRDefault="00606686" w:rsidP="002468C8">
      <w:pPr>
        <w:pStyle w:val="RKnormal"/>
        <w:spacing w:line="240" w:lineRule="auto"/>
        <w:rPr>
          <w:color w:val="000000"/>
        </w:rPr>
      </w:pPr>
      <w:r w:rsidRPr="00BD5B87">
        <w:rPr>
          <w:color w:val="000000"/>
        </w:rPr>
        <w:t xml:space="preserve">Ramverket måste vara flexibelt och de avvecklingsverktyg som listas i förslaget måste vara en minimilista som ger utrymme för </w:t>
      </w:r>
      <w:r>
        <w:rPr>
          <w:color w:val="000000"/>
        </w:rPr>
        <w:t>medlemsstaterna</w:t>
      </w:r>
      <w:r w:rsidRPr="00BD5B87">
        <w:rPr>
          <w:color w:val="000000"/>
        </w:rPr>
        <w:t xml:space="preserve"> att vidta ytterligare åtgärder på nationell nivå, utöver de verktyg som listas i ramverket. </w:t>
      </w:r>
      <w:r>
        <w:rPr>
          <w:color w:val="000000"/>
        </w:rPr>
        <w:t>Nationell flexibilitet är särskilt betydelsefull för de medlemsstater som inte har euro som valuta.</w:t>
      </w:r>
    </w:p>
    <w:p w:rsidR="00606686" w:rsidRDefault="00606686" w:rsidP="002468C8">
      <w:pPr>
        <w:pStyle w:val="RKnormal"/>
        <w:spacing w:line="240" w:lineRule="auto"/>
        <w:rPr>
          <w:color w:val="000000"/>
        </w:rPr>
      </w:pPr>
    </w:p>
    <w:p w:rsidR="00606686" w:rsidRDefault="00606686" w:rsidP="002468C8">
      <w:pPr>
        <w:pStyle w:val="RKnormal"/>
        <w:spacing w:line="240" w:lineRule="auto"/>
        <w:rPr>
          <w:color w:val="000000"/>
        </w:rPr>
      </w:pPr>
      <w:r>
        <w:rPr>
          <w:color w:val="000000"/>
        </w:rPr>
        <w:t>M</w:t>
      </w:r>
      <w:r w:rsidRPr="00286882">
        <w:rPr>
          <w:color w:val="000000"/>
        </w:rPr>
        <w:t>öjligheten till lagreglerad nedskrivning av skulder, s.k. bail-in, är ett av flera avvecklingsverktyg som anges i direktivet. Bail-in är i stor utsträckning ett oprövat verktyg och kommer sannolikt inte alltid att vara möjligt att använda (t.ex. vid en fullskalig systemkris då risken för spridningseffekter är överhängande) vilket kommer att kräva flexibilitet vid tillämpning</w:t>
      </w:r>
      <w:r>
        <w:rPr>
          <w:color w:val="000000"/>
        </w:rPr>
        <w:t>en</w:t>
      </w:r>
      <w:r w:rsidRPr="00286882">
        <w:rPr>
          <w:color w:val="000000"/>
        </w:rPr>
        <w:t>.</w:t>
      </w:r>
    </w:p>
    <w:p w:rsidR="00606686" w:rsidRDefault="00606686" w:rsidP="002468C8">
      <w:pPr>
        <w:pStyle w:val="RKnormal"/>
        <w:spacing w:line="240" w:lineRule="auto"/>
        <w:rPr>
          <w:color w:val="000000"/>
        </w:rPr>
      </w:pPr>
    </w:p>
    <w:p w:rsidR="00606686" w:rsidRDefault="00606686" w:rsidP="002468C8">
      <w:pPr>
        <w:pStyle w:val="RKnormal"/>
        <w:spacing w:line="240" w:lineRule="auto"/>
        <w:rPr>
          <w:color w:val="000000"/>
        </w:rPr>
      </w:pPr>
      <w:r>
        <w:rPr>
          <w:color w:val="000000"/>
        </w:rPr>
        <w:t xml:space="preserve">Vidare anser regeringen att </w:t>
      </w:r>
      <w:r w:rsidRPr="00873303">
        <w:rPr>
          <w:color w:val="000000"/>
        </w:rPr>
        <w:t xml:space="preserve">förslaget i sin nuvarande form ger alltför stora befogenheter till </w:t>
      </w:r>
      <w:r>
        <w:rPr>
          <w:color w:val="000000"/>
        </w:rPr>
        <w:t>Europeiska bankmyndigheten</w:t>
      </w:r>
      <w:r w:rsidRPr="00873303">
        <w:rPr>
          <w:color w:val="000000"/>
        </w:rPr>
        <w:t xml:space="preserve"> (EBA)</w:t>
      </w:r>
      <w:r>
        <w:rPr>
          <w:color w:val="000000"/>
        </w:rPr>
        <w:t xml:space="preserve"> vad gäller möjlighet att utöva bindande medling och utfärda bindande tekniska standarder. </w:t>
      </w:r>
    </w:p>
    <w:p w:rsidR="00606686" w:rsidRDefault="00606686" w:rsidP="002468C8">
      <w:pPr>
        <w:pStyle w:val="RKnormal"/>
        <w:spacing w:line="240" w:lineRule="auto"/>
        <w:rPr>
          <w:color w:val="000000"/>
        </w:rPr>
      </w:pPr>
    </w:p>
    <w:p w:rsidR="00606686" w:rsidRPr="007466C2" w:rsidRDefault="00606686" w:rsidP="002468C8">
      <w:pPr>
        <w:pStyle w:val="RKnormal"/>
        <w:spacing w:line="240" w:lineRule="auto"/>
      </w:pPr>
      <w:r>
        <w:rPr>
          <w:color w:val="000000"/>
        </w:rPr>
        <w:t xml:space="preserve">Slutligen avser regeringen bevaka att den föreslagna </w:t>
      </w:r>
      <w:r w:rsidRPr="00873303">
        <w:rPr>
          <w:color w:val="000000"/>
        </w:rPr>
        <w:t xml:space="preserve">obligatoriska lånemekanismen </w:t>
      </w:r>
      <w:r>
        <w:rPr>
          <w:color w:val="000000"/>
        </w:rPr>
        <w:t xml:space="preserve">som </w:t>
      </w:r>
      <w:r w:rsidRPr="00873303">
        <w:rPr>
          <w:color w:val="000000"/>
        </w:rPr>
        <w:t>utgå</w:t>
      </w:r>
      <w:r>
        <w:rPr>
          <w:color w:val="000000"/>
        </w:rPr>
        <w:t>tt i nuvarande kompromissförslag inte återinförs</w:t>
      </w:r>
      <w:r w:rsidRPr="00873303">
        <w:rPr>
          <w:color w:val="000000"/>
        </w:rPr>
        <w:t xml:space="preserve">. </w:t>
      </w:r>
    </w:p>
    <w:p w:rsidR="00606686" w:rsidRPr="00451C5D" w:rsidRDefault="00606686" w:rsidP="004D091D">
      <w:pPr>
        <w:pStyle w:val="Heading2"/>
        <w:numPr>
          <w:ilvl w:val="0"/>
          <w:numId w:val="7"/>
        </w:numPr>
      </w:pPr>
      <w:r>
        <w:t xml:space="preserve">Övriga frågor </w:t>
      </w:r>
    </w:p>
    <w:p w:rsidR="00606686" w:rsidRPr="00451C5D" w:rsidRDefault="00606686" w:rsidP="00572980">
      <w:pPr>
        <w:pStyle w:val="Heading4"/>
        <w:ind w:left="1080"/>
      </w:pPr>
      <w:r>
        <w:t xml:space="preserve">-Information från ordförandeskapet </w:t>
      </w:r>
    </w:p>
    <w:p w:rsidR="00606686" w:rsidRDefault="00606686" w:rsidP="00C1636D">
      <w:r>
        <w:t>Ordförandeskapet väntas informera om arbetet med lagstiftningsakter, inklusive insättningsgarantidirektivet (</w:t>
      </w:r>
      <w:r w:rsidRPr="0001573F">
        <w:rPr>
          <w:i/>
        </w:rPr>
        <w:t>Deposit Guarantee Schemes Directive, DGS</w:t>
      </w:r>
      <w:r>
        <w:t xml:space="preserve">). </w:t>
      </w:r>
    </w:p>
    <w:p w:rsidR="00606686" w:rsidRDefault="00606686" w:rsidP="00C1636D"/>
    <w:p w:rsidR="00606686" w:rsidRDefault="00606686" w:rsidP="00C1636D">
      <w:r w:rsidRPr="00455C56">
        <w:t xml:space="preserve">Överläggning har skett med Finansutskottet den </w:t>
      </w:r>
      <w:r>
        <w:t>2010-11-30</w:t>
      </w:r>
      <w:r w:rsidRPr="00455C56">
        <w:t xml:space="preserve">. Finansutskottet har därutöver informerats flera gånger, senast i december 2012. Information och samråd med EU-nämnden </w:t>
      </w:r>
      <w:r>
        <w:t>skedde</w:t>
      </w:r>
      <w:r w:rsidRPr="00455C56">
        <w:t xml:space="preserve"> i juni 2011.</w:t>
      </w:r>
    </w:p>
    <w:p w:rsidR="00606686" w:rsidRDefault="00606686" w:rsidP="00C1636D"/>
    <w:p w:rsidR="00606686" w:rsidRDefault="00606686" w:rsidP="00C1636D">
      <w:r>
        <w:t>Den 12 juli 2010 presenterade kommissionen ett förslag till ett omarbetat insättningsgarantidirektiv (se faktapromemoria 2009/10:FPM121). Förslaget syftar till att harmonisera och stärka insättningsgarantisystemen i EU och därigenom öka konsumenternas skydd samt främja den finansiella stabiliteten. Förslaget innebär bl.a. att det införs harmoniserade regler för finansieringen av insättningsgaranti</w:t>
      </w:r>
      <w:r>
        <w:softHyphen/>
        <w:t xml:space="preserve">systemen, att utbetalningstiden vid ersättningsfall förkortas och att informationen till insättarna förbättras. </w:t>
      </w:r>
    </w:p>
    <w:p w:rsidR="00606686" w:rsidRDefault="00606686" w:rsidP="00C1636D"/>
    <w:p w:rsidR="00606686" w:rsidRDefault="00606686" w:rsidP="00C1636D">
      <w:r>
        <w:t>Förhandlingar har förts i rådet sedan hösten 2010. Vid Coreper den 17 juni 2011 enades medlemsstaterna om en allmän inriktning. Sedan september 2011 har förhandlingar förts med Europaparlamentet.</w:t>
      </w:r>
      <w:r w:rsidRPr="006F7B0D">
        <w:t xml:space="preserve"> </w:t>
      </w:r>
      <w:r>
        <w:t>Förhandlingarna är ännu inte avslutade</w:t>
      </w:r>
    </w:p>
    <w:p w:rsidR="00606686" w:rsidRDefault="00606686" w:rsidP="00C1636D"/>
    <w:p w:rsidR="00606686" w:rsidRDefault="00606686" w:rsidP="00C1636D">
      <w:r>
        <w:t>Kommissionen presenterade i juni 2012 ett förslag till krishanterings</w:t>
      </w:r>
      <w:r>
        <w:softHyphen/>
        <w:t xml:space="preserve">direktiv </w:t>
      </w:r>
      <w:r w:rsidRPr="001F02EE">
        <w:t>(BRRD)</w:t>
      </w:r>
      <w:r>
        <w:t>. Krishanterings</w:t>
      </w:r>
      <w:r>
        <w:softHyphen/>
        <w:t xml:space="preserve">direktivet har direkta kopplingar till insättningsgarantidirektivet vad gäller frågor om finansiering och hur medel i insättningsgarantifonderna kan få användas vid avveckling av banker. Krishanteringsdirektivet förhandlas fortfarande i rådet. </w:t>
      </w:r>
    </w:p>
    <w:p w:rsidR="00606686" w:rsidRDefault="00606686" w:rsidP="00C1636D"/>
    <w:p w:rsidR="00606686" w:rsidRDefault="00606686" w:rsidP="00C1636D">
      <w:r>
        <w:t>Det har varit ett uppehåll i förhandlingarna avseende insättningsgarantidirektivet sedan juli 2012.</w:t>
      </w:r>
    </w:p>
    <w:p w:rsidR="00606686" w:rsidRDefault="00606686" w:rsidP="00C1636D"/>
    <w:p w:rsidR="00606686" w:rsidRPr="00005077" w:rsidRDefault="00606686" w:rsidP="006B65BB">
      <w:r w:rsidRPr="00DE2E09">
        <w:t>Regeringen anser att på grund av finansieringskopplingarna till kris</w:t>
      </w:r>
      <w:bookmarkStart w:id="0" w:name="_GoBack"/>
      <w:bookmarkEnd w:id="0"/>
      <w:r w:rsidRPr="00DE2E09">
        <w:t>hanteringsdirektivet måste de båda direktiven hanteras parallellt.</w:t>
      </w:r>
    </w:p>
    <w:sectPr w:rsidR="00606686" w:rsidRPr="00005077"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6686" w:rsidRDefault="00606686">
      <w:r>
        <w:separator/>
      </w:r>
    </w:p>
  </w:endnote>
  <w:endnote w:type="continuationSeparator" w:id="0">
    <w:p w:rsidR="00606686" w:rsidRDefault="00606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6686" w:rsidRDefault="00606686">
      <w:r>
        <w:separator/>
      </w:r>
    </w:p>
  </w:footnote>
  <w:footnote w:type="continuationSeparator" w:id="0">
    <w:p w:rsidR="00606686" w:rsidRDefault="00606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86" w:rsidRDefault="00606686"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606686">
      <w:trPr>
        <w:cantSplit/>
      </w:trPr>
      <w:tc>
        <w:tcPr>
          <w:tcW w:w="3119" w:type="dxa"/>
        </w:tcPr>
        <w:p w:rsidR="00606686" w:rsidRDefault="00606686" w:rsidP="00005077">
          <w:pPr>
            <w:pStyle w:val="Header"/>
            <w:spacing w:line="200" w:lineRule="atLeast"/>
            <w:ind w:right="360" w:firstLine="360"/>
            <w:rPr>
              <w:rFonts w:ascii="TradeGothic" w:hAnsi="TradeGothic"/>
              <w:b/>
              <w:bCs/>
              <w:sz w:val="16"/>
            </w:rPr>
          </w:pPr>
        </w:p>
      </w:tc>
      <w:tc>
        <w:tcPr>
          <w:tcW w:w="4111" w:type="dxa"/>
          <w:tcMar>
            <w:left w:w="567" w:type="dxa"/>
          </w:tcMar>
        </w:tcPr>
        <w:p w:rsidR="00606686" w:rsidRDefault="00606686">
          <w:pPr>
            <w:pStyle w:val="Header"/>
            <w:ind w:right="360"/>
          </w:pPr>
        </w:p>
      </w:tc>
      <w:tc>
        <w:tcPr>
          <w:tcW w:w="1525" w:type="dxa"/>
        </w:tcPr>
        <w:p w:rsidR="00606686" w:rsidRDefault="00606686">
          <w:pPr>
            <w:pStyle w:val="Header"/>
            <w:ind w:right="360"/>
          </w:pPr>
        </w:p>
      </w:tc>
    </w:tr>
  </w:tbl>
  <w:p w:rsidR="00606686" w:rsidRDefault="0060668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86" w:rsidRDefault="00606686"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tbl>
    <w:tblPr>
      <w:tblW w:w="0" w:type="auto"/>
      <w:tblInd w:w="-1168" w:type="dxa"/>
      <w:tblLook w:val="0000"/>
    </w:tblPr>
    <w:tblGrid>
      <w:gridCol w:w="1843"/>
      <w:gridCol w:w="4111"/>
      <w:gridCol w:w="1525"/>
    </w:tblGrid>
    <w:tr w:rsidR="00606686">
      <w:trPr>
        <w:cantSplit/>
      </w:trPr>
      <w:tc>
        <w:tcPr>
          <w:tcW w:w="3119" w:type="dxa"/>
        </w:tcPr>
        <w:p w:rsidR="00606686" w:rsidRDefault="00606686" w:rsidP="00005077">
          <w:pPr>
            <w:pStyle w:val="Header"/>
            <w:spacing w:line="200" w:lineRule="atLeast"/>
            <w:ind w:right="360" w:firstLine="360"/>
            <w:rPr>
              <w:rFonts w:ascii="TradeGothic" w:hAnsi="TradeGothic"/>
              <w:b/>
              <w:bCs/>
              <w:sz w:val="16"/>
            </w:rPr>
          </w:pPr>
        </w:p>
      </w:tc>
      <w:tc>
        <w:tcPr>
          <w:tcW w:w="4111" w:type="dxa"/>
          <w:tcMar>
            <w:left w:w="567" w:type="dxa"/>
          </w:tcMar>
        </w:tcPr>
        <w:p w:rsidR="00606686" w:rsidRDefault="00606686">
          <w:pPr>
            <w:pStyle w:val="Header"/>
            <w:ind w:right="360"/>
          </w:pPr>
        </w:p>
      </w:tc>
      <w:tc>
        <w:tcPr>
          <w:tcW w:w="1525" w:type="dxa"/>
        </w:tcPr>
        <w:p w:rsidR="00606686" w:rsidRDefault="00606686">
          <w:pPr>
            <w:pStyle w:val="Header"/>
            <w:ind w:right="360"/>
          </w:pPr>
        </w:p>
      </w:tc>
    </w:tr>
  </w:tbl>
  <w:p w:rsidR="00606686" w:rsidRDefault="0060668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86" w:rsidRDefault="00606686">
    <w:pPr>
      <w:framePr w:w="2948" w:h="1321" w:hRule="exact" w:wrap="notBeside" w:vAnchor="page" w:hAnchor="page" w:x="1362" w:y="653"/>
    </w:pPr>
    <w:r w:rsidRPr="00197D3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606686" w:rsidRPr="00005077" w:rsidRDefault="00606686">
    <w:pPr>
      <w:pStyle w:val="RKrubrik"/>
      <w:keepNext w:val="0"/>
      <w:tabs>
        <w:tab w:val="clear" w:pos="1134"/>
        <w:tab w:val="clear" w:pos="2835"/>
      </w:tabs>
      <w:spacing w:before="0" w:after="0" w:line="320" w:lineRule="atLeast"/>
      <w:rPr>
        <w:bCs/>
      </w:rPr>
    </w:pPr>
  </w:p>
  <w:p w:rsidR="00606686" w:rsidRPr="00005077" w:rsidRDefault="00606686">
    <w:pPr>
      <w:rPr>
        <w:rFonts w:ascii="TradeGothic" w:hAnsi="TradeGothic"/>
        <w:b/>
        <w:bCs/>
        <w:spacing w:val="12"/>
        <w:sz w:val="22"/>
      </w:rPr>
    </w:pPr>
  </w:p>
  <w:p w:rsidR="00606686" w:rsidRPr="00005077" w:rsidRDefault="00606686">
    <w:pPr>
      <w:pStyle w:val="RKrubrik"/>
      <w:keepNext w:val="0"/>
      <w:tabs>
        <w:tab w:val="clear" w:pos="1134"/>
        <w:tab w:val="clear" w:pos="2835"/>
      </w:tabs>
      <w:spacing w:before="0" w:after="0" w:line="320" w:lineRule="atLeast"/>
      <w:rPr>
        <w:bCs/>
      </w:rPr>
    </w:pPr>
  </w:p>
  <w:p w:rsidR="00606686" w:rsidRPr="00005077" w:rsidRDefault="0060668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F389D"/>
    <w:multiLevelType w:val="hybridMultilevel"/>
    <w:tmpl w:val="28D4CBB2"/>
    <w:lvl w:ilvl="0" w:tplc="2F3A3DFC">
      <w:start w:val="1"/>
      <w:numFmt w:val="decimal"/>
      <w:lvlText w:val="%1."/>
      <w:lvlJc w:val="left"/>
      <w:pPr>
        <w:ind w:left="1146" w:hanging="360"/>
      </w:pPr>
      <w:rPr>
        <w:rFonts w:cs="Times New Roman" w:hint="default"/>
      </w:rPr>
    </w:lvl>
    <w:lvl w:ilvl="1" w:tplc="041D0019" w:tentative="1">
      <w:start w:val="1"/>
      <w:numFmt w:val="lowerLetter"/>
      <w:lvlText w:val="%2."/>
      <w:lvlJc w:val="left"/>
      <w:pPr>
        <w:ind w:left="1866" w:hanging="360"/>
      </w:pPr>
      <w:rPr>
        <w:rFonts w:cs="Times New Roman"/>
      </w:rPr>
    </w:lvl>
    <w:lvl w:ilvl="2" w:tplc="041D001B" w:tentative="1">
      <w:start w:val="1"/>
      <w:numFmt w:val="lowerRoman"/>
      <w:lvlText w:val="%3."/>
      <w:lvlJc w:val="right"/>
      <w:pPr>
        <w:ind w:left="2586" w:hanging="180"/>
      </w:pPr>
      <w:rPr>
        <w:rFonts w:cs="Times New Roman"/>
      </w:rPr>
    </w:lvl>
    <w:lvl w:ilvl="3" w:tplc="041D000F" w:tentative="1">
      <w:start w:val="1"/>
      <w:numFmt w:val="decimal"/>
      <w:lvlText w:val="%4."/>
      <w:lvlJc w:val="left"/>
      <w:pPr>
        <w:ind w:left="3306" w:hanging="360"/>
      </w:pPr>
      <w:rPr>
        <w:rFonts w:cs="Times New Roman"/>
      </w:rPr>
    </w:lvl>
    <w:lvl w:ilvl="4" w:tplc="041D0019" w:tentative="1">
      <w:start w:val="1"/>
      <w:numFmt w:val="lowerLetter"/>
      <w:lvlText w:val="%5."/>
      <w:lvlJc w:val="left"/>
      <w:pPr>
        <w:ind w:left="4026" w:hanging="360"/>
      </w:pPr>
      <w:rPr>
        <w:rFonts w:cs="Times New Roman"/>
      </w:rPr>
    </w:lvl>
    <w:lvl w:ilvl="5" w:tplc="041D001B" w:tentative="1">
      <w:start w:val="1"/>
      <w:numFmt w:val="lowerRoman"/>
      <w:lvlText w:val="%6."/>
      <w:lvlJc w:val="right"/>
      <w:pPr>
        <w:ind w:left="4746" w:hanging="180"/>
      </w:pPr>
      <w:rPr>
        <w:rFonts w:cs="Times New Roman"/>
      </w:rPr>
    </w:lvl>
    <w:lvl w:ilvl="6" w:tplc="041D000F" w:tentative="1">
      <w:start w:val="1"/>
      <w:numFmt w:val="decimal"/>
      <w:lvlText w:val="%7."/>
      <w:lvlJc w:val="left"/>
      <w:pPr>
        <w:ind w:left="5466" w:hanging="360"/>
      </w:pPr>
      <w:rPr>
        <w:rFonts w:cs="Times New Roman"/>
      </w:rPr>
    </w:lvl>
    <w:lvl w:ilvl="7" w:tplc="041D0019" w:tentative="1">
      <w:start w:val="1"/>
      <w:numFmt w:val="lowerLetter"/>
      <w:lvlText w:val="%8."/>
      <w:lvlJc w:val="left"/>
      <w:pPr>
        <w:ind w:left="6186" w:hanging="360"/>
      </w:pPr>
      <w:rPr>
        <w:rFonts w:cs="Times New Roman"/>
      </w:rPr>
    </w:lvl>
    <w:lvl w:ilvl="8" w:tplc="041D001B" w:tentative="1">
      <w:start w:val="1"/>
      <w:numFmt w:val="lowerRoman"/>
      <w:lvlText w:val="%9."/>
      <w:lvlJc w:val="right"/>
      <w:pPr>
        <w:ind w:left="6906" w:hanging="180"/>
      </w:pPr>
      <w:rPr>
        <w:rFonts w:cs="Times New Roman"/>
      </w:rPr>
    </w:lvl>
  </w:abstractNum>
  <w:abstractNum w:abstractNumId="1">
    <w:nsid w:val="04305BDF"/>
    <w:multiLevelType w:val="hybridMultilevel"/>
    <w:tmpl w:val="70E21DE0"/>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
    <w:nsid w:val="05EE3A8F"/>
    <w:multiLevelType w:val="hybridMultilevel"/>
    <w:tmpl w:val="7AAEEE6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nsid w:val="0705032C"/>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071E2D39"/>
    <w:multiLevelType w:val="hybridMultilevel"/>
    <w:tmpl w:val="64B4C662"/>
    <w:lvl w:ilvl="0" w:tplc="BFC2097E">
      <w:start w:val="8"/>
      <w:numFmt w:val="bullet"/>
      <w:lvlText w:val="-"/>
      <w:lvlJc w:val="left"/>
      <w:pPr>
        <w:ind w:left="1500" w:hanging="360"/>
      </w:pPr>
      <w:rPr>
        <w:rFonts w:ascii="TradeGothic" w:eastAsia="Times New Roman" w:hAnsi="TradeGothic" w:hint="default"/>
      </w:rPr>
    </w:lvl>
    <w:lvl w:ilvl="1" w:tplc="041D0003" w:tentative="1">
      <w:start w:val="1"/>
      <w:numFmt w:val="bullet"/>
      <w:lvlText w:val="o"/>
      <w:lvlJc w:val="left"/>
      <w:pPr>
        <w:ind w:left="2220" w:hanging="360"/>
      </w:pPr>
      <w:rPr>
        <w:rFonts w:ascii="Courier New" w:hAnsi="Courier New" w:hint="default"/>
      </w:rPr>
    </w:lvl>
    <w:lvl w:ilvl="2" w:tplc="041D0005" w:tentative="1">
      <w:start w:val="1"/>
      <w:numFmt w:val="bullet"/>
      <w:lvlText w:val=""/>
      <w:lvlJc w:val="left"/>
      <w:pPr>
        <w:ind w:left="2940" w:hanging="360"/>
      </w:pPr>
      <w:rPr>
        <w:rFonts w:ascii="Wingdings" w:hAnsi="Wingdings" w:hint="default"/>
      </w:rPr>
    </w:lvl>
    <w:lvl w:ilvl="3" w:tplc="041D0001" w:tentative="1">
      <w:start w:val="1"/>
      <w:numFmt w:val="bullet"/>
      <w:lvlText w:val=""/>
      <w:lvlJc w:val="left"/>
      <w:pPr>
        <w:ind w:left="3660" w:hanging="360"/>
      </w:pPr>
      <w:rPr>
        <w:rFonts w:ascii="Symbol" w:hAnsi="Symbol" w:hint="default"/>
      </w:rPr>
    </w:lvl>
    <w:lvl w:ilvl="4" w:tplc="041D0003" w:tentative="1">
      <w:start w:val="1"/>
      <w:numFmt w:val="bullet"/>
      <w:lvlText w:val="o"/>
      <w:lvlJc w:val="left"/>
      <w:pPr>
        <w:ind w:left="4380" w:hanging="360"/>
      </w:pPr>
      <w:rPr>
        <w:rFonts w:ascii="Courier New" w:hAnsi="Courier New" w:hint="default"/>
      </w:rPr>
    </w:lvl>
    <w:lvl w:ilvl="5" w:tplc="041D0005" w:tentative="1">
      <w:start w:val="1"/>
      <w:numFmt w:val="bullet"/>
      <w:lvlText w:val=""/>
      <w:lvlJc w:val="left"/>
      <w:pPr>
        <w:ind w:left="5100" w:hanging="360"/>
      </w:pPr>
      <w:rPr>
        <w:rFonts w:ascii="Wingdings" w:hAnsi="Wingdings" w:hint="default"/>
      </w:rPr>
    </w:lvl>
    <w:lvl w:ilvl="6" w:tplc="041D0001" w:tentative="1">
      <w:start w:val="1"/>
      <w:numFmt w:val="bullet"/>
      <w:lvlText w:val=""/>
      <w:lvlJc w:val="left"/>
      <w:pPr>
        <w:ind w:left="5820" w:hanging="360"/>
      </w:pPr>
      <w:rPr>
        <w:rFonts w:ascii="Symbol" w:hAnsi="Symbol" w:hint="default"/>
      </w:rPr>
    </w:lvl>
    <w:lvl w:ilvl="7" w:tplc="041D0003" w:tentative="1">
      <w:start w:val="1"/>
      <w:numFmt w:val="bullet"/>
      <w:lvlText w:val="o"/>
      <w:lvlJc w:val="left"/>
      <w:pPr>
        <w:ind w:left="6540" w:hanging="360"/>
      </w:pPr>
      <w:rPr>
        <w:rFonts w:ascii="Courier New" w:hAnsi="Courier New" w:hint="default"/>
      </w:rPr>
    </w:lvl>
    <w:lvl w:ilvl="8" w:tplc="041D0005" w:tentative="1">
      <w:start w:val="1"/>
      <w:numFmt w:val="bullet"/>
      <w:lvlText w:val=""/>
      <w:lvlJc w:val="left"/>
      <w:pPr>
        <w:ind w:left="7260" w:hanging="360"/>
      </w:pPr>
      <w:rPr>
        <w:rFonts w:ascii="Wingdings" w:hAnsi="Wingdings" w:hint="default"/>
      </w:rPr>
    </w:lvl>
  </w:abstractNum>
  <w:abstractNum w:abstractNumId="5">
    <w:nsid w:val="09FC29A1"/>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0AE815DF"/>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0CE97486"/>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8">
    <w:nsid w:val="10BC1D29"/>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1139791D"/>
    <w:multiLevelType w:val="hybridMultilevel"/>
    <w:tmpl w:val="283ABA76"/>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0">
    <w:nsid w:val="1647585D"/>
    <w:multiLevelType w:val="hybridMultilevel"/>
    <w:tmpl w:val="43184038"/>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17777882"/>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201C0010"/>
    <w:multiLevelType w:val="hybridMultilevel"/>
    <w:tmpl w:val="5EE625E4"/>
    <w:lvl w:ilvl="0" w:tplc="88ACA304">
      <w:start w:val="2013"/>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26F70AB3"/>
    <w:multiLevelType w:val="hybridMultilevel"/>
    <w:tmpl w:val="34C8392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4">
    <w:nsid w:val="27A82433"/>
    <w:multiLevelType w:val="hybridMultilevel"/>
    <w:tmpl w:val="0298E87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5">
    <w:nsid w:val="28810B46"/>
    <w:multiLevelType w:val="hybridMultilevel"/>
    <w:tmpl w:val="48625174"/>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6">
    <w:nsid w:val="2ABF0BEC"/>
    <w:multiLevelType w:val="hybridMultilevel"/>
    <w:tmpl w:val="F9B05ACE"/>
    <w:lvl w:ilvl="0" w:tplc="2F3A3DFC">
      <w:start w:val="1"/>
      <w:numFmt w:val="decimal"/>
      <w:lvlText w:val="%1."/>
      <w:lvlJc w:val="left"/>
      <w:pPr>
        <w:ind w:left="1146" w:hanging="360"/>
      </w:pPr>
      <w:rPr>
        <w:rFonts w:cs="Times New Roman" w:hint="default"/>
      </w:rPr>
    </w:lvl>
    <w:lvl w:ilvl="1" w:tplc="041D0019" w:tentative="1">
      <w:start w:val="1"/>
      <w:numFmt w:val="lowerLetter"/>
      <w:lvlText w:val="%2."/>
      <w:lvlJc w:val="left"/>
      <w:pPr>
        <w:ind w:left="1866" w:hanging="360"/>
      </w:pPr>
      <w:rPr>
        <w:rFonts w:cs="Times New Roman"/>
      </w:rPr>
    </w:lvl>
    <w:lvl w:ilvl="2" w:tplc="041D001B" w:tentative="1">
      <w:start w:val="1"/>
      <w:numFmt w:val="lowerRoman"/>
      <w:lvlText w:val="%3."/>
      <w:lvlJc w:val="right"/>
      <w:pPr>
        <w:ind w:left="2586" w:hanging="180"/>
      </w:pPr>
      <w:rPr>
        <w:rFonts w:cs="Times New Roman"/>
      </w:rPr>
    </w:lvl>
    <w:lvl w:ilvl="3" w:tplc="041D000F" w:tentative="1">
      <w:start w:val="1"/>
      <w:numFmt w:val="decimal"/>
      <w:lvlText w:val="%4."/>
      <w:lvlJc w:val="left"/>
      <w:pPr>
        <w:ind w:left="3306" w:hanging="360"/>
      </w:pPr>
      <w:rPr>
        <w:rFonts w:cs="Times New Roman"/>
      </w:rPr>
    </w:lvl>
    <w:lvl w:ilvl="4" w:tplc="041D0019" w:tentative="1">
      <w:start w:val="1"/>
      <w:numFmt w:val="lowerLetter"/>
      <w:lvlText w:val="%5."/>
      <w:lvlJc w:val="left"/>
      <w:pPr>
        <w:ind w:left="4026" w:hanging="360"/>
      </w:pPr>
      <w:rPr>
        <w:rFonts w:cs="Times New Roman"/>
      </w:rPr>
    </w:lvl>
    <w:lvl w:ilvl="5" w:tplc="041D001B" w:tentative="1">
      <w:start w:val="1"/>
      <w:numFmt w:val="lowerRoman"/>
      <w:lvlText w:val="%6."/>
      <w:lvlJc w:val="right"/>
      <w:pPr>
        <w:ind w:left="4746" w:hanging="180"/>
      </w:pPr>
      <w:rPr>
        <w:rFonts w:cs="Times New Roman"/>
      </w:rPr>
    </w:lvl>
    <w:lvl w:ilvl="6" w:tplc="041D000F" w:tentative="1">
      <w:start w:val="1"/>
      <w:numFmt w:val="decimal"/>
      <w:lvlText w:val="%7."/>
      <w:lvlJc w:val="left"/>
      <w:pPr>
        <w:ind w:left="5466" w:hanging="360"/>
      </w:pPr>
      <w:rPr>
        <w:rFonts w:cs="Times New Roman"/>
      </w:rPr>
    </w:lvl>
    <w:lvl w:ilvl="7" w:tplc="041D0019" w:tentative="1">
      <w:start w:val="1"/>
      <w:numFmt w:val="lowerLetter"/>
      <w:lvlText w:val="%8."/>
      <w:lvlJc w:val="left"/>
      <w:pPr>
        <w:ind w:left="6186" w:hanging="360"/>
      </w:pPr>
      <w:rPr>
        <w:rFonts w:cs="Times New Roman"/>
      </w:rPr>
    </w:lvl>
    <w:lvl w:ilvl="8" w:tplc="041D001B" w:tentative="1">
      <w:start w:val="1"/>
      <w:numFmt w:val="lowerRoman"/>
      <w:lvlText w:val="%9."/>
      <w:lvlJc w:val="right"/>
      <w:pPr>
        <w:ind w:left="6906" w:hanging="180"/>
      </w:pPr>
      <w:rPr>
        <w:rFonts w:cs="Times New Roman"/>
      </w:rPr>
    </w:lvl>
  </w:abstractNum>
  <w:abstractNum w:abstractNumId="17">
    <w:nsid w:val="2C707CD2"/>
    <w:multiLevelType w:val="hybridMultilevel"/>
    <w:tmpl w:val="B498BB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30531472"/>
    <w:multiLevelType w:val="hybridMultilevel"/>
    <w:tmpl w:val="2C923FFA"/>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19">
    <w:nsid w:val="31083D2F"/>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0">
    <w:nsid w:val="36675B7E"/>
    <w:multiLevelType w:val="hybridMultilevel"/>
    <w:tmpl w:val="92C61D4E"/>
    <w:lvl w:ilvl="0" w:tplc="2F3A3DFC">
      <w:start w:val="1"/>
      <w:numFmt w:val="decimal"/>
      <w:lvlText w:val="%1."/>
      <w:lvlJc w:val="left"/>
      <w:pPr>
        <w:ind w:left="1080" w:hanging="36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1">
    <w:nsid w:val="3C153FFC"/>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2">
    <w:nsid w:val="3C2A5D7F"/>
    <w:multiLevelType w:val="hybridMultilevel"/>
    <w:tmpl w:val="1B5E2E8C"/>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3">
    <w:nsid w:val="3FDF0DE7"/>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4">
    <w:nsid w:val="41FB7D16"/>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5">
    <w:nsid w:val="453C61CF"/>
    <w:multiLevelType w:val="hybridMultilevel"/>
    <w:tmpl w:val="1CD6A6FE"/>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6">
    <w:nsid w:val="47F12778"/>
    <w:multiLevelType w:val="hybridMultilevel"/>
    <w:tmpl w:val="F6F26552"/>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7">
    <w:nsid w:val="4818751D"/>
    <w:multiLevelType w:val="hybridMultilevel"/>
    <w:tmpl w:val="6DE692F2"/>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28">
    <w:nsid w:val="491A4049"/>
    <w:multiLevelType w:val="hybridMultilevel"/>
    <w:tmpl w:val="2222D2DA"/>
    <w:lvl w:ilvl="0" w:tplc="2F3A3DFC">
      <w:start w:val="1"/>
      <w:numFmt w:val="decimal"/>
      <w:lvlText w:val="%1."/>
      <w:lvlJc w:val="left"/>
      <w:pPr>
        <w:ind w:left="1800" w:hanging="1440"/>
      </w:pPr>
      <w:rPr>
        <w:rFonts w:cs="Times New Roman" w:hint="default"/>
      </w:rPr>
    </w:lvl>
    <w:lvl w:ilvl="1" w:tplc="B450DE6E">
      <w:numFmt w:val="bullet"/>
      <w:lvlText w:val="-"/>
      <w:lvlJc w:val="left"/>
      <w:pPr>
        <w:ind w:left="1440" w:hanging="360"/>
      </w:pPr>
      <w:rPr>
        <w:rFonts w:ascii="OrigGarmnd BT" w:eastAsia="Times New Roman" w:hAnsi="OrigGarmnd BT" w:hint="default"/>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9">
    <w:nsid w:val="4BEE38C9"/>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0">
    <w:nsid w:val="4CFE7B0F"/>
    <w:multiLevelType w:val="hybridMultilevel"/>
    <w:tmpl w:val="D682F81E"/>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1">
    <w:nsid w:val="4D3F2D74"/>
    <w:multiLevelType w:val="hybridMultilevel"/>
    <w:tmpl w:val="E77ACA14"/>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2">
    <w:nsid w:val="4D7125B0"/>
    <w:multiLevelType w:val="hybridMultilevel"/>
    <w:tmpl w:val="0D7EF31E"/>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3">
    <w:nsid w:val="54F45576"/>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4">
    <w:nsid w:val="5B3835E4"/>
    <w:multiLevelType w:val="hybridMultilevel"/>
    <w:tmpl w:val="33C809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nsid w:val="605D227D"/>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6">
    <w:nsid w:val="60C82A51"/>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7">
    <w:nsid w:val="613A4529"/>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8">
    <w:nsid w:val="61BE76BD"/>
    <w:multiLevelType w:val="hybridMultilevel"/>
    <w:tmpl w:val="10944466"/>
    <w:lvl w:ilvl="0" w:tplc="2F3A3DF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9">
    <w:nsid w:val="64BB1E96"/>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0">
    <w:nsid w:val="69900003"/>
    <w:multiLevelType w:val="hybridMultilevel"/>
    <w:tmpl w:val="23B66790"/>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1">
    <w:nsid w:val="6DD259B3"/>
    <w:multiLevelType w:val="hybridMultilevel"/>
    <w:tmpl w:val="E9700D0C"/>
    <w:lvl w:ilvl="0" w:tplc="2F3A3DFC">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2">
    <w:nsid w:val="6FCB1C16"/>
    <w:multiLevelType w:val="hybridMultilevel"/>
    <w:tmpl w:val="3D6E1A22"/>
    <w:lvl w:ilvl="0" w:tplc="48540CC8">
      <w:start w:val="1"/>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nsid w:val="70006D1A"/>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4">
    <w:nsid w:val="705777BA"/>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5">
    <w:nsid w:val="708E3CEC"/>
    <w:multiLevelType w:val="hybridMultilevel"/>
    <w:tmpl w:val="10E8138E"/>
    <w:lvl w:ilvl="0" w:tplc="A46C4C56">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nsid w:val="74606350"/>
    <w:multiLevelType w:val="hybridMultilevel"/>
    <w:tmpl w:val="59429C9A"/>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7">
    <w:nsid w:val="79A75354"/>
    <w:multiLevelType w:val="hybridMultilevel"/>
    <w:tmpl w:val="1A3CC486"/>
    <w:lvl w:ilvl="0" w:tplc="2F3A3DFC">
      <w:start w:val="1"/>
      <w:numFmt w:val="decimal"/>
      <w:lvlText w:val="%1."/>
      <w:lvlJc w:val="left"/>
      <w:pPr>
        <w:ind w:left="1800" w:hanging="1440"/>
      </w:pPr>
      <w:rPr>
        <w:rFonts w:cs="Times New Roman" w:hint="default"/>
      </w:rPr>
    </w:lvl>
    <w:lvl w:ilvl="1" w:tplc="041D0019">
      <w:start w:val="1"/>
      <w:numFmt w:val="lowerLetter"/>
      <w:lvlText w:val="%2."/>
      <w:lvlJc w:val="left"/>
      <w:pPr>
        <w:ind w:left="1440" w:hanging="360"/>
      </w:pPr>
      <w:rPr>
        <w:rFonts w:cs="Times New Roman"/>
      </w:rPr>
    </w:lvl>
    <w:lvl w:ilvl="2" w:tplc="041D001B">
      <w:start w:val="1"/>
      <w:numFmt w:val="lowerRoman"/>
      <w:lvlText w:val="%3."/>
      <w:lvlJc w:val="right"/>
      <w:pPr>
        <w:ind w:left="2160" w:hanging="180"/>
      </w:pPr>
      <w:rPr>
        <w:rFonts w:cs="Times New Roman"/>
      </w:rPr>
    </w:lvl>
    <w:lvl w:ilvl="3" w:tplc="A2540B3C">
      <w:numFmt w:val="bullet"/>
      <w:lvlText w:val="-"/>
      <w:lvlJc w:val="left"/>
      <w:pPr>
        <w:ind w:left="2880" w:hanging="360"/>
      </w:pPr>
      <w:rPr>
        <w:rFonts w:ascii="OrigGarmnd BT" w:eastAsia="Times New Roman" w:hAnsi="OrigGarmnd BT" w:hint="default"/>
      </w:rPr>
    </w:lvl>
    <w:lvl w:ilvl="4" w:tplc="041D0019">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8">
    <w:nsid w:val="7F7576F0"/>
    <w:multiLevelType w:val="hybridMultilevel"/>
    <w:tmpl w:val="5052E994"/>
    <w:lvl w:ilvl="0" w:tplc="041D000F">
      <w:start w:val="1"/>
      <w:numFmt w:val="decimal"/>
      <w:lvlText w:val="%1."/>
      <w:lvlJc w:val="left"/>
      <w:pPr>
        <w:tabs>
          <w:tab w:val="num" w:pos="720"/>
        </w:tabs>
        <w:ind w:left="720" w:hanging="36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29"/>
  </w:num>
  <w:num w:numId="3">
    <w:abstractNumId w:val="10"/>
  </w:num>
  <w:num w:numId="4">
    <w:abstractNumId w:val="43"/>
  </w:num>
  <w:num w:numId="5">
    <w:abstractNumId w:val="9"/>
  </w:num>
  <w:num w:numId="6">
    <w:abstractNumId w:val="28"/>
  </w:num>
  <w:num w:numId="7">
    <w:abstractNumId w:val="19"/>
  </w:num>
  <w:num w:numId="8">
    <w:abstractNumId w:val="34"/>
  </w:num>
  <w:num w:numId="9">
    <w:abstractNumId w:val="45"/>
  </w:num>
  <w:num w:numId="10">
    <w:abstractNumId w:val="48"/>
  </w:num>
  <w:num w:numId="11">
    <w:abstractNumId w:val="12"/>
  </w:num>
  <w:num w:numId="12">
    <w:abstractNumId w:val="2"/>
  </w:num>
  <w:num w:numId="13">
    <w:abstractNumId w:val="13"/>
  </w:num>
  <w:num w:numId="14">
    <w:abstractNumId w:val="31"/>
  </w:num>
  <w:num w:numId="15">
    <w:abstractNumId w:val="32"/>
  </w:num>
  <w:num w:numId="16">
    <w:abstractNumId w:val="30"/>
  </w:num>
  <w:num w:numId="17">
    <w:abstractNumId w:val="27"/>
  </w:num>
  <w:num w:numId="18">
    <w:abstractNumId w:val="18"/>
  </w:num>
  <w:num w:numId="19">
    <w:abstractNumId w:val="1"/>
  </w:num>
  <w:num w:numId="20">
    <w:abstractNumId w:val="25"/>
  </w:num>
  <w:num w:numId="21">
    <w:abstractNumId w:val="15"/>
  </w:num>
  <w:num w:numId="22">
    <w:abstractNumId w:val="20"/>
  </w:num>
  <w:num w:numId="23">
    <w:abstractNumId w:val="16"/>
  </w:num>
  <w:num w:numId="24">
    <w:abstractNumId w:val="0"/>
  </w:num>
  <w:num w:numId="25">
    <w:abstractNumId w:val="38"/>
  </w:num>
  <w:num w:numId="26">
    <w:abstractNumId w:val="41"/>
  </w:num>
  <w:num w:numId="27">
    <w:abstractNumId w:val="47"/>
  </w:num>
  <w:num w:numId="28">
    <w:abstractNumId w:val="26"/>
  </w:num>
  <w:num w:numId="29">
    <w:abstractNumId w:val="17"/>
  </w:num>
  <w:num w:numId="30">
    <w:abstractNumId w:val="7"/>
  </w:num>
  <w:num w:numId="31">
    <w:abstractNumId w:val="36"/>
  </w:num>
  <w:num w:numId="32">
    <w:abstractNumId w:val="44"/>
  </w:num>
  <w:num w:numId="33">
    <w:abstractNumId w:val="11"/>
  </w:num>
  <w:num w:numId="34">
    <w:abstractNumId w:val="24"/>
  </w:num>
  <w:num w:numId="35">
    <w:abstractNumId w:val="17"/>
  </w:num>
  <w:num w:numId="36">
    <w:abstractNumId w:val="42"/>
  </w:num>
  <w:num w:numId="37">
    <w:abstractNumId w:val="46"/>
  </w:num>
  <w:num w:numId="38">
    <w:abstractNumId w:val="3"/>
  </w:num>
  <w:num w:numId="39">
    <w:abstractNumId w:val="8"/>
  </w:num>
  <w:num w:numId="40">
    <w:abstractNumId w:val="35"/>
  </w:num>
  <w:num w:numId="41">
    <w:abstractNumId w:val="5"/>
  </w:num>
  <w:num w:numId="42">
    <w:abstractNumId w:val="23"/>
  </w:num>
  <w:num w:numId="43">
    <w:abstractNumId w:val="33"/>
  </w:num>
  <w:num w:numId="44">
    <w:abstractNumId w:val="39"/>
  </w:num>
  <w:num w:numId="45">
    <w:abstractNumId w:val="40"/>
  </w:num>
  <w:num w:numId="46">
    <w:abstractNumId w:val="22"/>
  </w:num>
  <w:num w:numId="47">
    <w:abstractNumId w:val="4"/>
  </w:num>
  <w:num w:numId="48">
    <w:abstractNumId w:val="37"/>
  </w:num>
  <w:num w:numId="49">
    <w:abstractNumId w:val="21"/>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07EB3"/>
    <w:rsid w:val="00011246"/>
    <w:rsid w:val="00013C04"/>
    <w:rsid w:val="0001573F"/>
    <w:rsid w:val="000251B2"/>
    <w:rsid w:val="000403A6"/>
    <w:rsid w:val="0004439B"/>
    <w:rsid w:val="000459C7"/>
    <w:rsid w:val="00075F57"/>
    <w:rsid w:val="00080C52"/>
    <w:rsid w:val="000A2239"/>
    <w:rsid w:val="000B0F49"/>
    <w:rsid w:val="000B312F"/>
    <w:rsid w:val="000D333D"/>
    <w:rsid w:val="000D6877"/>
    <w:rsid w:val="000F701D"/>
    <w:rsid w:val="001116E5"/>
    <w:rsid w:val="00111D68"/>
    <w:rsid w:val="00123975"/>
    <w:rsid w:val="00125C5F"/>
    <w:rsid w:val="0013719B"/>
    <w:rsid w:val="00140629"/>
    <w:rsid w:val="00150384"/>
    <w:rsid w:val="00153F04"/>
    <w:rsid w:val="001562A5"/>
    <w:rsid w:val="001566AF"/>
    <w:rsid w:val="001726CF"/>
    <w:rsid w:val="001728EF"/>
    <w:rsid w:val="0017371B"/>
    <w:rsid w:val="001805B7"/>
    <w:rsid w:val="00183B6C"/>
    <w:rsid w:val="00196DDE"/>
    <w:rsid w:val="00197D33"/>
    <w:rsid w:val="001A6FA0"/>
    <w:rsid w:val="001C4B4C"/>
    <w:rsid w:val="001D09F8"/>
    <w:rsid w:val="001D317A"/>
    <w:rsid w:val="001F02EE"/>
    <w:rsid w:val="001F2C5E"/>
    <w:rsid w:val="001F58B4"/>
    <w:rsid w:val="00220B6F"/>
    <w:rsid w:val="00225012"/>
    <w:rsid w:val="002361F7"/>
    <w:rsid w:val="002468C8"/>
    <w:rsid w:val="00246F8D"/>
    <w:rsid w:val="002500E3"/>
    <w:rsid w:val="00257840"/>
    <w:rsid w:val="0026525F"/>
    <w:rsid w:val="00265730"/>
    <w:rsid w:val="0027178B"/>
    <w:rsid w:val="0028134B"/>
    <w:rsid w:val="002822B6"/>
    <w:rsid w:val="00286882"/>
    <w:rsid w:val="002A0135"/>
    <w:rsid w:val="002B5512"/>
    <w:rsid w:val="002B6963"/>
    <w:rsid w:val="002C547E"/>
    <w:rsid w:val="002D42AD"/>
    <w:rsid w:val="002D4587"/>
    <w:rsid w:val="002D7584"/>
    <w:rsid w:val="002E3D35"/>
    <w:rsid w:val="00307F86"/>
    <w:rsid w:val="00322355"/>
    <w:rsid w:val="003254EA"/>
    <w:rsid w:val="00335167"/>
    <w:rsid w:val="00341667"/>
    <w:rsid w:val="00353163"/>
    <w:rsid w:val="003635C7"/>
    <w:rsid w:val="00373614"/>
    <w:rsid w:val="003A3986"/>
    <w:rsid w:val="003A4DFF"/>
    <w:rsid w:val="003E253E"/>
    <w:rsid w:val="003E3C52"/>
    <w:rsid w:val="003F6A21"/>
    <w:rsid w:val="003F6BFA"/>
    <w:rsid w:val="004210EB"/>
    <w:rsid w:val="00425952"/>
    <w:rsid w:val="00426180"/>
    <w:rsid w:val="004261AA"/>
    <w:rsid w:val="00440086"/>
    <w:rsid w:val="00441071"/>
    <w:rsid w:val="00451C5D"/>
    <w:rsid w:val="00452748"/>
    <w:rsid w:val="00455C56"/>
    <w:rsid w:val="00472995"/>
    <w:rsid w:val="00487A33"/>
    <w:rsid w:val="00487E2F"/>
    <w:rsid w:val="004A110E"/>
    <w:rsid w:val="004A328D"/>
    <w:rsid w:val="004D091D"/>
    <w:rsid w:val="004D35CA"/>
    <w:rsid w:val="004D3631"/>
    <w:rsid w:val="004E2A76"/>
    <w:rsid w:val="0050771B"/>
    <w:rsid w:val="0052446B"/>
    <w:rsid w:val="00533F2D"/>
    <w:rsid w:val="005351D5"/>
    <w:rsid w:val="00535371"/>
    <w:rsid w:val="00545C07"/>
    <w:rsid w:val="00555BC8"/>
    <w:rsid w:val="005719D3"/>
    <w:rsid w:val="00572980"/>
    <w:rsid w:val="005740D7"/>
    <w:rsid w:val="0058762B"/>
    <w:rsid w:val="005877A0"/>
    <w:rsid w:val="00590AB7"/>
    <w:rsid w:val="005933C5"/>
    <w:rsid w:val="0059726E"/>
    <w:rsid w:val="00597871"/>
    <w:rsid w:val="005A049A"/>
    <w:rsid w:val="005A065B"/>
    <w:rsid w:val="005B2D57"/>
    <w:rsid w:val="005B6466"/>
    <w:rsid w:val="005C081F"/>
    <w:rsid w:val="005E0FBB"/>
    <w:rsid w:val="005E3E96"/>
    <w:rsid w:val="005F33FE"/>
    <w:rsid w:val="00601A62"/>
    <w:rsid w:val="00602A99"/>
    <w:rsid w:val="00603DD1"/>
    <w:rsid w:val="00606686"/>
    <w:rsid w:val="00607E42"/>
    <w:rsid w:val="00611D83"/>
    <w:rsid w:val="006145BD"/>
    <w:rsid w:val="00617AE5"/>
    <w:rsid w:val="006362F3"/>
    <w:rsid w:val="00636DD0"/>
    <w:rsid w:val="00653027"/>
    <w:rsid w:val="006610CF"/>
    <w:rsid w:val="00670E1E"/>
    <w:rsid w:val="00683342"/>
    <w:rsid w:val="00690219"/>
    <w:rsid w:val="006B65BB"/>
    <w:rsid w:val="006B69F4"/>
    <w:rsid w:val="006C4B59"/>
    <w:rsid w:val="006C6C0D"/>
    <w:rsid w:val="006E4E11"/>
    <w:rsid w:val="006F7B0D"/>
    <w:rsid w:val="007218DD"/>
    <w:rsid w:val="007242A3"/>
    <w:rsid w:val="007249F1"/>
    <w:rsid w:val="00726DBE"/>
    <w:rsid w:val="007364B8"/>
    <w:rsid w:val="007434C2"/>
    <w:rsid w:val="007466C2"/>
    <w:rsid w:val="00746D23"/>
    <w:rsid w:val="00761BFC"/>
    <w:rsid w:val="00771AE9"/>
    <w:rsid w:val="00782F4A"/>
    <w:rsid w:val="00795888"/>
    <w:rsid w:val="007A33EB"/>
    <w:rsid w:val="007A6855"/>
    <w:rsid w:val="007B3C64"/>
    <w:rsid w:val="007B7ED9"/>
    <w:rsid w:val="007C14A6"/>
    <w:rsid w:val="008020D5"/>
    <w:rsid w:val="008046B3"/>
    <w:rsid w:val="00845621"/>
    <w:rsid w:val="00855524"/>
    <w:rsid w:val="00856A83"/>
    <w:rsid w:val="008649AC"/>
    <w:rsid w:val="00873303"/>
    <w:rsid w:val="00883D19"/>
    <w:rsid w:val="00890BA2"/>
    <w:rsid w:val="0089288D"/>
    <w:rsid w:val="008944B4"/>
    <w:rsid w:val="008A66B1"/>
    <w:rsid w:val="008E6A10"/>
    <w:rsid w:val="008F7C96"/>
    <w:rsid w:val="00907CC4"/>
    <w:rsid w:val="009108FA"/>
    <w:rsid w:val="00934C2A"/>
    <w:rsid w:val="009524A3"/>
    <w:rsid w:val="00952FB7"/>
    <w:rsid w:val="0095715B"/>
    <w:rsid w:val="00971052"/>
    <w:rsid w:val="00971AFC"/>
    <w:rsid w:val="009801F9"/>
    <w:rsid w:val="00985860"/>
    <w:rsid w:val="0099679A"/>
    <w:rsid w:val="009972E5"/>
    <w:rsid w:val="009B2EC4"/>
    <w:rsid w:val="009B4B9F"/>
    <w:rsid w:val="009E7A94"/>
    <w:rsid w:val="009F1201"/>
    <w:rsid w:val="00A041E9"/>
    <w:rsid w:val="00A232AF"/>
    <w:rsid w:val="00A3043B"/>
    <w:rsid w:val="00A30BDF"/>
    <w:rsid w:val="00A32909"/>
    <w:rsid w:val="00A33BCE"/>
    <w:rsid w:val="00A575F3"/>
    <w:rsid w:val="00A60DFF"/>
    <w:rsid w:val="00A8087D"/>
    <w:rsid w:val="00A81B0E"/>
    <w:rsid w:val="00A92F0F"/>
    <w:rsid w:val="00A9303B"/>
    <w:rsid w:val="00A93C5B"/>
    <w:rsid w:val="00AB7D93"/>
    <w:rsid w:val="00AC662D"/>
    <w:rsid w:val="00AD2976"/>
    <w:rsid w:val="00AD65EC"/>
    <w:rsid w:val="00AF339B"/>
    <w:rsid w:val="00AF3405"/>
    <w:rsid w:val="00AF473C"/>
    <w:rsid w:val="00B06D13"/>
    <w:rsid w:val="00B12F8D"/>
    <w:rsid w:val="00B145B9"/>
    <w:rsid w:val="00B26A9B"/>
    <w:rsid w:val="00B40850"/>
    <w:rsid w:val="00B40D7C"/>
    <w:rsid w:val="00B52320"/>
    <w:rsid w:val="00B74EEB"/>
    <w:rsid w:val="00B8409A"/>
    <w:rsid w:val="00B85BB6"/>
    <w:rsid w:val="00B87574"/>
    <w:rsid w:val="00B94E6A"/>
    <w:rsid w:val="00B963E4"/>
    <w:rsid w:val="00BB1BE0"/>
    <w:rsid w:val="00BC554D"/>
    <w:rsid w:val="00BD261E"/>
    <w:rsid w:val="00BD2B38"/>
    <w:rsid w:val="00BD5B87"/>
    <w:rsid w:val="00C01B31"/>
    <w:rsid w:val="00C1636D"/>
    <w:rsid w:val="00C1707D"/>
    <w:rsid w:val="00C23F38"/>
    <w:rsid w:val="00C24F68"/>
    <w:rsid w:val="00C340A1"/>
    <w:rsid w:val="00C423DB"/>
    <w:rsid w:val="00C44696"/>
    <w:rsid w:val="00C45D0B"/>
    <w:rsid w:val="00C47ECF"/>
    <w:rsid w:val="00C522B9"/>
    <w:rsid w:val="00C524EA"/>
    <w:rsid w:val="00C73B64"/>
    <w:rsid w:val="00C77F80"/>
    <w:rsid w:val="00C806CE"/>
    <w:rsid w:val="00C923D4"/>
    <w:rsid w:val="00C92E67"/>
    <w:rsid w:val="00CB42EA"/>
    <w:rsid w:val="00CB7489"/>
    <w:rsid w:val="00CC5D3C"/>
    <w:rsid w:val="00CD45B3"/>
    <w:rsid w:val="00CE2C56"/>
    <w:rsid w:val="00CF2334"/>
    <w:rsid w:val="00CF5630"/>
    <w:rsid w:val="00D07EE7"/>
    <w:rsid w:val="00D133D7"/>
    <w:rsid w:val="00D24B9E"/>
    <w:rsid w:val="00D2677F"/>
    <w:rsid w:val="00D37857"/>
    <w:rsid w:val="00D50EAB"/>
    <w:rsid w:val="00D514B8"/>
    <w:rsid w:val="00D62E4F"/>
    <w:rsid w:val="00D6783C"/>
    <w:rsid w:val="00D72A61"/>
    <w:rsid w:val="00D92D5F"/>
    <w:rsid w:val="00DA458F"/>
    <w:rsid w:val="00DC1EA4"/>
    <w:rsid w:val="00DD4A74"/>
    <w:rsid w:val="00DE2E09"/>
    <w:rsid w:val="00DF6C01"/>
    <w:rsid w:val="00DF6F52"/>
    <w:rsid w:val="00E03B01"/>
    <w:rsid w:val="00E12752"/>
    <w:rsid w:val="00E165A2"/>
    <w:rsid w:val="00E474BF"/>
    <w:rsid w:val="00E5536D"/>
    <w:rsid w:val="00E570E0"/>
    <w:rsid w:val="00E5717E"/>
    <w:rsid w:val="00E63B87"/>
    <w:rsid w:val="00E83A49"/>
    <w:rsid w:val="00E95958"/>
    <w:rsid w:val="00E96F11"/>
    <w:rsid w:val="00EA377B"/>
    <w:rsid w:val="00EB0EAE"/>
    <w:rsid w:val="00EB157F"/>
    <w:rsid w:val="00EB4539"/>
    <w:rsid w:val="00EB650E"/>
    <w:rsid w:val="00EB7D5A"/>
    <w:rsid w:val="00EC25F9"/>
    <w:rsid w:val="00EC3B36"/>
    <w:rsid w:val="00EC4927"/>
    <w:rsid w:val="00EC5A21"/>
    <w:rsid w:val="00ED583F"/>
    <w:rsid w:val="00EE1C2B"/>
    <w:rsid w:val="00EF07F1"/>
    <w:rsid w:val="00EF2669"/>
    <w:rsid w:val="00EF6D83"/>
    <w:rsid w:val="00F0048B"/>
    <w:rsid w:val="00F01AB7"/>
    <w:rsid w:val="00F31507"/>
    <w:rsid w:val="00F34FAF"/>
    <w:rsid w:val="00F37B50"/>
    <w:rsid w:val="00F509B6"/>
    <w:rsid w:val="00F70EDB"/>
    <w:rsid w:val="00F74453"/>
    <w:rsid w:val="00F7497F"/>
    <w:rsid w:val="00F75A4D"/>
    <w:rsid w:val="00F82D0B"/>
    <w:rsid w:val="00F9115C"/>
    <w:rsid w:val="00FA0665"/>
    <w:rsid w:val="00FC6512"/>
    <w:rsid w:val="00FC6FDF"/>
    <w:rsid w:val="00FF045F"/>
    <w:rsid w:val="00FF4710"/>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BA2"/>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890BA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890BA2"/>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35167"/>
    <w:rPr>
      <w:rFonts w:ascii="TradeGothic" w:hAnsi="TradeGothic" w:cs="Times New Roman"/>
      <w:b/>
      <w:kern w:val="28"/>
      <w:sz w:val="22"/>
      <w:lang w:eastAsia="en-US"/>
    </w:rPr>
  </w:style>
  <w:style w:type="character" w:customStyle="1" w:styleId="Heading2Char">
    <w:name w:val="Heading 2 Char"/>
    <w:basedOn w:val="DefaultParagraphFont"/>
    <w:link w:val="Heading2"/>
    <w:uiPriority w:val="99"/>
    <w:locked/>
    <w:rsid w:val="000403A6"/>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FD7F7E"/>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FD7F7E"/>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890BA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890BA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FD7F7E"/>
    <w:rPr>
      <w:rFonts w:ascii="OrigGarmnd BT" w:hAnsi="OrigGarmnd BT"/>
      <w:sz w:val="24"/>
      <w:szCs w:val="20"/>
      <w:lang w:eastAsia="en-US"/>
    </w:rPr>
  </w:style>
  <w:style w:type="paragraph" w:styleId="Header">
    <w:name w:val="header"/>
    <w:basedOn w:val="Normal"/>
    <w:link w:val="HeaderChar"/>
    <w:uiPriority w:val="99"/>
    <w:rsid w:val="00890BA2"/>
    <w:pPr>
      <w:tabs>
        <w:tab w:val="center" w:pos="4153"/>
        <w:tab w:val="right" w:pos="8306"/>
      </w:tabs>
    </w:pPr>
  </w:style>
  <w:style w:type="character" w:customStyle="1" w:styleId="HeaderChar">
    <w:name w:val="Header Char"/>
    <w:basedOn w:val="DefaultParagraphFont"/>
    <w:link w:val="Header"/>
    <w:uiPriority w:val="99"/>
    <w:semiHidden/>
    <w:rsid w:val="00FD7F7E"/>
    <w:rPr>
      <w:rFonts w:ascii="OrigGarmnd BT" w:hAnsi="OrigGarmnd BT"/>
      <w:sz w:val="24"/>
      <w:szCs w:val="20"/>
      <w:lang w:eastAsia="en-US"/>
    </w:rPr>
  </w:style>
  <w:style w:type="paragraph" w:customStyle="1" w:styleId="RKnormal">
    <w:name w:val="RKnormal"/>
    <w:basedOn w:val="Normal"/>
    <w:link w:val="RKnormalChar"/>
    <w:uiPriority w:val="99"/>
    <w:rsid w:val="00890BA2"/>
    <w:pPr>
      <w:tabs>
        <w:tab w:val="left" w:pos="2835"/>
      </w:tabs>
      <w:spacing w:line="240" w:lineRule="atLeast"/>
    </w:pPr>
  </w:style>
  <w:style w:type="paragraph" w:customStyle="1" w:styleId="RKrubrik">
    <w:name w:val="RKrubrik"/>
    <w:basedOn w:val="RKnormal"/>
    <w:next w:val="RKnormal"/>
    <w:uiPriority w:val="99"/>
    <w:rsid w:val="00890BA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890BA2"/>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9B4B9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B4B9F"/>
    <w:rPr>
      <w:rFonts w:ascii="Tahoma" w:hAnsi="Tahoma" w:cs="Tahoma"/>
      <w:sz w:val="16"/>
      <w:szCs w:val="16"/>
      <w:lang w:eastAsia="en-US"/>
    </w:rPr>
  </w:style>
  <w:style w:type="character" w:customStyle="1" w:styleId="RKnormalChar">
    <w:name w:val="RKnormal Char"/>
    <w:link w:val="RKnormal"/>
    <w:uiPriority w:val="99"/>
    <w:locked/>
    <w:rsid w:val="00C73B64"/>
    <w:rPr>
      <w:rFonts w:ascii="OrigGarmnd BT" w:hAnsi="OrigGarmnd BT"/>
      <w:sz w:val="24"/>
      <w:lang w:eastAsia="en-US"/>
    </w:rPr>
  </w:style>
  <w:style w:type="paragraph" w:styleId="NormalIndent">
    <w:name w:val="Normal Indent"/>
    <w:basedOn w:val="Normal"/>
    <w:uiPriority w:val="99"/>
    <w:rsid w:val="003F6BFA"/>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ListParagraph">
    <w:name w:val="List Paragraph"/>
    <w:basedOn w:val="Normal"/>
    <w:uiPriority w:val="99"/>
    <w:qFormat/>
    <w:rsid w:val="003F6BFA"/>
    <w:pPr>
      <w:ind w:left="720"/>
      <w:contextualSpacing/>
    </w:pPr>
  </w:style>
  <w:style w:type="paragraph" w:customStyle="1" w:styleId="Default">
    <w:name w:val="Default"/>
    <w:uiPriority w:val="99"/>
    <w:rsid w:val="00007EB3"/>
    <w:pPr>
      <w:autoSpaceDE w:val="0"/>
      <w:autoSpaceDN w:val="0"/>
      <w:adjustRightInd w:val="0"/>
    </w:pPr>
    <w:rPr>
      <w:rFonts w:ascii="OrigGarmnd BT" w:hAnsi="OrigGarmnd BT" w:cs="OrigGarmnd BT"/>
      <w:color w:val="000000"/>
      <w:sz w:val="24"/>
      <w:szCs w:val="24"/>
    </w:rPr>
  </w:style>
  <w:style w:type="character" w:customStyle="1" w:styleId="hps">
    <w:name w:val="hps"/>
    <w:basedOn w:val="DefaultParagraphFont"/>
    <w:uiPriority w:val="99"/>
    <w:rsid w:val="00007EB3"/>
    <w:rPr>
      <w:rFonts w:cs="Times New Roman"/>
    </w:rPr>
  </w:style>
  <w:style w:type="character" w:styleId="CommentReference">
    <w:name w:val="annotation reference"/>
    <w:basedOn w:val="DefaultParagraphFont"/>
    <w:uiPriority w:val="99"/>
    <w:rsid w:val="00F9115C"/>
    <w:rPr>
      <w:rFonts w:cs="Times New Roman"/>
      <w:sz w:val="16"/>
      <w:szCs w:val="16"/>
    </w:rPr>
  </w:style>
  <w:style w:type="paragraph" w:styleId="CommentText">
    <w:name w:val="annotation text"/>
    <w:basedOn w:val="Normal"/>
    <w:link w:val="CommentTextChar"/>
    <w:uiPriority w:val="99"/>
    <w:rsid w:val="00F9115C"/>
    <w:pPr>
      <w:spacing w:line="240" w:lineRule="auto"/>
    </w:pPr>
    <w:rPr>
      <w:sz w:val="20"/>
    </w:rPr>
  </w:style>
  <w:style w:type="character" w:customStyle="1" w:styleId="CommentTextChar">
    <w:name w:val="Comment Text Char"/>
    <w:basedOn w:val="DefaultParagraphFont"/>
    <w:link w:val="CommentText"/>
    <w:uiPriority w:val="99"/>
    <w:locked/>
    <w:rsid w:val="00F9115C"/>
    <w:rPr>
      <w:rFonts w:ascii="OrigGarmnd BT" w:hAnsi="OrigGarmnd BT" w:cs="Times New Roman"/>
      <w:lang w:eastAsia="en-US"/>
    </w:rPr>
  </w:style>
  <w:style w:type="paragraph" w:styleId="CommentSubject">
    <w:name w:val="annotation subject"/>
    <w:basedOn w:val="CommentText"/>
    <w:next w:val="CommentText"/>
    <w:link w:val="CommentSubjectChar"/>
    <w:uiPriority w:val="99"/>
    <w:rsid w:val="00F9115C"/>
    <w:rPr>
      <w:b/>
      <w:bCs/>
    </w:rPr>
  </w:style>
  <w:style w:type="character" w:customStyle="1" w:styleId="CommentSubjectChar">
    <w:name w:val="Comment Subject Char"/>
    <w:basedOn w:val="CommentTextChar"/>
    <w:link w:val="CommentSubject"/>
    <w:uiPriority w:val="99"/>
    <w:locked/>
    <w:rsid w:val="00F9115C"/>
    <w:rPr>
      <w:b/>
      <w:bCs/>
    </w:rPr>
  </w:style>
  <w:style w:type="paragraph" w:customStyle="1" w:styleId="Char3">
    <w:name w:val="Char3"/>
    <w:basedOn w:val="Normal"/>
    <w:uiPriority w:val="99"/>
    <w:rsid w:val="00A575F3"/>
    <w:pPr>
      <w:overflowPunct/>
      <w:autoSpaceDE/>
      <w:autoSpaceDN/>
      <w:adjustRightInd/>
      <w:spacing w:after="160" w:line="240" w:lineRule="exact"/>
      <w:textAlignment w:val="auto"/>
    </w:pPr>
    <w:rPr>
      <w:rFonts w:ascii="Tahoma" w:hAnsi="Tahoma"/>
      <w:sz w:val="20"/>
      <w:lang w:val="en-US"/>
    </w:rPr>
  </w:style>
  <w:style w:type="paragraph" w:styleId="PlainText">
    <w:name w:val="Plain Text"/>
    <w:basedOn w:val="Normal"/>
    <w:link w:val="PlainTextChar"/>
    <w:uiPriority w:val="99"/>
    <w:rsid w:val="00E12752"/>
    <w:pPr>
      <w:overflowPunct/>
      <w:autoSpaceDE/>
      <w:autoSpaceDN/>
      <w:adjustRightInd/>
      <w:spacing w:line="240" w:lineRule="auto"/>
      <w:textAlignment w:val="auto"/>
    </w:pPr>
    <w:rPr>
      <w:rFonts w:ascii="Calibri" w:hAnsi="Calibri"/>
      <w:sz w:val="22"/>
      <w:szCs w:val="21"/>
    </w:rPr>
  </w:style>
  <w:style w:type="character" w:customStyle="1" w:styleId="PlainTextChar">
    <w:name w:val="Plain Text Char"/>
    <w:basedOn w:val="DefaultParagraphFont"/>
    <w:link w:val="PlainText"/>
    <w:uiPriority w:val="99"/>
    <w:locked/>
    <w:rsid w:val="00E12752"/>
    <w:rPr>
      <w:rFonts w:ascii="Calibri" w:eastAsia="Times New Roman" w:hAnsi="Calibri" w:cs="Times New Roman"/>
      <w:sz w:val="21"/>
      <w:szCs w:val="21"/>
      <w:lang w:eastAsia="en-US"/>
    </w:rPr>
  </w:style>
</w:styles>
</file>

<file path=word/webSettings.xml><?xml version="1.0" encoding="utf-8"?>
<w:webSettings xmlns:r="http://schemas.openxmlformats.org/officeDocument/2006/relationships" xmlns:w="http://schemas.openxmlformats.org/wordprocessingml/2006/main">
  <w:divs>
    <w:div w:id="1475180033">
      <w:marLeft w:val="0"/>
      <w:marRight w:val="0"/>
      <w:marTop w:val="0"/>
      <w:marBottom w:val="0"/>
      <w:divBdr>
        <w:top w:val="none" w:sz="0" w:space="0" w:color="auto"/>
        <w:left w:val="none" w:sz="0" w:space="0" w:color="auto"/>
        <w:bottom w:val="none" w:sz="0" w:space="0" w:color="auto"/>
        <w:right w:val="none" w:sz="0" w:space="0" w:color="auto"/>
      </w:divBdr>
    </w:div>
    <w:div w:id="1475180034">
      <w:marLeft w:val="0"/>
      <w:marRight w:val="0"/>
      <w:marTop w:val="0"/>
      <w:marBottom w:val="0"/>
      <w:divBdr>
        <w:top w:val="none" w:sz="0" w:space="0" w:color="auto"/>
        <w:left w:val="none" w:sz="0" w:space="0" w:color="auto"/>
        <w:bottom w:val="none" w:sz="0" w:space="0" w:color="auto"/>
        <w:right w:val="none" w:sz="0" w:space="0" w:color="auto"/>
      </w:divBdr>
    </w:div>
    <w:div w:id="1475180035">
      <w:marLeft w:val="0"/>
      <w:marRight w:val="0"/>
      <w:marTop w:val="0"/>
      <w:marBottom w:val="0"/>
      <w:divBdr>
        <w:top w:val="none" w:sz="0" w:space="0" w:color="auto"/>
        <w:left w:val="none" w:sz="0" w:space="0" w:color="auto"/>
        <w:bottom w:val="none" w:sz="0" w:space="0" w:color="auto"/>
        <w:right w:val="none" w:sz="0" w:space="0" w:color="auto"/>
      </w:divBdr>
    </w:div>
    <w:div w:id="1475180036">
      <w:marLeft w:val="0"/>
      <w:marRight w:val="0"/>
      <w:marTop w:val="0"/>
      <w:marBottom w:val="0"/>
      <w:divBdr>
        <w:top w:val="none" w:sz="0" w:space="0" w:color="auto"/>
        <w:left w:val="none" w:sz="0" w:space="0" w:color="auto"/>
        <w:bottom w:val="none" w:sz="0" w:space="0" w:color="auto"/>
        <w:right w:val="none" w:sz="0" w:space="0" w:color="auto"/>
      </w:divBdr>
    </w:div>
    <w:div w:id="1475180037">
      <w:marLeft w:val="0"/>
      <w:marRight w:val="0"/>
      <w:marTop w:val="0"/>
      <w:marBottom w:val="0"/>
      <w:divBdr>
        <w:top w:val="none" w:sz="0" w:space="0" w:color="auto"/>
        <w:left w:val="none" w:sz="0" w:space="0" w:color="auto"/>
        <w:bottom w:val="none" w:sz="0" w:space="0" w:color="auto"/>
        <w:right w:val="none" w:sz="0" w:space="0" w:color="auto"/>
      </w:divBdr>
    </w:div>
    <w:div w:id="1475180038">
      <w:marLeft w:val="0"/>
      <w:marRight w:val="0"/>
      <w:marTop w:val="0"/>
      <w:marBottom w:val="0"/>
      <w:divBdr>
        <w:top w:val="none" w:sz="0" w:space="0" w:color="auto"/>
        <w:left w:val="none" w:sz="0" w:space="0" w:color="auto"/>
        <w:bottom w:val="none" w:sz="0" w:space="0" w:color="auto"/>
        <w:right w:val="none" w:sz="0" w:space="0" w:color="auto"/>
      </w:divBdr>
    </w:div>
    <w:div w:id="1475180039">
      <w:marLeft w:val="0"/>
      <w:marRight w:val="0"/>
      <w:marTop w:val="0"/>
      <w:marBottom w:val="0"/>
      <w:divBdr>
        <w:top w:val="none" w:sz="0" w:space="0" w:color="auto"/>
        <w:left w:val="none" w:sz="0" w:space="0" w:color="auto"/>
        <w:bottom w:val="none" w:sz="0" w:space="0" w:color="auto"/>
        <w:right w:val="none" w:sz="0" w:space="0" w:color="auto"/>
      </w:divBdr>
    </w:div>
    <w:div w:id="1475180040">
      <w:marLeft w:val="0"/>
      <w:marRight w:val="0"/>
      <w:marTop w:val="0"/>
      <w:marBottom w:val="0"/>
      <w:divBdr>
        <w:top w:val="none" w:sz="0" w:space="0" w:color="auto"/>
        <w:left w:val="none" w:sz="0" w:space="0" w:color="auto"/>
        <w:bottom w:val="none" w:sz="0" w:space="0" w:color="auto"/>
        <w:right w:val="none" w:sz="0" w:space="0" w:color="auto"/>
      </w:divBdr>
    </w:div>
    <w:div w:id="1475180041">
      <w:marLeft w:val="0"/>
      <w:marRight w:val="0"/>
      <w:marTop w:val="0"/>
      <w:marBottom w:val="0"/>
      <w:divBdr>
        <w:top w:val="none" w:sz="0" w:space="0" w:color="auto"/>
        <w:left w:val="none" w:sz="0" w:space="0" w:color="auto"/>
        <w:bottom w:val="none" w:sz="0" w:space="0" w:color="auto"/>
        <w:right w:val="none" w:sz="0" w:space="0" w:color="auto"/>
      </w:divBdr>
    </w:div>
    <w:div w:id="1475180042">
      <w:marLeft w:val="0"/>
      <w:marRight w:val="0"/>
      <w:marTop w:val="0"/>
      <w:marBottom w:val="0"/>
      <w:divBdr>
        <w:top w:val="none" w:sz="0" w:space="0" w:color="auto"/>
        <w:left w:val="none" w:sz="0" w:space="0" w:color="auto"/>
        <w:bottom w:val="none" w:sz="0" w:space="0" w:color="auto"/>
        <w:right w:val="none" w:sz="0" w:space="0" w:color="auto"/>
      </w:divBdr>
    </w:div>
    <w:div w:id="1475180043">
      <w:marLeft w:val="0"/>
      <w:marRight w:val="0"/>
      <w:marTop w:val="0"/>
      <w:marBottom w:val="0"/>
      <w:divBdr>
        <w:top w:val="none" w:sz="0" w:space="0" w:color="auto"/>
        <w:left w:val="none" w:sz="0" w:space="0" w:color="auto"/>
        <w:bottom w:val="none" w:sz="0" w:space="0" w:color="auto"/>
        <w:right w:val="none" w:sz="0" w:space="0" w:color="auto"/>
      </w:divBdr>
    </w:div>
    <w:div w:id="1475180044">
      <w:marLeft w:val="0"/>
      <w:marRight w:val="0"/>
      <w:marTop w:val="0"/>
      <w:marBottom w:val="0"/>
      <w:divBdr>
        <w:top w:val="none" w:sz="0" w:space="0" w:color="auto"/>
        <w:left w:val="none" w:sz="0" w:space="0" w:color="auto"/>
        <w:bottom w:val="none" w:sz="0" w:space="0" w:color="auto"/>
        <w:right w:val="none" w:sz="0" w:space="0" w:color="auto"/>
      </w:divBdr>
    </w:div>
    <w:div w:id="1475180045">
      <w:marLeft w:val="0"/>
      <w:marRight w:val="0"/>
      <w:marTop w:val="0"/>
      <w:marBottom w:val="0"/>
      <w:divBdr>
        <w:top w:val="none" w:sz="0" w:space="0" w:color="auto"/>
        <w:left w:val="none" w:sz="0" w:space="0" w:color="auto"/>
        <w:bottom w:val="none" w:sz="0" w:space="0" w:color="auto"/>
        <w:right w:val="none" w:sz="0" w:space="0" w:color="auto"/>
      </w:divBdr>
    </w:div>
    <w:div w:id="1475180046">
      <w:marLeft w:val="0"/>
      <w:marRight w:val="0"/>
      <w:marTop w:val="0"/>
      <w:marBottom w:val="0"/>
      <w:divBdr>
        <w:top w:val="none" w:sz="0" w:space="0" w:color="auto"/>
        <w:left w:val="none" w:sz="0" w:space="0" w:color="auto"/>
        <w:bottom w:val="none" w:sz="0" w:space="0" w:color="auto"/>
        <w:right w:val="none" w:sz="0" w:space="0" w:color="auto"/>
      </w:divBdr>
    </w:div>
    <w:div w:id="1475180047">
      <w:marLeft w:val="0"/>
      <w:marRight w:val="0"/>
      <w:marTop w:val="0"/>
      <w:marBottom w:val="0"/>
      <w:divBdr>
        <w:top w:val="none" w:sz="0" w:space="0" w:color="auto"/>
        <w:left w:val="none" w:sz="0" w:space="0" w:color="auto"/>
        <w:bottom w:val="none" w:sz="0" w:space="0" w:color="auto"/>
        <w:right w:val="none" w:sz="0" w:space="0" w:color="auto"/>
      </w:divBdr>
    </w:div>
    <w:div w:id="1475180048">
      <w:marLeft w:val="0"/>
      <w:marRight w:val="0"/>
      <w:marTop w:val="0"/>
      <w:marBottom w:val="0"/>
      <w:divBdr>
        <w:top w:val="none" w:sz="0" w:space="0" w:color="auto"/>
        <w:left w:val="none" w:sz="0" w:space="0" w:color="auto"/>
        <w:bottom w:val="none" w:sz="0" w:space="0" w:color="auto"/>
        <w:right w:val="none" w:sz="0" w:space="0" w:color="auto"/>
      </w:divBdr>
    </w:div>
    <w:div w:id="1475180049">
      <w:marLeft w:val="0"/>
      <w:marRight w:val="0"/>
      <w:marTop w:val="0"/>
      <w:marBottom w:val="0"/>
      <w:divBdr>
        <w:top w:val="none" w:sz="0" w:space="0" w:color="auto"/>
        <w:left w:val="none" w:sz="0" w:space="0" w:color="auto"/>
        <w:bottom w:val="none" w:sz="0" w:space="0" w:color="auto"/>
        <w:right w:val="none" w:sz="0" w:space="0" w:color="auto"/>
      </w:divBdr>
    </w:div>
    <w:div w:id="1475180050">
      <w:marLeft w:val="0"/>
      <w:marRight w:val="0"/>
      <w:marTop w:val="0"/>
      <w:marBottom w:val="0"/>
      <w:divBdr>
        <w:top w:val="none" w:sz="0" w:space="0" w:color="auto"/>
        <w:left w:val="none" w:sz="0" w:space="0" w:color="auto"/>
        <w:bottom w:val="none" w:sz="0" w:space="0" w:color="auto"/>
        <w:right w:val="none" w:sz="0" w:space="0" w:color="auto"/>
      </w:divBdr>
    </w:div>
    <w:div w:id="1475180051">
      <w:marLeft w:val="0"/>
      <w:marRight w:val="0"/>
      <w:marTop w:val="0"/>
      <w:marBottom w:val="0"/>
      <w:divBdr>
        <w:top w:val="none" w:sz="0" w:space="0" w:color="auto"/>
        <w:left w:val="none" w:sz="0" w:space="0" w:color="auto"/>
        <w:bottom w:val="none" w:sz="0" w:space="0" w:color="auto"/>
        <w:right w:val="none" w:sz="0" w:space="0" w:color="auto"/>
      </w:divBdr>
    </w:div>
    <w:div w:id="1475180052">
      <w:marLeft w:val="0"/>
      <w:marRight w:val="0"/>
      <w:marTop w:val="0"/>
      <w:marBottom w:val="0"/>
      <w:divBdr>
        <w:top w:val="none" w:sz="0" w:space="0" w:color="auto"/>
        <w:left w:val="none" w:sz="0" w:space="0" w:color="auto"/>
        <w:bottom w:val="none" w:sz="0" w:space="0" w:color="auto"/>
        <w:right w:val="none" w:sz="0" w:space="0" w:color="auto"/>
      </w:divBdr>
    </w:div>
    <w:div w:id="1475180053">
      <w:marLeft w:val="0"/>
      <w:marRight w:val="0"/>
      <w:marTop w:val="0"/>
      <w:marBottom w:val="0"/>
      <w:divBdr>
        <w:top w:val="none" w:sz="0" w:space="0" w:color="auto"/>
        <w:left w:val="none" w:sz="0" w:space="0" w:color="auto"/>
        <w:bottom w:val="none" w:sz="0" w:space="0" w:color="auto"/>
        <w:right w:val="none" w:sz="0" w:space="0" w:color="auto"/>
      </w:divBdr>
    </w:div>
    <w:div w:id="1475180054">
      <w:marLeft w:val="0"/>
      <w:marRight w:val="0"/>
      <w:marTop w:val="0"/>
      <w:marBottom w:val="0"/>
      <w:divBdr>
        <w:top w:val="none" w:sz="0" w:space="0" w:color="auto"/>
        <w:left w:val="none" w:sz="0" w:space="0" w:color="auto"/>
        <w:bottom w:val="none" w:sz="0" w:space="0" w:color="auto"/>
        <w:right w:val="none" w:sz="0" w:space="0" w:color="auto"/>
      </w:divBdr>
    </w:div>
    <w:div w:id="1475180055">
      <w:marLeft w:val="0"/>
      <w:marRight w:val="0"/>
      <w:marTop w:val="0"/>
      <w:marBottom w:val="0"/>
      <w:divBdr>
        <w:top w:val="none" w:sz="0" w:space="0" w:color="auto"/>
        <w:left w:val="none" w:sz="0" w:space="0" w:color="auto"/>
        <w:bottom w:val="none" w:sz="0" w:space="0" w:color="auto"/>
        <w:right w:val="none" w:sz="0" w:space="0" w:color="auto"/>
      </w:divBdr>
    </w:div>
    <w:div w:id="1475180056">
      <w:marLeft w:val="0"/>
      <w:marRight w:val="0"/>
      <w:marTop w:val="0"/>
      <w:marBottom w:val="0"/>
      <w:divBdr>
        <w:top w:val="none" w:sz="0" w:space="0" w:color="auto"/>
        <w:left w:val="none" w:sz="0" w:space="0" w:color="auto"/>
        <w:bottom w:val="none" w:sz="0" w:space="0" w:color="auto"/>
        <w:right w:val="none" w:sz="0" w:space="0" w:color="auto"/>
      </w:divBdr>
    </w:div>
    <w:div w:id="1475180057">
      <w:marLeft w:val="0"/>
      <w:marRight w:val="0"/>
      <w:marTop w:val="0"/>
      <w:marBottom w:val="0"/>
      <w:divBdr>
        <w:top w:val="none" w:sz="0" w:space="0" w:color="auto"/>
        <w:left w:val="none" w:sz="0" w:space="0" w:color="auto"/>
        <w:bottom w:val="none" w:sz="0" w:space="0" w:color="auto"/>
        <w:right w:val="none" w:sz="0" w:space="0" w:color="auto"/>
      </w:divBdr>
    </w:div>
    <w:div w:id="1475180058">
      <w:marLeft w:val="0"/>
      <w:marRight w:val="0"/>
      <w:marTop w:val="0"/>
      <w:marBottom w:val="0"/>
      <w:divBdr>
        <w:top w:val="none" w:sz="0" w:space="0" w:color="auto"/>
        <w:left w:val="none" w:sz="0" w:space="0" w:color="auto"/>
        <w:bottom w:val="none" w:sz="0" w:space="0" w:color="auto"/>
        <w:right w:val="none" w:sz="0" w:space="0" w:color="auto"/>
      </w:divBdr>
    </w:div>
    <w:div w:id="1475180059">
      <w:marLeft w:val="0"/>
      <w:marRight w:val="0"/>
      <w:marTop w:val="0"/>
      <w:marBottom w:val="0"/>
      <w:divBdr>
        <w:top w:val="none" w:sz="0" w:space="0" w:color="auto"/>
        <w:left w:val="none" w:sz="0" w:space="0" w:color="auto"/>
        <w:bottom w:val="none" w:sz="0" w:space="0" w:color="auto"/>
        <w:right w:val="none" w:sz="0" w:space="0" w:color="auto"/>
      </w:divBdr>
    </w:div>
    <w:div w:id="1475180060">
      <w:marLeft w:val="0"/>
      <w:marRight w:val="0"/>
      <w:marTop w:val="0"/>
      <w:marBottom w:val="0"/>
      <w:divBdr>
        <w:top w:val="none" w:sz="0" w:space="0" w:color="auto"/>
        <w:left w:val="none" w:sz="0" w:space="0" w:color="auto"/>
        <w:bottom w:val="none" w:sz="0" w:space="0" w:color="auto"/>
        <w:right w:val="none" w:sz="0" w:space="0" w:color="auto"/>
      </w:divBdr>
    </w:div>
    <w:div w:id="1475180061">
      <w:marLeft w:val="0"/>
      <w:marRight w:val="0"/>
      <w:marTop w:val="0"/>
      <w:marBottom w:val="0"/>
      <w:divBdr>
        <w:top w:val="none" w:sz="0" w:space="0" w:color="auto"/>
        <w:left w:val="none" w:sz="0" w:space="0" w:color="auto"/>
        <w:bottom w:val="none" w:sz="0" w:space="0" w:color="auto"/>
        <w:right w:val="none" w:sz="0" w:space="0" w:color="auto"/>
      </w:divBdr>
    </w:div>
    <w:div w:id="1475180062">
      <w:marLeft w:val="0"/>
      <w:marRight w:val="0"/>
      <w:marTop w:val="0"/>
      <w:marBottom w:val="0"/>
      <w:divBdr>
        <w:top w:val="none" w:sz="0" w:space="0" w:color="auto"/>
        <w:left w:val="none" w:sz="0" w:space="0" w:color="auto"/>
        <w:bottom w:val="none" w:sz="0" w:space="0" w:color="auto"/>
        <w:right w:val="none" w:sz="0" w:space="0" w:color="auto"/>
      </w:divBdr>
    </w:div>
    <w:div w:id="1475180063">
      <w:marLeft w:val="0"/>
      <w:marRight w:val="0"/>
      <w:marTop w:val="0"/>
      <w:marBottom w:val="0"/>
      <w:divBdr>
        <w:top w:val="none" w:sz="0" w:space="0" w:color="auto"/>
        <w:left w:val="none" w:sz="0" w:space="0" w:color="auto"/>
        <w:bottom w:val="none" w:sz="0" w:space="0" w:color="auto"/>
        <w:right w:val="none" w:sz="0" w:space="0" w:color="auto"/>
      </w:divBdr>
    </w:div>
    <w:div w:id="1475180064">
      <w:marLeft w:val="0"/>
      <w:marRight w:val="0"/>
      <w:marTop w:val="0"/>
      <w:marBottom w:val="0"/>
      <w:divBdr>
        <w:top w:val="none" w:sz="0" w:space="0" w:color="auto"/>
        <w:left w:val="none" w:sz="0" w:space="0" w:color="auto"/>
        <w:bottom w:val="none" w:sz="0" w:space="0" w:color="auto"/>
        <w:right w:val="none" w:sz="0" w:space="0" w:color="auto"/>
      </w:divBdr>
    </w:div>
    <w:div w:id="1475180065">
      <w:marLeft w:val="0"/>
      <w:marRight w:val="0"/>
      <w:marTop w:val="0"/>
      <w:marBottom w:val="0"/>
      <w:divBdr>
        <w:top w:val="none" w:sz="0" w:space="0" w:color="auto"/>
        <w:left w:val="none" w:sz="0" w:space="0" w:color="auto"/>
        <w:bottom w:val="none" w:sz="0" w:space="0" w:color="auto"/>
        <w:right w:val="none" w:sz="0" w:space="0" w:color="auto"/>
      </w:divBdr>
    </w:div>
    <w:div w:id="1475180066">
      <w:marLeft w:val="0"/>
      <w:marRight w:val="0"/>
      <w:marTop w:val="0"/>
      <w:marBottom w:val="0"/>
      <w:divBdr>
        <w:top w:val="none" w:sz="0" w:space="0" w:color="auto"/>
        <w:left w:val="none" w:sz="0" w:space="0" w:color="auto"/>
        <w:bottom w:val="none" w:sz="0" w:space="0" w:color="auto"/>
        <w:right w:val="none" w:sz="0" w:space="0" w:color="auto"/>
      </w:divBdr>
    </w:div>
    <w:div w:id="1475180067">
      <w:marLeft w:val="0"/>
      <w:marRight w:val="0"/>
      <w:marTop w:val="0"/>
      <w:marBottom w:val="0"/>
      <w:divBdr>
        <w:top w:val="none" w:sz="0" w:space="0" w:color="auto"/>
        <w:left w:val="none" w:sz="0" w:space="0" w:color="auto"/>
        <w:bottom w:val="none" w:sz="0" w:space="0" w:color="auto"/>
        <w:right w:val="none" w:sz="0" w:space="0" w:color="auto"/>
      </w:divBdr>
    </w:div>
    <w:div w:id="1475180068">
      <w:marLeft w:val="0"/>
      <w:marRight w:val="0"/>
      <w:marTop w:val="0"/>
      <w:marBottom w:val="0"/>
      <w:divBdr>
        <w:top w:val="none" w:sz="0" w:space="0" w:color="auto"/>
        <w:left w:val="none" w:sz="0" w:space="0" w:color="auto"/>
        <w:bottom w:val="none" w:sz="0" w:space="0" w:color="auto"/>
        <w:right w:val="none" w:sz="0" w:space="0" w:color="auto"/>
      </w:divBdr>
    </w:div>
    <w:div w:id="1475180069">
      <w:marLeft w:val="0"/>
      <w:marRight w:val="0"/>
      <w:marTop w:val="0"/>
      <w:marBottom w:val="0"/>
      <w:divBdr>
        <w:top w:val="none" w:sz="0" w:space="0" w:color="auto"/>
        <w:left w:val="none" w:sz="0" w:space="0" w:color="auto"/>
        <w:bottom w:val="none" w:sz="0" w:space="0" w:color="auto"/>
        <w:right w:val="none" w:sz="0" w:space="0" w:color="auto"/>
      </w:divBdr>
    </w:div>
    <w:div w:id="1475180070">
      <w:marLeft w:val="0"/>
      <w:marRight w:val="0"/>
      <w:marTop w:val="0"/>
      <w:marBottom w:val="0"/>
      <w:divBdr>
        <w:top w:val="none" w:sz="0" w:space="0" w:color="auto"/>
        <w:left w:val="none" w:sz="0" w:space="0" w:color="auto"/>
        <w:bottom w:val="none" w:sz="0" w:space="0" w:color="auto"/>
        <w:right w:val="none" w:sz="0" w:space="0" w:color="auto"/>
      </w:divBdr>
    </w:div>
    <w:div w:id="1475180071">
      <w:marLeft w:val="0"/>
      <w:marRight w:val="0"/>
      <w:marTop w:val="0"/>
      <w:marBottom w:val="0"/>
      <w:divBdr>
        <w:top w:val="none" w:sz="0" w:space="0" w:color="auto"/>
        <w:left w:val="none" w:sz="0" w:space="0" w:color="auto"/>
        <w:bottom w:val="none" w:sz="0" w:space="0" w:color="auto"/>
        <w:right w:val="none" w:sz="0" w:space="0" w:color="auto"/>
      </w:divBdr>
    </w:div>
    <w:div w:id="1475180072">
      <w:marLeft w:val="0"/>
      <w:marRight w:val="0"/>
      <w:marTop w:val="0"/>
      <w:marBottom w:val="0"/>
      <w:divBdr>
        <w:top w:val="none" w:sz="0" w:space="0" w:color="auto"/>
        <w:left w:val="none" w:sz="0" w:space="0" w:color="auto"/>
        <w:bottom w:val="none" w:sz="0" w:space="0" w:color="auto"/>
        <w:right w:val="none" w:sz="0" w:space="0" w:color="auto"/>
      </w:divBdr>
    </w:div>
    <w:div w:id="1475180073">
      <w:marLeft w:val="0"/>
      <w:marRight w:val="0"/>
      <w:marTop w:val="0"/>
      <w:marBottom w:val="0"/>
      <w:divBdr>
        <w:top w:val="none" w:sz="0" w:space="0" w:color="auto"/>
        <w:left w:val="none" w:sz="0" w:space="0" w:color="auto"/>
        <w:bottom w:val="none" w:sz="0" w:space="0" w:color="auto"/>
        <w:right w:val="none" w:sz="0" w:space="0" w:color="auto"/>
      </w:divBdr>
    </w:div>
    <w:div w:id="1475180074">
      <w:marLeft w:val="0"/>
      <w:marRight w:val="0"/>
      <w:marTop w:val="0"/>
      <w:marBottom w:val="0"/>
      <w:divBdr>
        <w:top w:val="none" w:sz="0" w:space="0" w:color="auto"/>
        <w:left w:val="none" w:sz="0" w:space="0" w:color="auto"/>
        <w:bottom w:val="none" w:sz="0" w:space="0" w:color="auto"/>
        <w:right w:val="none" w:sz="0" w:space="0" w:color="auto"/>
      </w:divBdr>
    </w:div>
    <w:div w:id="1475180075">
      <w:marLeft w:val="0"/>
      <w:marRight w:val="0"/>
      <w:marTop w:val="0"/>
      <w:marBottom w:val="0"/>
      <w:divBdr>
        <w:top w:val="none" w:sz="0" w:space="0" w:color="auto"/>
        <w:left w:val="none" w:sz="0" w:space="0" w:color="auto"/>
        <w:bottom w:val="none" w:sz="0" w:space="0" w:color="auto"/>
        <w:right w:val="none" w:sz="0" w:space="0" w:color="auto"/>
      </w:divBdr>
    </w:div>
    <w:div w:id="1475180076">
      <w:marLeft w:val="0"/>
      <w:marRight w:val="0"/>
      <w:marTop w:val="0"/>
      <w:marBottom w:val="0"/>
      <w:divBdr>
        <w:top w:val="none" w:sz="0" w:space="0" w:color="auto"/>
        <w:left w:val="none" w:sz="0" w:space="0" w:color="auto"/>
        <w:bottom w:val="none" w:sz="0" w:space="0" w:color="auto"/>
        <w:right w:val="none" w:sz="0" w:space="0" w:color="auto"/>
      </w:divBdr>
    </w:div>
    <w:div w:id="1475180077">
      <w:marLeft w:val="0"/>
      <w:marRight w:val="0"/>
      <w:marTop w:val="0"/>
      <w:marBottom w:val="0"/>
      <w:divBdr>
        <w:top w:val="none" w:sz="0" w:space="0" w:color="auto"/>
        <w:left w:val="none" w:sz="0" w:space="0" w:color="auto"/>
        <w:bottom w:val="none" w:sz="0" w:space="0" w:color="auto"/>
        <w:right w:val="none" w:sz="0" w:space="0" w:color="auto"/>
      </w:divBdr>
    </w:div>
    <w:div w:id="1475180078">
      <w:marLeft w:val="0"/>
      <w:marRight w:val="0"/>
      <w:marTop w:val="0"/>
      <w:marBottom w:val="0"/>
      <w:divBdr>
        <w:top w:val="none" w:sz="0" w:space="0" w:color="auto"/>
        <w:left w:val="none" w:sz="0" w:space="0" w:color="auto"/>
        <w:bottom w:val="none" w:sz="0" w:space="0" w:color="auto"/>
        <w:right w:val="none" w:sz="0" w:space="0" w:color="auto"/>
      </w:divBdr>
    </w:div>
    <w:div w:id="1475180079">
      <w:marLeft w:val="0"/>
      <w:marRight w:val="0"/>
      <w:marTop w:val="0"/>
      <w:marBottom w:val="0"/>
      <w:divBdr>
        <w:top w:val="none" w:sz="0" w:space="0" w:color="auto"/>
        <w:left w:val="none" w:sz="0" w:space="0" w:color="auto"/>
        <w:bottom w:val="none" w:sz="0" w:space="0" w:color="auto"/>
        <w:right w:val="none" w:sz="0" w:space="0" w:color="auto"/>
      </w:divBdr>
    </w:div>
    <w:div w:id="1475180080">
      <w:marLeft w:val="0"/>
      <w:marRight w:val="0"/>
      <w:marTop w:val="0"/>
      <w:marBottom w:val="0"/>
      <w:divBdr>
        <w:top w:val="none" w:sz="0" w:space="0" w:color="auto"/>
        <w:left w:val="none" w:sz="0" w:space="0" w:color="auto"/>
        <w:bottom w:val="none" w:sz="0" w:space="0" w:color="auto"/>
        <w:right w:val="none" w:sz="0" w:space="0" w:color="auto"/>
      </w:divBdr>
    </w:div>
    <w:div w:id="1475180081">
      <w:marLeft w:val="0"/>
      <w:marRight w:val="0"/>
      <w:marTop w:val="0"/>
      <w:marBottom w:val="0"/>
      <w:divBdr>
        <w:top w:val="none" w:sz="0" w:space="0" w:color="auto"/>
        <w:left w:val="none" w:sz="0" w:space="0" w:color="auto"/>
        <w:bottom w:val="none" w:sz="0" w:space="0" w:color="auto"/>
        <w:right w:val="none" w:sz="0" w:space="0" w:color="auto"/>
      </w:divBdr>
    </w:div>
    <w:div w:id="1475180082">
      <w:marLeft w:val="0"/>
      <w:marRight w:val="0"/>
      <w:marTop w:val="0"/>
      <w:marBottom w:val="0"/>
      <w:divBdr>
        <w:top w:val="none" w:sz="0" w:space="0" w:color="auto"/>
        <w:left w:val="none" w:sz="0" w:space="0" w:color="auto"/>
        <w:bottom w:val="none" w:sz="0" w:space="0" w:color="auto"/>
        <w:right w:val="none" w:sz="0" w:space="0" w:color="auto"/>
      </w:divBdr>
    </w:div>
    <w:div w:id="1475180083">
      <w:marLeft w:val="0"/>
      <w:marRight w:val="0"/>
      <w:marTop w:val="0"/>
      <w:marBottom w:val="0"/>
      <w:divBdr>
        <w:top w:val="none" w:sz="0" w:space="0" w:color="auto"/>
        <w:left w:val="none" w:sz="0" w:space="0" w:color="auto"/>
        <w:bottom w:val="none" w:sz="0" w:space="0" w:color="auto"/>
        <w:right w:val="none" w:sz="0" w:space="0" w:color="auto"/>
      </w:divBdr>
    </w:div>
    <w:div w:id="1475180084">
      <w:marLeft w:val="0"/>
      <w:marRight w:val="0"/>
      <w:marTop w:val="0"/>
      <w:marBottom w:val="0"/>
      <w:divBdr>
        <w:top w:val="none" w:sz="0" w:space="0" w:color="auto"/>
        <w:left w:val="none" w:sz="0" w:space="0" w:color="auto"/>
        <w:bottom w:val="none" w:sz="0" w:space="0" w:color="auto"/>
        <w:right w:val="none" w:sz="0" w:space="0" w:color="auto"/>
      </w:divBdr>
    </w:div>
    <w:div w:id="1475180085">
      <w:marLeft w:val="0"/>
      <w:marRight w:val="0"/>
      <w:marTop w:val="0"/>
      <w:marBottom w:val="0"/>
      <w:divBdr>
        <w:top w:val="none" w:sz="0" w:space="0" w:color="auto"/>
        <w:left w:val="none" w:sz="0" w:space="0" w:color="auto"/>
        <w:bottom w:val="none" w:sz="0" w:space="0" w:color="auto"/>
        <w:right w:val="none" w:sz="0" w:space="0" w:color="auto"/>
      </w:divBdr>
    </w:div>
    <w:div w:id="1475180086">
      <w:marLeft w:val="0"/>
      <w:marRight w:val="0"/>
      <w:marTop w:val="0"/>
      <w:marBottom w:val="0"/>
      <w:divBdr>
        <w:top w:val="none" w:sz="0" w:space="0" w:color="auto"/>
        <w:left w:val="none" w:sz="0" w:space="0" w:color="auto"/>
        <w:bottom w:val="none" w:sz="0" w:space="0" w:color="auto"/>
        <w:right w:val="none" w:sz="0" w:space="0" w:color="auto"/>
      </w:divBdr>
    </w:div>
    <w:div w:id="1475180087">
      <w:marLeft w:val="0"/>
      <w:marRight w:val="0"/>
      <w:marTop w:val="0"/>
      <w:marBottom w:val="0"/>
      <w:divBdr>
        <w:top w:val="none" w:sz="0" w:space="0" w:color="auto"/>
        <w:left w:val="none" w:sz="0" w:space="0" w:color="auto"/>
        <w:bottom w:val="none" w:sz="0" w:space="0" w:color="auto"/>
        <w:right w:val="none" w:sz="0" w:space="0" w:color="auto"/>
      </w:divBdr>
    </w:div>
    <w:div w:id="1475180088">
      <w:marLeft w:val="0"/>
      <w:marRight w:val="0"/>
      <w:marTop w:val="0"/>
      <w:marBottom w:val="0"/>
      <w:divBdr>
        <w:top w:val="none" w:sz="0" w:space="0" w:color="auto"/>
        <w:left w:val="none" w:sz="0" w:space="0" w:color="auto"/>
        <w:bottom w:val="none" w:sz="0" w:space="0" w:color="auto"/>
        <w:right w:val="none" w:sz="0" w:space="0" w:color="auto"/>
      </w:divBdr>
    </w:div>
    <w:div w:id="1475180089">
      <w:marLeft w:val="0"/>
      <w:marRight w:val="0"/>
      <w:marTop w:val="0"/>
      <w:marBottom w:val="0"/>
      <w:divBdr>
        <w:top w:val="none" w:sz="0" w:space="0" w:color="auto"/>
        <w:left w:val="none" w:sz="0" w:space="0" w:color="auto"/>
        <w:bottom w:val="none" w:sz="0" w:space="0" w:color="auto"/>
        <w:right w:val="none" w:sz="0" w:space="0" w:color="auto"/>
      </w:divBdr>
    </w:div>
    <w:div w:id="1475180090">
      <w:marLeft w:val="0"/>
      <w:marRight w:val="0"/>
      <w:marTop w:val="0"/>
      <w:marBottom w:val="0"/>
      <w:divBdr>
        <w:top w:val="none" w:sz="0" w:space="0" w:color="auto"/>
        <w:left w:val="none" w:sz="0" w:space="0" w:color="auto"/>
        <w:bottom w:val="none" w:sz="0" w:space="0" w:color="auto"/>
        <w:right w:val="none" w:sz="0" w:space="0" w:color="auto"/>
      </w:divBdr>
    </w:div>
    <w:div w:id="1475180091">
      <w:marLeft w:val="0"/>
      <w:marRight w:val="0"/>
      <w:marTop w:val="0"/>
      <w:marBottom w:val="0"/>
      <w:divBdr>
        <w:top w:val="none" w:sz="0" w:space="0" w:color="auto"/>
        <w:left w:val="none" w:sz="0" w:space="0" w:color="auto"/>
        <w:bottom w:val="none" w:sz="0" w:space="0" w:color="auto"/>
        <w:right w:val="none" w:sz="0" w:space="0" w:color="auto"/>
      </w:divBdr>
    </w:div>
    <w:div w:id="1475180092">
      <w:marLeft w:val="0"/>
      <w:marRight w:val="0"/>
      <w:marTop w:val="0"/>
      <w:marBottom w:val="0"/>
      <w:divBdr>
        <w:top w:val="none" w:sz="0" w:space="0" w:color="auto"/>
        <w:left w:val="none" w:sz="0" w:space="0" w:color="auto"/>
        <w:bottom w:val="none" w:sz="0" w:space="0" w:color="auto"/>
        <w:right w:val="none" w:sz="0" w:space="0" w:color="auto"/>
      </w:divBdr>
    </w:div>
    <w:div w:id="1475180093">
      <w:marLeft w:val="0"/>
      <w:marRight w:val="0"/>
      <w:marTop w:val="0"/>
      <w:marBottom w:val="0"/>
      <w:divBdr>
        <w:top w:val="none" w:sz="0" w:space="0" w:color="auto"/>
        <w:left w:val="none" w:sz="0" w:space="0" w:color="auto"/>
        <w:bottom w:val="none" w:sz="0" w:space="0" w:color="auto"/>
        <w:right w:val="none" w:sz="0" w:space="0" w:color="auto"/>
      </w:divBdr>
    </w:div>
    <w:div w:id="1475180094">
      <w:marLeft w:val="0"/>
      <w:marRight w:val="0"/>
      <w:marTop w:val="0"/>
      <w:marBottom w:val="0"/>
      <w:divBdr>
        <w:top w:val="none" w:sz="0" w:space="0" w:color="auto"/>
        <w:left w:val="none" w:sz="0" w:space="0" w:color="auto"/>
        <w:bottom w:val="none" w:sz="0" w:space="0" w:color="auto"/>
        <w:right w:val="none" w:sz="0" w:space="0" w:color="auto"/>
      </w:divBdr>
    </w:div>
    <w:div w:id="1475180095">
      <w:marLeft w:val="0"/>
      <w:marRight w:val="0"/>
      <w:marTop w:val="0"/>
      <w:marBottom w:val="0"/>
      <w:divBdr>
        <w:top w:val="none" w:sz="0" w:space="0" w:color="auto"/>
        <w:left w:val="none" w:sz="0" w:space="0" w:color="auto"/>
        <w:bottom w:val="none" w:sz="0" w:space="0" w:color="auto"/>
        <w:right w:val="none" w:sz="0" w:space="0" w:color="auto"/>
      </w:divBdr>
    </w:div>
    <w:div w:id="1475180096">
      <w:marLeft w:val="0"/>
      <w:marRight w:val="0"/>
      <w:marTop w:val="0"/>
      <w:marBottom w:val="0"/>
      <w:divBdr>
        <w:top w:val="none" w:sz="0" w:space="0" w:color="auto"/>
        <w:left w:val="none" w:sz="0" w:space="0" w:color="auto"/>
        <w:bottom w:val="none" w:sz="0" w:space="0" w:color="auto"/>
        <w:right w:val="none" w:sz="0" w:space="0" w:color="auto"/>
      </w:divBdr>
    </w:div>
    <w:div w:id="1475180097">
      <w:marLeft w:val="0"/>
      <w:marRight w:val="0"/>
      <w:marTop w:val="0"/>
      <w:marBottom w:val="0"/>
      <w:divBdr>
        <w:top w:val="none" w:sz="0" w:space="0" w:color="auto"/>
        <w:left w:val="none" w:sz="0" w:space="0" w:color="auto"/>
        <w:bottom w:val="none" w:sz="0" w:space="0" w:color="auto"/>
        <w:right w:val="none" w:sz="0" w:space="0" w:color="auto"/>
      </w:divBdr>
    </w:div>
    <w:div w:id="1475180098">
      <w:marLeft w:val="0"/>
      <w:marRight w:val="0"/>
      <w:marTop w:val="0"/>
      <w:marBottom w:val="0"/>
      <w:divBdr>
        <w:top w:val="none" w:sz="0" w:space="0" w:color="auto"/>
        <w:left w:val="none" w:sz="0" w:space="0" w:color="auto"/>
        <w:bottom w:val="none" w:sz="0" w:space="0" w:color="auto"/>
        <w:right w:val="none" w:sz="0" w:space="0" w:color="auto"/>
      </w:divBdr>
    </w:div>
    <w:div w:id="1475180099">
      <w:marLeft w:val="0"/>
      <w:marRight w:val="0"/>
      <w:marTop w:val="0"/>
      <w:marBottom w:val="0"/>
      <w:divBdr>
        <w:top w:val="none" w:sz="0" w:space="0" w:color="auto"/>
        <w:left w:val="none" w:sz="0" w:space="0" w:color="auto"/>
        <w:bottom w:val="none" w:sz="0" w:space="0" w:color="auto"/>
        <w:right w:val="none" w:sz="0" w:space="0" w:color="auto"/>
      </w:divBdr>
    </w:div>
    <w:div w:id="1475180100">
      <w:marLeft w:val="0"/>
      <w:marRight w:val="0"/>
      <w:marTop w:val="0"/>
      <w:marBottom w:val="0"/>
      <w:divBdr>
        <w:top w:val="none" w:sz="0" w:space="0" w:color="auto"/>
        <w:left w:val="none" w:sz="0" w:space="0" w:color="auto"/>
        <w:bottom w:val="none" w:sz="0" w:space="0" w:color="auto"/>
        <w:right w:val="none" w:sz="0" w:space="0" w:color="auto"/>
      </w:divBdr>
    </w:div>
    <w:div w:id="14751801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13</Pages>
  <Words>3497</Words>
  <Characters>22735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KON0211A</dc:creator>
  <cp:keywords/>
  <dc:description/>
  <cp:lastModifiedBy>jb0525aa</cp:lastModifiedBy>
  <cp:revision>2</cp:revision>
  <cp:lastPrinted>2013-06-10T11:17:00Z</cp:lastPrinted>
  <dcterms:created xsi:type="dcterms:W3CDTF">2013-06-10T11:18:00Z</dcterms:created>
  <dcterms:modified xsi:type="dcterms:W3CDTF">2013-06-10T11:18:00Z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0x01010053E1D612BA3F4E21AA250ECD751942B30007066CD283236A4C80B9E4798741B7C6</vt:lpwstr>
  </property>
  <property fmtid="{D5CDD505-2E9C-101B-9397-08002B2CF9AE}" pid="6" name="Departementsenhet">
    <vt:lpwstr>1;#Finansdepartementet|0b2f41b1-db50-472c-80a1-d21b0254fb2b</vt:lpwstr>
  </property>
  <property fmtid="{D5CDD505-2E9C-101B-9397-08002B2CF9AE}" pid="7" name="Aktivitetskategori">
    <vt:lpwstr>17;#4.1.2. Rådsarbete|1af30613-4dfb-4481-b80b-5c962e3e508b</vt:lpwstr>
  </property>
  <property fmtid="{D5CDD505-2E9C-101B-9397-08002B2CF9AE}" pid="8" name="_dlc_DocIdItemGuid">
    <vt:lpwstr>bf796f26-2b98-4c2d-a9b0-1565306574e5</vt:lpwstr>
  </property>
  <property fmtid="{D5CDD505-2E9C-101B-9397-08002B2CF9AE}" pid="9" name="_dlc_DocId">
    <vt:lpwstr>M623RS5WZCRU-223-786</vt:lpwstr>
  </property>
  <property fmtid="{D5CDD505-2E9C-101B-9397-08002B2CF9AE}" pid="10" name="_dlc_DocIdUrl">
    <vt:lpwstr>http://rkdhs-fi/ECOFIN/_layouts/DocIdRedir.aspx?ID=M623RS5WZCRU-223-786, M623RS5WZCRU-223-786</vt:lpwstr>
  </property>
  <property fmtid="{D5CDD505-2E9C-101B-9397-08002B2CF9AE}" pid="11" name="TaxCatchAll">
    <vt:lpwstr>17;#;#1;#</vt:lpwstr>
  </property>
  <property fmtid="{D5CDD505-2E9C-101B-9397-08002B2CF9AE}" pid="12" name="Nyckelord">
    <vt:lpwstr/>
  </property>
  <property fmtid="{D5CDD505-2E9C-101B-9397-08002B2CF9AE}" pid="13" name="Diarienummer">
    <vt:lpwstr/>
  </property>
  <property fmtid="{D5CDD505-2E9C-101B-9397-08002B2CF9AE}" pid="14" name="p9288b129226400383b88cd27048369c">
    <vt:lpwstr>4.1.2. Rådsarbete1af30613-4dfb-4481-b80b-5c962e3e508b</vt:lpwstr>
  </property>
  <property fmtid="{D5CDD505-2E9C-101B-9397-08002B2CF9AE}" pid="15" name="ja01b8bc4bea4d6683c0d8279d494392">
    <vt:lpwstr>Finansdepartementet0b2f41b1-db50-472c-80a1-d21b0254fb2b</vt:lpwstr>
  </property>
  <property fmtid="{D5CDD505-2E9C-101B-9397-08002B2CF9AE}" pid="16" name="Sekretess m.m.">
    <vt:lpwstr/>
  </property>
</Properties>
</file>