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780485">
        <w:tblPrEx>
          <w:tblCellMar>
            <w:top w:w="0" w:type="dxa"/>
            <w:bottom w:w="0" w:type="dxa"/>
          </w:tblCellMar>
        </w:tblPrEx>
        <w:trPr>
          <w:cantSplit/>
          <w:trHeight w:val="635"/>
        </w:trPr>
        <w:tc>
          <w:tcPr>
            <w:tcW w:w="5457" w:type="dxa"/>
            <w:gridSpan w:val="2"/>
            <w:vMerge w:val="restart"/>
            <w:tcBorders>
              <w:bottom w:val="nil"/>
            </w:tcBorders>
          </w:tcPr>
          <w:p w:rsidR="007A6E3D" w:rsidRPr="00780485" w:rsidRDefault="007A6E3D">
            <w:pPr>
              <w:pStyle w:val="HuvudRubrik"/>
              <w:spacing w:before="0"/>
              <w:rPr>
                <w:sz w:val="36"/>
              </w:rPr>
            </w:pPr>
            <w:r w:rsidRPr="00780485">
              <w:rPr>
                <w:sz w:val="36"/>
              </w:rPr>
              <w:t>Förslag till riksdagen</w:t>
            </w:r>
          </w:p>
          <w:p w:rsidR="007A6E3D" w:rsidRPr="00780485" w:rsidRDefault="007A6E3D">
            <w:pPr>
              <w:pStyle w:val="HuvudRubrik"/>
              <w:spacing w:before="0"/>
            </w:pPr>
            <w:r w:rsidRPr="00780485">
              <w:rPr>
                <w:sz w:val="36"/>
              </w:rPr>
              <w:t>2001/02:RR4</w:t>
            </w:r>
          </w:p>
          <w:p w:rsidR="007A6E3D" w:rsidRPr="00780485" w:rsidRDefault="007A6E3D">
            <w:pPr>
              <w:pStyle w:val="HuvudRubrik"/>
              <w:spacing w:before="0"/>
            </w:pPr>
            <w:r w:rsidRPr="00780485">
              <w:t xml:space="preserve">Riksdagens revisorers förslag angående </w:t>
            </w:r>
            <w:bookmarkStart w:id="0" w:name="Mittenrubrik2"/>
            <w:bookmarkEnd w:id="0"/>
            <w:r w:rsidRPr="00780485">
              <w:t>Glesbygdsverkets roll i regionalpolitiken</w:t>
            </w:r>
          </w:p>
        </w:tc>
        <w:tc>
          <w:tcPr>
            <w:tcW w:w="2126" w:type="dxa"/>
          </w:tcPr>
          <w:p w:rsidR="007A6E3D" w:rsidRPr="00780485" w:rsidRDefault="00780485">
            <w:pPr>
              <w:pStyle w:val="rtal"/>
              <w:spacing w:before="120"/>
              <w:ind w:left="0"/>
            </w:pPr>
            <w:r w:rsidRPr="00780485">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780485">
        <w:tblPrEx>
          <w:tblCellMar>
            <w:top w:w="0" w:type="dxa"/>
            <w:bottom w:w="0" w:type="dxa"/>
          </w:tblCellMar>
        </w:tblPrEx>
        <w:trPr>
          <w:cantSplit/>
          <w:trHeight w:val="313"/>
        </w:trPr>
        <w:tc>
          <w:tcPr>
            <w:tcW w:w="5457" w:type="dxa"/>
            <w:gridSpan w:val="2"/>
            <w:vMerge/>
            <w:tcBorders>
              <w:bottom w:val="nil"/>
            </w:tcBorders>
          </w:tcPr>
          <w:p w:rsidR="007A6E3D" w:rsidRPr="00780485" w:rsidRDefault="007A6E3D">
            <w:pPr>
              <w:pStyle w:val="HuvudRubrik"/>
            </w:pPr>
          </w:p>
        </w:tc>
        <w:tc>
          <w:tcPr>
            <w:tcW w:w="2126" w:type="dxa"/>
          </w:tcPr>
          <w:p w:rsidR="007A6E3D" w:rsidRPr="00780485" w:rsidRDefault="007A6E3D">
            <w:pPr>
              <w:pStyle w:val="rtal"/>
              <w:ind w:left="0"/>
            </w:pPr>
            <w:r w:rsidRPr="00780485">
              <w:t>2001/02</w:t>
            </w:r>
          </w:p>
        </w:tc>
      </w:tr>
      <w:tr w:rsidR="00000000" w:rsidRPr="00780485">
        <w:tblPrEx>
          <w:tblCellMar>
            <w:top w:w="0" w:type="dxa"/>
            <w:bottom w:w="0" w:type="dxa"/>
          </w:tblCellMar>
        </w:tblPrEx>
        <w:trPr>
          <w:cantSplit/>
          <w:trHeight w:val="635"/>
        </w:trPr>
        <w:tc>
          <w:tcPr>
            <w:tcW w:w="5457" w:type="dxa"/>
            <w:gridSpan w:val="2"/>
            <w:vMerge/>
            <w:tcBorders>
              <w:bottom w:val="single" w:sz="4" w:space="0" w:color="auto"/>
            </w:tcBorders>
          </w:tcPr>
          <w:p w:rsidR="007A6E3D" w:rsidRPr="00780485" w:rsidRDefault="007A6E3D">
            <w:pPr>
              <w:pStyle w:val="HuvudRubrik"/>
            </w:pPr>
          </w:p>
        </w:tc>
        <w:tc>
          <w:tcPr>
            <w:tcW w:w="2126" w:type="dxa"/>
            <w:tcBorders>
              <w:bottom w:val="single" w:sz="6" w:space="0" w:color="auto"/>
            </w:tcBorders>
          </w:tcPr>
          <w:p w:rsidR="007A6E3D" w:rsidRPr="00780485" w:rsidRDefault="007A6E3D">
            <w:pPr>
              <w:pStyle w:val="rtal"/>
              <w:ind w:left="0"/>
            </w:pPr>
            <w:r w:rsidRPr="00780485">
              <w:t>RR4</w:t>
            </w:r>
          </w:p>
        </w:tc>
      </w:tr>
      <w:tr w:rsidR="00000000" w:rsidRPr="00780485">
        <w:tblPrEx>
          <w:tblCellMar>
            <w:top w:w="0" w:type="dxa"/>
            <w:bottom w:w="0" w:type="dxa"/>
          </w:tblCellMar>
        </w:tblPrEx>
        <w:trPr>
          <w:cantSplit/>
          <w:trHeight w:hRule="exact" w:val="660"/>
        </w:trPr>
        <w:tc>
          <w:tcPr>
            <w:tcW w:w="3012" w:type="dxa"/>
          </w:tcPr>
          <w:p w:rsidR="007A6E3D" w:rsidRPr="00780485" w:rsidRDefault="007A6E3D">
            <w:pPr>
              <w:pStyle w:val="StatusSida1"/>
            </w:pPr>
          </w:p>
        </w:tc>
        <w:tc>
          <w:tcPr>
            <w:tcW w:w="2445" w:type="dxa"/>
          </w:tcPr>
          <w:p w:rsidR="007A6E3D" w:rsidRPr="00780485" w:rsidRDefault="007A6E3D">
            <w:pPr>
              <w:pStyle w:val="UtskriftsdatumSida1"/>
              <w:rPr>
                <w:b/>
                <w:sz w:val="28"/>
              </w:rPr>
            </w:pPr>
          </w:p>
        </w:tc>
        <w:tc>
          <w:tcPr>
            <w:tcW w:w="2126" w:type="dxa"/>
          </w:tcPr>
          <w:p w:rsidR="007A6E3D" w:rsidRPr="00780485" w:rsidRDefault="007A6E3D"/>
        </w:tc>
      </w:tr>
    </w:tbl>
    <w:p w:rsidR="007A6E3D" w:rsidRPr="00780485" w:rsidRDefault="007A6E3D">
      <w:pPr>
        <w:pStyle w:val="Rubrik1"/>
      </w:pPr>
      <w:bookmarkStart w:id="1" w:name="_Toc526845738"/>
      <w:r w:rsidRPr="00780485">
        <w:t>Revisorernas granskning</w:t>
      </w:r>
      <w:bookmarkEnd w:id="1"/>
    </w:p>
    <w:p w:rsidR="007A6E3D" w:rsidRPr="00780485" w:rsidRDefault="007A6E3D">
      <w:r w:rsidRPr="00780485">
        <w:t>Riksdagens revisorer har på egen initiativ granskat Glesbygdsverkets roll i regionalpolitiken. Kärnan i Glesbygdsverkets uppdrag är att analysera regi</w:t>
      </w:r>
      <w:r w:rsidRPr="00780485">
        <w:t>o</w:t>
      </w:r>
      <w:r w:rsidRPr="00780485">
        <w:t>nala skillnader i välfärd och tillväxt som hänger samman med en gles b</w:t>
      </w:r>
      <w:r w:rsidRPr="00780485">
        <w:t>e</w:t>
      </w:r>
      <w:r w:rsidRPr="00780485">
        <w:t>folkningsstruktur. Målet för verksamheten är att främst genom påverkan verka för goda levnadsförhållanden och utvecklingsmöjligheter för gle</w:t>
      </w:r>
      <w:r w:rsidRPr="00780485">
        <w:t>s</w:t>
      </w:r>
      <w:r w:rsidRPr="00780485">
        <w:t xml:space="preserve">bygds- och landsbygdsbefolkningen. </w:t>
      </w:r>
    </w:p>
    <w:p w:rsidR="007A6E3D" w:rsidRPr="00780485" w:rsidRDefault="007A6E3D">
      <w:pPr>
        <w:pStyle w:val="Normaltindrag"/>
      </w:pPr>
      <w:r w:rsidRPr="00780485">
        <w:t>I rapporten beskrivs hur regionalpolitiken och den regionalpolitiska my</w:t>
      </w:r>
      <w:r w:rsidRPr="00780485">
        <w:t>n</w:t>
      </w:r>
      <w:r w:rsidRPr="00780485">
        <w:t>dighetsorganisationen förändrats sedan Glesbygdsverket bildades. Vidare beskrivs och analyseras Glesbygdsverkets verksamhet i förhållande till ve</w:t>
      </w:r>
      <w:r w:rsidRPr="00780485">
        <w:t>r</w:t>
      </w:r>
      <w:r w:rsidRPr="00780485">
        <w:t>kets och övriga regionalpolitiska a</w:t>
      </w:r>
      <w:r w:rsidRPr="00780485">
        <w:t>k</w:t>
      </w:r>
      <w:r w:rsidRPr="00780485">
        <w:t>törers uppdrag.</w:t>
      </w:r>
    </w:p>
    <w:p w:rsidR="007A6E3D" w:rsidRPr="00780485" w:rsidRDefault="007A6E3D">
      <w:pPr>
        <w:pStyle w:val="Normaltindrag"/>
      </w:pPr>
      <w:r w:rsidRPr="00780485">
        <w:t>Glesbygdsverket bildades 1991 och hade inledningsvis till huvuduppgift att finansiera och samordna gles- och landsbygdspolitiska projekt. Ansvaret för regionalpolitiska åtgärder har sedan dess i stor utsträckning decentralis</w:t>
      </w:r>
      <w:r w:rsidRPr="00780485">
        <w:t>e</w:t>
      </w:r>
      <w:r w:rsidRPr="00780485">
        <w:t>rats från central myndighetsnivå till den regionala nivån. Glesbygdsverket har inte längre några utvecklingsmedel utan ska i stället verka för gles- och landsbygdsbefolkningens bästa genom att sprida ku</w:t>
      </w:r>
      <w:r w:rsidRPr="00780485">
        <w:t>n</w:t>
      </w:r>
      <w:r w:rsidRPr="00780485">
        <w:t>skap.</w:t>
      </w:r>
    </w:p>
    <w:p w:rsidR="007A6E3D" w:rsidRPr="00780485" w:rsidRDefault="007A6E3D">
      <w:pPr>
        <w:pStyle w:val="Normaltindrag"/>
      </w:pPr>
      <w:r w:rsidRPr="00780485">
        <w:t>Glesbygdsverket har i princip två möjligheter att påverka utvecklingen i gles- och landsbygden. Det kan antingen ske genom att den kunskap verket producerar resulterar i att mer resurser fördelas till gles- och landsbygden eller att den kunskap verket förmedlar leder till att befintliga resurser utnyt</w:t>
      </w:r>
      <w:r w:rsidRPr="00780485">
        <w:t>t</w:t>
      </w:r>
      <w:r w:rsidRPr="00780485">
        <w:t>jas på ett mer effektivt sätt.</w:t>
      </w:r>
    </w:p>
    <w:p w:rsidR="007A6E3D" w:rsidRPr="00780485" w:rsidRDefault="007A6E3D">
      <w:pPr>
        <w:pStyle w:val="Normaltindrag"/>
      </w:pPr>
      <w:r w:rsidRPr="00780485">
        <w:t>Den kartläggning som genomförts visar att stora förändringar skett inom regionalpolitiken sedan Glesbygdsverket bildades. Näringspolitiken och regionalpolitiken har närmat sig varandra alltmer. Regionalpolitiken liksom sektorspolitiken har regionaliserats. Kommunerna har fått ett ökat ansvar för välfärdspolitiken. De regionala tillväxtavtalen är tänkta att fungera som effektiva samordningsinstrument på den regionala nivån. Sverige har gått med i EU. Vidare har nyligen en stor</w:t>
      </w:r>
      <w:r w:rsidRPr="00780485">
        <w:t xml:space="preserve"> omorganisation genomförts av my</w:t>
      </w:r>
      <w:r w:rsidRPr="00780485">
        <w:t>n</w:t>
      </w:r>
      <w:r w:rsidRPr="00780485">
        <w:t>dighetsstrukturen inom de regional-, närings- och innovationspolitiska omr</w:t>
      </w:r>
      <w:r w:rsidRPr="00780485">
        <w:t>å</w:t>
      </w:r>
      <w:r w:rsidRPr="00780485">
        <w:t>dena utan att Glesbygdsverkets roll analyserats. Ett flertal myndigheter lades ner samtidigt som tre nya myndigheter bildades: Institutet för tillväxtpoliti</w:t>
      </w:r>
      <w:r w:rsidRPr="00780485">
        <w:t>s</w:t>
      </w:r>
      <w:r w:rsidRPr="00780485">
        <w:t xml:space="preserve">ka </w:t>
      </w:r>
      <w:r w:rsidRPr="00780485">
        <w:lastRenderedPageBreak/>
        <w:t xml:space="preserve">studier (ITPS), Verket för näringslivsutveckling (NUTEK) och Verket för innovationssystem (Vinnova). </w:t>
      </w:r>
    </w:p>
    <w:p w:rsidR="007A6E3D" w:rsidRPr="00780485" w:rsidRDefault="007A6E3D">
      <w:pPr>
        <w:pStyle w:val="Normaltindrag"/>
      </w:pPr>
      <w:r w:rsidRPr="00780485">
        <w:t>Analysen av Glesbygdsverkets verksamhet visar att verket främst är eng</w:t>
      </w:r>
      <w:r w:rsidRPr="00780485">
        <w:t>a</w:t>
      </w:r>
      <w:r w:rsidRPr="00780485">
        <w:t>gerat i frågor som rör de välfärdspolitiska delarna av regionalpolitiken. När det gäller insatser för att främja tillväxten i gles- och landsbygden riktas fokus främst mot den offentliga sektorns ansvar för strukturfrågor. Efterfr</w:t>
      </w:r>
      <w:r w:rsidRPr="00780485">
        <w:t>å</w:t>
      </w:r>
      <w:r w:rsidRPr="00780485">
        <w:t>gan på Glesbygdsverket i arbetet med de regionala tillväxtavtalen har hittills varit låg på den regionala nivån. Glesbygdsverket bedriver inte någon egen</w:t>
      </w:r>
      <w:r w:rsidRPr="00780485">
        <w:t>t</w:t>
      </w:r>
      <w:r w:rsidRPr="00780485">
        <w:t>lig utvärdering av gles- och landsbygdspolitiska insatser.</w:t>
      </w:r>
    </w:p>
    <w:p w:rsidR="007A6E3D" w:rsidRPr="00780485" w:rsidRDefault="007A6E3D">
      <w:pPr>
        <w:pStyle w:val="Normaltindrag"/>
      </w:pPr>
      <w:r w:rsidRPr="00780485">
        <w:t>På uppdrag av revisorerna har en konsult gjort en innehållsanalys a</w:t>
      </w:r>
      <w:r w:rsidRPr="00780485">
        <w:t>v Gle</w:t>
      </w:r>
      <w:r w:rsidRPr="00780485">
        <w:t>s</w:t>
      </w:r>
      <w:r w:rsidRPr="00780485">
        <w:t>bygdsverkets rapportproduktion under perioden 1997 till 1 juli 2000 (elva rapporter totalt). En stor del av rapporterna har producerats externt eller tillsammans med andra. Det är vanligt förekommande att rapporterna riktar sig till Regeringskansliet och till kommuner. Rapporterna behandlar ofta gles- och landsbygdsfrågor som ett eget ämnesområde. Det är mer ovanligt att verkets rapporter går på djupet i sakfrågor som rör kommunikationer, högskoleutbildning, underlag för infrastrukturinvesteringar och</w:t>
      </w:r>
      <w:r w:rsidRPr="00780485">
        <w:t xml:space="preserve"> andra frågor som har bet</w:t>
      </w:r>
      <w:r w:rsidRPr="00780485">
        <w:t>y</w:t>
      </w:r>
      <w:r w:rsidRPr="00780485">
        <w:t>delse för gles- och landsbygdens utveckling på lång sikt.</w:t>
      </w:r>
    </w:p>
    <w:p w:rsidR="007A6E3D" w:rsidRPr="00780485" w:rsidRDefault="007A6E3D">
      <w:pPr>
        <w:pStyle w:val="Normaltindrag"/>
      </w:pPr>
      <w:r w:rsidRPr="00780485">
        <w:t>Den kartläggning som genomförts av Glesbygdsverkets verksamhet tyder inte på att myndigheten fungerar dåligt. Glesbygdsverkets uppdrag är dä</w:t>
      </w:r>
      <w:r w:rsidRPr="00780485">
        <w:t>r</w:t>
      </w:r>
      <w:r w:rsidRPr="00780485">
        <w:t>emot otydligt och bristen på uppföljningsbara mål för vad verket förväntas prestera gör det svårt att bedöma om Glesbygdsverket är ett effektivt verktyg för att stimulera utvecklingen i gles- och landsbygden.</w:t>
      </w:r>
    </w:p>
    <w:p w:rsidR="007A6E3D" w:rsidRPr="00780485" w:rsidRDefault="007A6E3D">
      <w:pPr>
        <w:pStyle w:val="Normaltindrag"/>
      </w:pPr>
      <w:r w:rsidRPr="00780485">
        <w:t>Resultatet av granskningen har redovisats i rapporten Glesbygdsverkets roll i regionalpolitiken (2000/01:12). Rapporten finns som bilaga 1 till denna skrivelse. Rapporten har remissbehandlats. En sammanfattning av remissv</w:t>
      </w:r>
      <w:r w:rsidRPr="00780485">
        <w:t>a</w:t>
      </w:r>
      <w:r w:rsidRPr="00780485">
        <w:t>ren finns i bilaga 2. I avsnitt 2 redovisas en sammanfattning av remissinsta</w:t>
      </w:r>
      <w:r w:rsidRPr="00780485">
        <w:t>n</w:t>
      </w:r>
      <w:r w:rsidRPr="00780485">
        <w:t xml:space="preserve">sernas synpunkter på revisorernas förslag och revisorernas överväganden. I kapitel 3 redovisas förslagen. </w:t>
      </w:r>
    </w:p>
    <w:p w:rsidR="007A6E3D" w:rsidRPr="00780485" w:rsidRDefault="007A6E3D">
      <w:pPr>
        <w:pStyle w:val="Rubrik1"/>
      </w:pPr>
      <w:bookmarkStart w:id="2" w:name="_Toc526750777"/>
      <w:bookmarkStart w:id="3" w:name="_Toc526845416"/>
      <w:bookmarkStart w:id="4" w:name="_Toc526845739"/>
      <w:r w:rsidRPr="00780485">
        <w:t>Remissinstansernas synpunkter och revisorernas överväganden</w:t>
      </w:r>
      <w:bookmarkEnd w:id="2"/>
      <w:bookmarkEnd w:id="3"/>
      <w:bookmarkEnd w:id="4"/>
    </w:p>
    <w:p w:rsidR="007A6E3D" w:rsidRPr="00780485" w:rsidRDefault="007A6E3D">
      <w:r w:rsidRPr="00780485">
        <w:t>Revisorernas analys utmynnade i ett övergripande förslag om att Glesbygd</w:t>
      </w:r>
      <w:r w:rsidRPr="00780485">
        <w:t>s</w:t>
      </w:r>
      <w:r w:rsidRPr="00780485">
        <w:t>verkets roll i regionalpolitiken bör ses över. Revisorerna preciserade på vilket sätt man ansåg att en översyn borde ske. Revisorerna ansåg vidare att den geografiska avgränsningen av Glesbygdsverkets uppdrag borde förtydl</w:t>
      </w:r>
      <w:r w:rsidRPr="00780485">
        <w:t>i</w:t>
      </w:r>
      <w:r w:rsidRPr="00780485">
        <w:t>gas samt att regeringen bör renodla ansvaret för utvecklings- och uppföl</w:t>
      </w:r>
      <w:r w:rsidRPr="00780485">
        <w:t>j</w:t>
      </w:r>
      <w:r w:rsidRPr="00780485">
        <w:t>ningsinsatser av stödet till kommersiell service. I revisorernas överväganden kommenterades även de exempel på brister som uppmärksammats i det sätt på vilket Glesbygdsverket valt att presentera befolkningsutvecklin</w:t>
      </w:r>
      <w:r w:rsidRPr="00780485">
        <w:t xml:space="preserve">gen i gles- och landsbygden. </w:t>
      </w:r>
    </w:p>
    <w:p w:rsidR="007A6E3D" w:rsidRPr="00780485" w:rsidRDefault="007A6E3D">
      <w:r w:rsidRPr="00780485">
        <w:br w:type="page"/>
      </w:r>
    </w:p>
    <w:p w:rsidR="007A6E3D" w:rsidRPr="00780485" w:rsidRDefault="007A6E3D">
      <w:pPr>
        <w:pStyle w:val="Rubrik2"/>
      </w:pPr>
      <w:bookmarkStart w:id="5" w:name="_Toc526750778"/>
      <w:bookmarkStart w:id="6" w:name="_Toc526845417"/>
      <w:bookmarkStart w:id="7" w:name="_Toc526845740"/>
      <w:r w:rsidRPr="00780485">
        <w:t>Översyn av Glesbygdsverkets roll inom regionalpolitiken</w:t>
      </w:r>
      <w:bookmarkEnd w:id="5"/>
      <w:bookmarkEnd w:id="6"/>
      <w:bookmarkEnd w:id="7"/>
    </w:p>
    <w:p w:rsidR="007A6E3D" w:rsidRPr="00780485" w:rsidRDefault="007A6E3D">
      <w:pPr>
        <w:rPr>
          <w:b/>
        </w:rPr>
      </w:pPr>
      <w:r w:rsidRPr="00780485">
        <w:rPr>
          <w:b/>
        </w:rPr>
        <w:t>Rapporten</w:t>
      </w:r>
    </w:p>
    <w:p w:rsidR="007A6E3D" w:rsidRPr="00780485" w:rsidRDefault="007A6E3D">
      <w:r w:rsidRPr="00780485">
        <w:t>I rapporten beskrivs de stora förändringar som skett inom regionalpolitiken sedan Glesbygdsverket bildades samt den omorganisation som nyligen g</w:t>
      </w:r>
      <w:r w:rsidRPr="00780485">
        <w:t>e</w:t>
      </w:r>
      <w:r w:rsidRPr="00780485">
        <w:t>nomförts av myndighetsstrukturen inom det regional-, närings- och innov</w:t>
      </w:r>
      <w:r w:rsidRPr="00780485">
        <w:t>a</w:t>
      </w:r>
      <w:r w:rsidRPr="00780485">
        <w:t>tionspolitiska området. Mot bakgrunda av detta föreslår revisorerna att reg</w:t>
      </w:r>
      <w:r w:rsidRPr="00780485">
        <w:t>e</w:t>
      </w:r>
      <w:r w:rsidRPr="00780485">
        <w:t>ringen bör ta initiativ till en översyn av Glesbygdsverkets roll i den regiona</w:t>
      </w:r>
      <w:r w:rsidRPr="00780485">
        <w:t>l</w:t>
      </w:r>
      <w:r w:rsidRPr="00780485">
        <w:t>politiska myndighetsorganisationen. Vidare föreslås att regionalpolitiska problem som hänger samman med en gles befolkningsstruktur bör ställas i fokus för översynen. Förslaget preciseras ytterligare genom att revisorerna anser att öve</w:t>
      </w:r>
      <w:r w:rsidRPr="00780485">
        <w:t>r</w:t>
      </w:r>
      <w:r w:rsidRPr="00780485">
        <w:t xml:space="preserve">synen bör </w:t>
      </w:r>
    </w:p>
    <w:p w:rsidR="007A6E3D" w:rsidRPr="00780485" w:rsidRDefault="007A6E3D">
      <w:pPr>
        <w:numPr>
          <w:ilvl w:val="0"/>
          <w:numId w:val="158"/>
        </w:numPr>
        <w:tabs>
          <w:tab w:val="clear" w:pos="360"/>
        </w:tabs>
        <w:ind w:left="284" w:hanging="284"/>
      </w:pPr>
      <w:r w:rsidRPr="00780485">
        <w:t>klargöra ansvarsfördelningen mellan d</w:t>
      </w:r>
      <w:r w:rsidRPr="00780485">
        <w:t>e regionalpolitiska myndigheterna för att dels följa upp, dels främja den regionala välfärds- och tillväxtpol</w:t>
      </w:r>
      <w:r w:rsidRPr="00780485">
        <w:t>i</w:t>
      </w:r>
      <w:r w:rsidRPr="00780485">
        <w:t>tiken ur ett glesbygds- och landsbygdsperspe</w:t>
      </w:r>
      <w:r w:rsidRPr="00780485">
        <w:t>k</w:t>
      </w:r>
      <w:r w:rsidRPr="00780485">
        <w:t xml:space="preserve">tiv </w:t>
      </w:r>
    </w:p>
    <w:p w:rsidR="007A6E3D" w:rsidRPr="00780485" w:rsidRDefault="007A6E3D">
      <w:pPr>
        <w:numPr>
          <w:ilvl w:val="0"/>
          <w:numId w:val="158"/>
        </w:numPr>
        <w:tabs>
          <w:tab w:val="clear" w:pos="360"/>
        </w:tabs>
        <w:ind w:left="284" w:hanging="284"/>
      </w:pPr>
      <w:r w:rsidRPr="00780485">
        <w:t>kartlägga på vilka sätt de regionalpolitiska myndigheterna kan stödja kommuner, landsting, länsstyrelser, självstyrelseorgan, andra regionala och centrala myndigheter och övriga organ som har betydelse för gles- och landsby</w:t>
      </w:r>
      <w:r w:rsidRPr="00780485">
        <w:t>g</w:t>
      </w:r>
      <w:r w:rsidRPr="00780485">
        <w:t>dens utveckling.</w:t>
      </w:r>
    </w:p>
    <w:p w:rsidR="007A6E3D" w:rsidRPr="00780485" w:rsidRDefault="007A6E3D">
      <w:pPr>
        <w:pStyle w:val="Rubrik5"/>
        <w:rPr>
          <w:b/>
        </w:rPr>
      </w:pPr>
      <w:r w:rsidRPr="00780485">
        <w:rPr>
          <w:b/>
        </w:rPr>
        <w:t>Remissinstanserna</w:t>
      </w:r>
    </w:p>
    <w:p w:rsidR="007A6E3D" w:rsidRPr="00780485" w:rsidRDefault="007A6E3D">
      <w:r w:rsidRPr="00780485">
        <w:t xml:space="preserve">Revisorernas förslag om att regeringen bör ta initiativ till en översyn av Glesbygdsverkets roll i den regionalpolitiska myndighetsorganisationen har ett starkt stöd hos remissinstanserna. Ingen instans har tagit avstånd från förslaget. Några remissinstanser har lämnat synpunkter på inriktningen av den föreslagna översynen samt förslag på vad en översyn bör leda fram till. </w:t>
      </w:r>
    </w:p>
    <w:p w:rsidR="007A6E3D" w:rsidRPr="00780485" w:rsidRDefault="007A6E3D">
      <w:pPr>
        <w:pStyle w:val="Normaltindrag"/>
      </w:pPr>
      <w:r w:rsidRPr="00780485">
        <w:rPr>
          <w:i/>
        </w:rPr>
        <w:t>Glesbygdsverket</w:t>
      </w:r>
      <w:r w:rsidRPr="00780485">
        <w:t xml:space="preserve"> skriver att det i allt väsentligt tillstyrker förslaget om att verkets roll i regionalpolitiken bör ses över. Verket skriver att en översyn inte bara kan avse Glesbygdsverket utan måste ses i ett sammanhang med ansvarsfördelningen mellan alla regionalpolitiska aktörer samt vilka mål och redskap som ska användas inom politiko</w:t>
      </w:r>
      <w:r w:rsidRPr="00780485">
        <w:t>m</w:t>
      </w:r>
      <w:r w:rsidRPr="00780485">
        <w:t>rådet.</w:t>
      </w:r>
    </w:p>
    <w:p w:rsidR="007A6E3D" w:rsidRPr="00780485" w:rsidRDefault="007A6E3D">
      <w:pPr>
        <w:pStyle w:val="Normaltindrag"/>
      </w:pPr>
      <w:r w:rsidRPr="00780485">
        <w:t xml:space="preserve">Enligt </w:t>
      </w:r>
      <w:r w:rsidRPr="00780485">
        <w:rPr>
          <w:i/>
        </w:rPr>
        <w:t>Konsumentverket</w:t>
      </w:r>
      <w:r w:rsidRPr="00780485">
        <w:t xml:space="preserve"> bör Glesbygdsverket även i framtiden ha en ce</w:t>
      </w:r>
      <w:r w:rsidRPr="00780485">
        <w:t>n</w:t>
      </w:r>
      <w:r w:rsidRPr="00780485">
        <w:t>tral roll som främjande och uppföljande myndighet med fokus på de vä</w:t>
      </w:r>
      <w:r w:rsidRPr="00780485">
        <w:t>l</w:t>
      </w:r>
      <w:r w:rsidRPr="00780485">
        <w:t>färds- och strukturpolitiska målen.</w:t>
      </w:r>
    </w:p>
    <w:p w:rsidR="007A6E3D" w:rsidRPr="00780485" w:rsidRDefault="007A6E3D">
      <w:pPr>
        <w:pStyle w:val="Normaltindrag"/>
      </w:pPr>
      <w:r w:rsidRPr="00780485">
        <w:rPr>
          <w:i/>
        </w:rPr>
        <w:t>Institutet för tillväxtpolitiska studier</w:t>
      </w:r>
      <w:r w:rsidRPr="00780485">
        <w:t xml:space="preserve"> (ITPS) anser att den av revisorerna påtalade bristen på uppföljningsbara mål för myndigheten måste avhjälpas. Översynen bör enligt institutet klarlägga ansvarsfördelningen mellan Gle</w:t>
      </w:r>
      <w:r w:rsidRPr="00780485">
        <w:t>s</w:t>
      </w:r>
      <w:r w:rsidRPr="00780485">
        <w:t>bygdsverket och övriga myndigheter som hanterar näraliggande frågor. ITPS skriver att det numera är möjligt att inom regionalpolitiken skilja mellan uppgifter som är rent tillväxtpolitiskt motiverade och de som är fördelning</w:t>
      </w:r>
      <w:r w:rsidRPr="00780485">
        <w:t>s</w:t>
      </w:r>
      <w:r w:rsidRPr="00780485">
        <w:t>politiskt motiverade. Glesbygdverkets framtida mandat bör enligt ITPS str</w:t>
      </w:r>
      <w:r w:rsidRPr="00780485">
        <w:t>a</w:t>
      </w:r>
      <w:r w:rsidRPr="00780485">
        <w:t>mas upp till att avse insatse</w:t>
      </w:r>
      <w:r w:rsidRPr="00780485">
        <w:t>r inom det fördelningspolitiska området. Enligt ITPS mening bör en översyn inte resultera i ett förslag som skapar en my</w:t>
      </w:r>
      <w:r w:rsidRPr="00780485">
        <w:t>n</w:t>
      </w:r>
      <w:r w:rsidRPr="00780485">
        <w:t>dighet för att behandla ett problem i en viss bebyggelsestruktur, medan andra myndigheter redan har till uppgift att behandla samma problem i övriga Sverige.</w:t>
      </w:r>
    </w:p>
    <w:p w:rsidR="007A6E3D" w:rsidRPr="00780485" w:rsidRDefault="007A6E3D">
      <w:pPr>
        <w:pStyle w:val="Normaltindrag"/>
      </w:pPr>
      <w:r w:rsidRPr="00780485">
        <w:rPr>
          <w:i/>
        </w:rPr>
        <w:t>Verket för näringslivsutveckling</w:t>
      </w:r>
      <w:r w:rsidRPr="00780485">
        <w:t xml:space="preserve"> (NUTEK) tillstyrker en översyn av Gle</w:t>
      </w:r>
      <w:r w:rsidRPr="00780485">
        <w:t>s</w:t>
      </w:r>
      <w:r w:rsidRPr="00780485">
        <w:t>bygdsverkets uppdrag men vill begränsa översynen jämfört med revisorernas förslag. Myndigheten instämmer i bedömningen att det är viktigt att definiera ansvarsfördelningen mellan Glesbygdsverket och den uppföljnings- och utvärderingsverksamhet som kommer att bedrivas av ITPS. En översyn av Glesbygdsverket bör utgå från statens behov av en myndighet med särskild uppgift att analysera och påverka levnadsförhållanden för gles- och land</w:t>
      </w:r>
      <w:r w:rsidRPr="00780485">
        <w:t>s</w:t>
      </w:r>
      <w:r w:rsidRPr="00780485">
        <w:t>bygdsbefolkningen inom välfärds- och</w:t>
      </w:r>
      <w:r w:rsidRPr="00780485">
        <w:t xml:space="preserve"> serviceområdet. Operativa frågor inom det tillväxtpolitiska området bör dock hållas utanför översynen. Ett skäl för detta är enligt NUTEK att ytterligare reformer inom det tillväxtpolitiska området riskerar att ytterligare komplicera förutsättningarna för det pågående omställningsa</w:t>
      </w:r>
      <w:r w:rsidRPr="00780485">
        <w:t>r</w:t>
      </w:r>
      <w:r w:rsidRPr="00780485">
        <w:t xml:space="preserve">betet. </w:t>
      </w:r>
    </w:p>
    <w:p w:rsidR="007A6E3D" w:rsidRPr="00780485" w:rsidRDefault="007A6E3D">
      <w:pPr>
        <w:pStyle w:val="Normaltindrag"/>
      </w:pPr>
      <w:r w:rsidRPr="00780485">
        <w:rPr>
          <w:i/>
        </w:rPr>
        <w:t>Länsstyrelsen i Dalarnas län</w:t>
      </w:r>
      <w:r w:rsidRPr="00780485">
        <w:t xml:space="preserve"> stöder revisorernas uppfattning att Gle</w:t>
      </w:r>
      <w:r w:rsidRPr="00780485">
        <w:t>s</w:t>
      </w:r>
      <w:r w:rsidRPr="00780485">
        <w:t>bygdsverkets roll är otydlig och behöver klarläggas i relation till den regi</w:t>
      </w:r>
      <w:r w:rsidRPr="00780485">
        <w:t>o</w:t>
      </w:r>
      <w:r w:rsidRPr="00780485">
        <w:t>nalpolitiska myndighetsstrukturen i övrigt. Länsstyren har den allmänna uppfattningen att Glesbygdsverket i sin nuvarande roll blivit relativt anonymt och att efterfrågan på Glesbygdsverket med vissa undantag är låg i det egna arbetet. En viktig beståndsdel i föreslagna översynen är att se hur Gle</w:t>
      </w:r>
      <w:r w:rsidRPr="00780485">
        <w:t>s</w:t>
      </w:r>
      <w:r w:rsidRPr="00780485">
        <w:t>bygdsverket på ett bättre sätt än hittills ska kunna vara ett stöd för länsstyre</w:t>
      </w:r>
      <w:r w:rsidRPr="00780485">
        <w:t>l</w:t>
      </w:r>
      <w:r w:rsidRPr="00780485">
        <w:t>serna och andr</w:t>
      </w:r>
      <w:r w:rsidRPr="00780485">
        <w:t>a regionala organ i arbetet med glesbygdsfrågor i bl.a. til</w:t>
      </w:r>
      <w:r w:rsidRPr="00780485">
        <w:t>l</w:t>
      </w:r>
      <w:r w:rsidRPr="00780485">
        <w:t>växtarb</w:t>
      </w:r>
      <w:r w:rsidRPr="00780485">
        <w:t>e</w:t>
      </w:r>
      <w:r w:rsidRPr="00780485">
        <w:t xml:space="preserve">tet. </w:t>
      </w:r>
    </w:p>
    <w:p w:rsidR="007A6E3D" w:rsidRPr="00780485" w:rsidRDefault="007A6E3D">
      <w:pPr>
        <w:pStyle w:val="Normaltindrag"/>
      </w:pPr>
      <w:r w:rsidRPr="00780485">
        <w:rPr>
          <w:i/>
        </w:rPr>
        <w:t>Länsstyrelsen i Jämtlands</w:t>
      </w:r>
      <w:r w:rsidRPr="00780485">
        <w:t xml:space="preserve"> län anser att Glesbygdsverkets framtida roll främst torde bli att följa och främja regionalpolitiska hänsyn utifrån gles befolkningsstruktur inom sektorspolitiken men även att främja välfärdspol</w:t>
      </w:r>
      <w:r w:rsidRPr="00780485">
        <w:t>i</w:t>
      </w:r>
      <w:r w:rsidRPr="00780485">
        <w:t>tik i gles- och landsbygd. Länsstyrelsen ser framför allt vikten av att utveckla samverkan mellan ITPS och Glesbygdsverket för att kunna följa den regi</w:t>
      </w:r>
      <w:r w:rsidRPr="00780485">
        <w:t>o</w:t>
      </w:r>
      <w:r w:rsidRPr="00780485">
        <w:t>nalpolitiska utvecklingen ur ett helhe</w:t>
      </w:r>
      <w:r w:rsidRPr="00780485">
        <w:t>t</w:t>
      </w:r>
      <w:r w:rsidRPr="00780485">
        <w:t xml:space="preserve">sperspektiv. </w:t>
      </w:r>
    </w:p>
    <w:p w:rsidR="007A6E3D" w:rsidRPr="00780485" w:rsidRDefault="007A6E3D">
      <w:pPr>
        <w:pStyle w:val="Normaltindrag"/>
      </w:pPr>
      <w:r w:rsidRPr="00780485">
        <w:rPr>
          <w:i/>
        </w:rPr>
        <w:t>Länsstyrelsen i Norrbotten</w:t>
      </w:r>
      <w:r w:rsidRPr="00780485">
        <w:t xml:space="preserve"> ser uppgiften att verka för sektorssamordning av centrala statliga organ som mycket angelägen och ser gärna att denna verksamhet får en större tyngd. Vidare framför man att Glesbygdsverket skulle kunna ha en tydligare roll när det gäller kompetensutvecklingen för de handläggare som arbetar med landsbygdsu</w:t>
      </w:r>
      <w:r w:rsidRPr="00780485">
        <w:t>t</w:t>
      </w:r>
      <w:r w:rsidRPr="00780485">
        <w:t>veckling.</w:t>
      </w:r>
    </w:p>
    <w:p w:rsidR="007A6E3D" w:rsidRPr="00780485" w:rsidRDefault="007A6E3D">
      <w:pPr>
        <w:pStyle w:val="Normaltindrag"/>
      </w:pPr>
      <w:r w:rsidRPr="00780485">
        <w:rPr>
          <w:i/>
        </w:rPr>
        <w:t>Länsstyrelsen i Stockholm</w:t>
      </w:r>
      <w:r w:rsidRPr="00780485">
        <w:t xml:space="preserve"> anser att Glesbygdsverket bör avvecklas.</w:t>
      </w:r>
    </w:p>
    <w:p w:rsidR="007A6E3D" w:rsidRPr="00780485" w:rsidRDefault="007A6E3D">
      <w:pPr>
        <w:pStyle w:val="Normaltindrag"/>
      </w:pPr>
      <w:r w:rsidRPr="00780485">
        <w:t xml:space="preserve">Enligt styrelsen för </w:t>
      </w:r>
      <w:r w:rsidRPr="00780485">
        <w:rPr>
          <w:i/>
        </w:rPr>
        <w:t>Västra Götalandsregionen</w:t>
      </w:r>
      <w:r w:rsidRPr="00780485">
        <w:t xml:space="preserve"> bör översynen göras med inriktning mot att bättre integrera gles- och landsbygdsfrågorna i den öve</w:t>
      </w:r>
      <w:r w:rsidRPr="00780485">
        <w:t>r</w:t>
      </w:r>
      <w:r w:rsidRPr="00780485">
        <w:t>gripande tillväxt- och utvecklingspolitiken och mot att säkerställa en lokal och regional förankring av gles- och landsbygdspolitiska insatser.</w:t>
      </w:r>
    </w:p>
    <w:p w:rsidR="007A6E3D" w:rsidRPr="00780485" w:rsidRDefault="007A6E3D">
      <w:pPr>
        <w:pStyle w:val="Normaltindrag"/>
      </w:pPr>
      <w:r w:rsidRPr="00780485">
        <w:rPr>
          <w:i/>
        </w:rPr>
        <w:t>Landstingsförbundet</w:t>
      </w:r>
      <w:r w:rsidRPr="00780485">
        <w:t xml:space="preserve"> och </w:t>
      </w:r>
      <w:r w:rsidRPr="00780485">
        <w:rPr>
          <w:i/>
        </w:rPr>
        <w:t>Svenska Kommunförbundet</w:t>
      </w:r>
      <w:r w:rsidRPr="00780485">
        <w:t xml:space="preserve"> har lämnat ett g</w:t>
      </w:r>
      <w:r w:rsidRPr="00780485">
        <w:t>e</w:t>
      </w:r>
      <w:r w:rsidRPr="00780485">
        <w:t>mensamt svar. I svaret pekar man på den regionala och lokala nivåns ökande betydelse för tillväxt, utveckling och välfärd och vikten av att den föreslagna översynen tydligt tar fasta på denna utveckling och de nya förutsättningar som därmed skapas. Förbunden menar att de gles- och landsbygdspolitiska perspektiven måste bli en integrerad del av det alltmer kommunalt förankr</w:t>
      </w:r>
      <w:r w:rsidRPr="00780485">
        <w:t>a</w:t>
      </w:r>
      <w:r w:rsidRPr="00780485">
        <w:t>de lokala och regionala utvecklingsansv</w:t>
      </w:r>
      <w:r w:rsidRPr="00780485">
        <w:t>a</w:t>
      </w:r>
      <w:r w:rsidRPr="00780485">
        <w:t>ret.</w:t>
      </w:r>
    </w:p>
    <w:p w:rsidR="007A6E3D" w:rsidRPr="00780485" w:rsidRDefault="007A6E3D">
      <w:pPr>
        <w:pStyle w:val="Normaltindrag"/>
      </w:pPr>
      <w:r w:rsidRPr="00780485">
        <w:rPr>
          <w:i/>
        </w:rPr>
        <w:t>Kommunförbundet Jämtlandslän</w:t>
      </w:r>
      <w:r w:rsidRPr="00780485">
        <w:t xml:space="preserve"> och </w:t>
      </w:r>
      <w:r w:rsidRPr="00780485">
        <w:rPr>
          <w:i/>
        </w:rPr>
        <w:t>Skärgårdarnas riksförbund,</w:t>
      </w:r>
      <w:r w:rsidRPr="00780485">
        <w:t xml:space="preserve"> anser att Glesbygdsverket bör stärkas och få ett utökat up</w:t>
      </w:r>
      <w:r w:rsidRPr="00780485">
        <w:t>p</w:t>
      </w:r>
      <w:r w:rsidRPr="00780485">
        <w:t>drag.</w:t>
      </w:r>
    </w:p>
    <w:p w:rsidR="007A6E3D" w:rsidRPr="00780485" w:rsidRDefault="007A6E3D">
      <w:pPr>
        <w:pStyle w:val="Normaltindrag"/>
      </w:pPr>
      <w:r w:rsidRPr="00780485">
        <w:rPr>
          <w:i/>
        </w:rPr>
        <w:t>SmåKom</w:t>
      </w:r>
      <w:r w:rsidRPr="00780485">
        <w:t xml:space="preserve"> stödjer förslaget om en översyn men efterlyser en fördjupad analys av hur ett statligt organ kan möta efterfrågan av stöd i glesbygds- och landsbygdsutvecklingsfrågor ur de tre perspektiven: enskilda eller grupper av enskildas behov av stöd, kommunernas behov av stöd och den centrala st</w:t>
      </w:r>
      <w:r w:rsidRPr="00780485">
        <w:t>a</w:t>
      </w:r>
      <w:r w:rsidRPr="00780485">
        <w:t>tens behov.</w:t>
      </w:r>
    </w:p>
    <w:p w:rsidR="007A6E3D" w:rsidRPr="00780485" w:rsidRDefault="007A6E3D">
      <w:pPr>
        <w:pStyle w:val="Rubrik5"/>
        <w:rPr>
          <w:b/>
        </w:rPr>
      </w:pPr>
      <w:r w:rsidRPr="00780485">
        <w:rPr>
          <w:b/>
        </w:rPr>
        <w:t>Revisorerna</w:t>
      </w:r>
    </w:p>
    <w:p w:rsidR="007A6E3D" w:rsidRPr="00780485" w:rsidRDefault="007A6E3D">
      <w:r w:rsidRPr="00780485">
        <w:t>Efter det att revisorernas rapport publicerades har regeringen överlämnat en regionalpolitisk proposition till riksdagen (prop. 2001/02:4). I propositionen skriver regeringen att den avser att se över Glesbygdsverkets roll och up</w:t>
      </w:r>
      <w:r w:rsidRPr="00780485">
        <w:t>p</w:t>
      </w:r>
      <w:r w:rsidRPr="00780485">
        <w:t xml:space="preserve">gifter. Regeringen anger att den därefter har för avsikt att återkomma till riksdagen med förslag till hur Glesbygdsverkets verksamhet bör förändras för att bättre kunna stödja den nya politiken för regional utveckling. Som underlag för beslutet anges revisorernas rapport. </w:t>
      </w:r>
    </w:p>
    <w:p w:rsidR="007A6E3D" w:rsidRPr="00780485" w:rsidRDefault="007A6E3D">
      <w:pPr>
        <w:pStyle w:val="Normaltindrag"/>
      </w:pPr>
      <w:r w:rsidRPr="00780485">
        <w:t>Remissinstanserna stärker revisorernas slutsatser och förslag från grans</w:t>
      </w:r>
      <w:r w:rsidRPr="00780485">
        <w:t>k</w:t>
      </w:r>
      <w:r w:rsidRPr="00780485">
        <w:t>ningen om vilken inriktning en översyn av Glesbygdsverkets roll i regiona</w:t>
      </w:r>
      <w:r w:rsidRPr="00780485">
        <w:t>l</w:t>
      </w:r>
      <w:r w:rsidRPr="00780485">
        <w:t>politiken bör ha. Den i rapporten föreslagna översynen är bred och utgår från de problem som hänger samman med en gles befolkningsstruktur. Revisore</w:t>
      </w:r>
      <w:r w:rsidRPr="00780485">
        <w:t>r</w:t>
      </w:r>
      <w:r w:rsidRPr="00780485">
        <w:t>na ser inget tungt vägande skäl att i</w:t>
      </w:r>
      <w:r w:rsidRPr="00780485">
        <w:t>n</w:t>
      </w:r>
      <w:r w:rsidRPr="00780485">
        <w:t xml:space="preserve">skränka förslaget om en översyn. </w:t>
      </w:r>
    </w:p>
    <w:p w:rsidR="007A6E3D" w:rsidRPr="00780485" w:rsidRDefault="007A6E3D">
      <w:r w:rsidRPr="00780485">
        <w:t>Inriktningen på den aviserade översynen beskrivs inte närmare i den regi</w:t>
      </w:r>
      <w:r w:rsidRPr="00780485">
        <w:t>o</w:t>
      </w:r>
      <w:r w:rsidRPr="00780485">
        <w:t>nalpolitiska propositionen. Revisorerna föreslår att en översyn av Gle</w:t>
      </w:r>
      <w:r w:rsidRPr="00780485">
        <w:t>s</w:t>
      </w:r>
      <w:r w:rsidRPr="00780485">
        <w:t>bygdsverkets roll i regionalpolit</w:t>
      </w:r>
      <w:r w:rsidRPr="00780485">
        <w:t>i</w:t>
      </w:r>
      <w:r w:rsidRPr="00780485">
        <w:t>ken bör göras med följande inriktning:</w:t>
      </w:r>
    </w:p>
    <w:p w:rsidR="007A6E3D" w:rsidRPr="00780485" w:rsidRDefault="007A6E3D">
      <w:pPr>
        <w:numPr>
          <w:ilvl w:val="0"/>
          <w:numId w:val="158"/>
        </w:numPr>
        <w:tabs>
          <w:tab w:val="clear" w:pos="360"/>
        </w:tabs>
        <w:spacing w:before="80"/>
        <w:ind w:left="284" w:hanging="284"/>
      </w:pPr>
      <w:r w:rsidRPr="00780485">
        <w:t>Översynen bör genomföras med utgångspunkt i de regionalpolitiska problem som hänger samman med en gles befolkningsstruktur.</w:t>
      </w:r>
    </w:p>
    <w:p w:rsidR="007A6E3D" w:rsidRPr="00780485" w:rsidRDefault="007A6E3D">
      <w:pPr>
        <w:numPr>
          <w:ilvl w:val="0"/>
          <w:numId w:val="158"/>
        </w:numPr>
        <w:tabs>
          <w:tab w:val="clear" w:pos="360"/>
        </w:tabs>
        <w:spacing w:before="80"/>
        <w:ind w:left="284" w:hanging="284"/>
      </w:pPr>
      <w:r w:rsidRPr="00780485">
        <w:t>Översynen bör klargöra ansvarsfördelningen mellan myndigheterna inom den regionalpolitiska myndighetsorganisationen för att dels följa upp, dels främja den regionala välfärds- och tillväxtpolitiken ur ett glesbygds- och landsbygdsperspe</w:t>
      </w:r>
      <w:r w:rsidRPr="00780485">
        <w:t>k</w:t>
      </w:r>
      <w:r w:rsidRPr="00780485">
        <w:t>tiv.</w:t>
      </w:r>
    </w:p>
    <w:p w:rsidR="007A6E3D" w:rsidRPr="00780485" w:rsidRDefault="007A6E3D">
      <w:pPr>
        <w:numPr>
          <w:ilvl w:val="0"/>
          <w:numId w:val="158"/>
        </w:numPr>
        <w:tabs>
          <w:tab w:val="clear" w:pos="360"/>
        </w:tabs>
        <w:spacing w:before="80"/>
        <w:ind w:left="284" w:hanging="284"/>
      </w:pPr>
      <w:r w:rsidRPr="00780485">
        <w:t>Översynen bör klargöra på vilket sätt den centrala regionalpolitiska my</w:t>
      </w:r>
      <w:r w:rsidRPr="00780485">
        <w:t>n</w:t>
      </w:r>
      <w:r w:rsidRPr="00780485">
        <w:t>dighetsorganisationen bör stödja kommuner, landsting, länsstyrelser, självstyrelseorgan, andra regionala och centrala myndigheter och övriga organ som har betydelse för gles- och landsbygdens utveckling.</w:t>
      </w:r>
    </w:p>
    <w:p w:rsidR="007A6E3D" w:rsidRPr="00780485" w:rsidRDefault="007A6E3D">
      <w:pPr>
        <w:pStyle w:val="Rubrik2"/>
      </w:pPr>
      <w:bookmarkStart w:id="8" w:name="_Toc526750779"/>
      <w:bookmarkStart w:id="9" w:name="_Toc526845418"/>
      <w:bookmarkStart w:id="10" w:name="_Toc526845741"/>
      <w:r w:rsidRPr="00780485">
        <w:t>Förtydliga geografisk avgränsning av gles- och landsbygd</w:t>
      </w:r>
      <w:bookmarkEnd w:id="8"/>
      <w:bookmarkEnd w:id="9"/>
      <w:bookmarkEnd w:id="10"/>
    </w:p>
    <w:p w:rsidR="007A6E3D" w:rsidRPr="00780485" w:rsidRDefault="007A6E3D">
      <w:pPr>
        <w:rPr>
          <w:b/>
        </w:rPr>
      </w:pPr>
      <w:r w:rsidRPr="00780485">
        <w:rPr>
          <w:b/>
        </w:rPr>
        <w:t>Rapporten</w:t>
      </w:r>
    </w:p>
    <w:p w:rsidR="007A6E3D" w:rsidRPr="00780485" w:rsidRDefault="007A6E3D">
      <w:r w:rsidRPr="00780485">
        <w:t>Revisorerna föreslår att regeringen bör förtydliga den geografiska avgrän</w:t>
      </w:r>
      <w:r w:rsidRPr="00780485">
        <w:t>s</w:t>
      </w:r>
      <w:r w:rsidRPr="00780485">
        <w:t>ningen av Glesbygdsverkets uppdrag. I rapporten redovisas att offentliga organ för närvarande använder fem olika definitioner för gles- och land</w:t>
      </w:r>
      <w:r w:rsidRPr="00780485">
        <w:t>s</w:t>
      </w:r>
      <w:r w:rsidRPr="00780485">
        <w:t>bygd. Andelen boende i gles- och landsbygd varierar mellan 7 % (Svenska Kommunförbundet) och 24 % (Glesbygdsverket). Orsaken till de många definitionerna är att den information som tas fram ska användas i olika sy</w:t>
      </w:r>
      <w:r w:rsidRPr="00780485">
        <w:t>f</w:t>
      </w:r>
      <w:r w:rsidRPr="00780485">
        <w:t xml:space="preserve">ten. </w:t>
      </w:r>
    </w:p>
    <w:p w:rsidR="007A6E3D" w:rsidRPr="00780485" w:rsidRDefault="007A6E3D">
      <w:pPr>
        <w:pStyle w:val="Normaltindrag"/>
      </w:pPr>
      <w:r w:rsidRPr="00780485">
        <w:t>Glesbygdsverket har hämtat sin definition från förordningen om stöd till kommersiell service. Som tätortsnära landsbygd räknar Glesbygdsverket ett</w:t>
      </w:r>
      <w:r w:rsidRPr="00780485">
        <w:t xml:space="preserve"> område med 5 till 45 minuters pendlingsavstånd med bil till tätorter med mer än 3 000 invånare. Huvuddelen av de ca 2 miljoner människor som tillhör landsbygdsbefolkningen bor runt tätorter i södra Sverige. Till glesbygden hör de områden som har mer än 45 minuters pendlingsavstånd till motsvarande tätorter. Glesbygdsbefolkningen uppgår till knappt 200 000 personer. H</w:t>
      </w:r>
      <w:r w:rsidRPr="00780485">
        <w:t>u</w:t>
      </w:r>
      <w:r w:rsidRPr="00780485">
        <w:t>vuddelen bor i skogslänens inre delar. Enligt Glesbygdsverkets instruktion ska myndigheten verka för goda levnadsförhållanden och utvecklings</w:t>
      </w:r>
      <w:r w:rsidRPr="00780485">
        <w:t>möjli</w:t>
      </w:r>
      <w:r w:rsidRPr="00780485">
        <w:t>g</w:t>
      </w:r>
      <w:r w:rsidRPr="00780485">
        <w:t>heter för glesbygds- och landsbygdsbefolkningen i olika delar av landet med tyngdpunkten i skolgslänens inre samt i skärgårdsomr</w:t>
      </w:r>
      <w:r w:rsidRPr="00780485">
        <w:t>å</w:t>
      </w:r>
      <w:r w:rsidRPr="00780485">
        <w:t>den.</w:t>
      </w:r>
    </w:p>
    <w:p w:rsidR="007A6E3D" w:rsidRPr="00780485" w:rsidRDefault="007A6E3D">
      <w:pPr>
        <w:pStyle w:val="Normaltindrag"/>
      </w:pPr>
      <w:r w:rsidRPr="00780485">
        <w:t>I rapporten skriver revisorerna, med anledning av Glesbygdsverkets def</w:t>
      </w:r>
      <w:r w:rsidRPr="00780485">
        <w:t>i</w:t>
      </w:r>
      <w:r w:rsidRPr="00780485">
        <w:t>nition av gles- och landsbygd, att det framför allt är intressant att följa hur befolkningen rör sig över tätortsgränser till eller ifrån glesbygd och land</w:t>
      </w:r>
      <w:r w:rsidRPr="00780485">
        <w:t>s</w:t>
      </w:r>
      <w:r w:rsidRPr="00780485">
        <w:t>bygd ur ett samhällsplaneringsperspektiv, samt att det ur ett välfärdsperspe</w:t>
      </w:r>
      <w:r w:rsidRPr="00780485">
        <w:t>k</w:t>
      </w:r>
      <w:r w:rsidRPr="00780485">
        <w:t>tiv är intressant att följa hur många människor som bor utanför de servic</w:t>
      </w:r>
      <w:r w:rsidRPr="00780485">
        <w:t>e</w:t>
      </w:r>
      <w:r w:rsidRPr="00780485">
        <w:t>centrum som en tätort utgör. Revisorerna anser dock att det ur ett tillväx</w:t>
      </w:r>
      <w:r w:rsidRPr="00780485">
        <w:t>t</w:t>
      </w:r>
      <w:r w:rsidRPr="00780485">
        <w:t>perspektiv inte är lika motiverat att skilja på tätortsbefolkningen och den som bor på pendlingsavstånd uta</w:t>
      </w:r>
      <w:r w:rsidRPr="00780485">
        <w:t>n</w:t>
      </w:r>
      <w:r w:rsidRPr="00780485">
        <w:t xml:space="preserve">för tätorten. </w:t>
      </w:r>
    </w:p>
    <w:p w:rsidR="007A6E3D" w:rsidRPr="00780485" w:rsidRDefault="007A6E3D">
      <w:pPr>
        <w:pStyle w:val="Normaltindrag"/>
      </w:pPr>
      <w:r w:rsidRPr="00780485">
        <w:t>Reviso</w:t>
      </w:r>
      <w:r w:rsidRPr="00780485">
        <w:t>rerna anser vidare att Glesbygdsverkets definition av gles- och landsbygdsbefolkningen är alltför vid ur ett regionalpolitiskt perspektiv. Detta grundar sig bl.a. på slutsatsen att det är en mindre del av de 2 miljoner människorna på landsbygden som upplever sådana brister i tillgången på service och annan välfärd att det motiverar reg</w:t>
      </w:r>
      <w:r w:rsidRPr="00780485">
        <w:t>i</w:t>
      </w:r>
      <w:r w:rsidRPr="00780485">
        <w:t xml:space="preserve">onalpolitiska insatser. </w:t>
      </w:r>
    </w:p>
    <w:p w:rsidR="007A6E3D" w:rsidRPr="00780485" w:rsidRDefault="007A6E3D">
      <w:pPr>
        <w:pStyle w:val="Rubrik5"/>
        <w:rPr>
          <w:b/>
        </w:rPr>
      </w:pPr>
      <w:r w:rsidRPr="00780485">
        <w:rPr>
          <w:b/>
        </w:rPr>
        <w:t>Remissinstanserna</w:t>
      </w:r>
    </w:p>
    <w:p w:rsidR="007A6E3D" w:rsidRPr="00780485" w:rsidRDefault="007A6E3D">
      <w:r w:rsidRPr="00780485">
        <w:t>Glesbygdsverket stöder inte revisorernas uppfattning att den nuvarande def</w:t>
      </w:r>
      <w:r w:rsidRPr="00780485">
        <w:t>i</w:t>
      </w:r>
      <w:r w:rsidRPr="00780485">
        <w:t>nitionen av gles- och landsbygdsbefolkningen är alltför vid ur ett regiona</w:t>
      </w:r>
      <w:r w:rsidRPr="00780485">
        <w:t>l</w:t>
      </w:r>
      <w:r w:rsidRPr="00780485">
        <w:t>politiskt perspektiv. Verket menar att en snävare geografisk definition kra</w:t>
      </w:r>
      <w:r w:rsidRPr="00780485">
        <w:t>f</w:t>
      </w:r>
      <w:r w:rsidRPr="00780485">
        <w:t>tigt skulle begränsa möjligheten att agera på system- och strukturnivå där en väsentlig del av verkets insatser görs i dag. Verket förespråkar att den nuv</w:t>
      </w:r>
      <w:r w:rsidRPr="00780485">
        <w:t>a</w:t>
      </w:r>
      <w:r w:rsidRPr="00780485">
        <w:t>rande geografiska prioriteringen, som innebär att tyngdpunkten på verkets insatser ska inriktas mot skogslänens inre delar och skärgå</w:t>
      </w:r>
      <w:r w:rsidRPr="00780485">
        <w:t>r</w:t>
      </w:r>
      <w:r w:rsidRPr="00780485">
        <w:t xml:space="preserve">den, tas bort. </w:t>
      </w:r>
    </w:p>
    <w:p w:rsidR="007A6E3D" w:rsidRPr="00780485" w:rsidRDefault="007A6E3D">
      <w:pPr>
        <w:pStyle w:val="Normaltindrag"/>
      </w:pPr>
      <w:r w:rsidRPr="00780485">
        <w:t>Glesbygdsverket anser att revisorernas bedömning att de</w:t>
      </w:r>
      <w:r w:rsidRPr="00780485">
        <w:t>t är intressant att göra analyser med en uppdelning av landsbygd och tätort ur ett välfärdsper</w:t>
      </w:r>
      <w:r w:rsidRPr="00780485">
        <w:t>s</w:t>
      </w:r>
      <w:r w:rsidRPr="00780485">
        <w:t xml:space="preserve">pektiv men att det inte är lika motiverat ur ett tillväxtperspektiv speglar ett mycket förenklat sätt att se på sambandet mellan tillväxt och välfärdspolitik. </w:t>
      </w:r>
    </w:p>
    <w:p w:rsidR="007A6E3D" w:rsidRPr="00780485" w:rsidRDefault="007A6E3D">
      <w:pPr>
        <w:pStyle w:val="Normaltindrag"/>
      </w:pPr>
      <w:r w:rsidRPr="00780485">
        <w:t>Verket vänder sig vidare mot det resonemang som förs i rapporten om att Glesbygdsverket genom att välja en avgränsning där kommunernas centra</w:t>
      </w:r>
      <w:r w:rsidRPr="00780485">
        <w:t>l</w:t>
      </w:r>
      <w:r w:rsidRPr="00780485">
        <w:t>orter inte finns med (tätorter över 3 000 invånare) sållar bort värdefull info</w:t>
      </w:r>
      <w:r w:rsidRPr="00780485">
        <w:t>r</w:t>
      </w:r>
      <w:r w:rsidRPr="00780485">
        <w:t>mation om områdets försörjningskraft. Glesbygdsverket skriver att det är väl medvetet om hur inomregionala och lokala strukturer påverkar varandra. Glesbygdsverket menar att det genom att göra analyser som separerar cen</w:t>
      </w:r>
      <w:r w:rsidRPr="00780485">
        <w:t>t</w:t>
      </w:r>
      <w:r w:rsidRPr="00780485">
        <w:t>ralorterna från landsbygdsdelarna gör det möjligt att också se och visa u</w:t>
      </w:r>
      <w:r w:rsidRPr="00780485">
        <w:t>t</w:t>
      </w:r>
      <w:r w:rsidRPr="00780485">
        <w:t>vecklingstendenser som annars blir osynliggjorda. Verket menar att det finns mycket starka skäl för att göra denna typ av anal</w:t>
      </w:r>
      <w:r w:rsidRPr="00780485">
        <w:t>y</w:t>
      </w:r>
      <w:r w:rsidRPr="00780485">
        <w:t>ser.</w:t>
      </w:r>
    </w:p>
    <w:p w:rsidR="007A6E3D" w:rsidRPr="00780485" w:rsidRDefault="007A6E3D">
      <w:pPr>
        <w:pStyle w:val="Normaltindrag"/>
      </w:pPr>
      <w:r w:rsidRPr="00780485">
        <w:t>Glesby</w:t>
      </w:r>
      <w:r w:rsidRPr="00780485">
        <w:t>gdsverket instämmer i revisorernas bedömning att det är stora skil</w:t>
      </w:r>
      <w:r w:rsidRPr="00780485">
        <w:t>l</w:t>
      </w:r>
      <w:r w:rsidRPr="00780485">
        <w:t>nader i behoven av stöd och insatser inom vad verket definierar som land</w:t>
      </w:r>
      <w:r w:rsidRPr="00780485">
        <w:t>s</w:t>
      </w:r>
      <w:r w:rsidRPr="00780485">
        <w:t>bygd och att detta är grunden för varför Glesbygdsverket väljer att i många analyser göra en uppdelning mellan landsbygd och glesbygd i ett antal ge</w:t>
      </w:r>
      <w:r w:rsidRPr="00780485">
        <w:t>o</w:t>
      </w:r>
      <w:r w:rsidRPr="00780485">
        <w:t>grafiska reg</w:t>
      </w:r>
      <w:r w:rsidRPr="00780485">
        <w:t>i</w:t>
      </w:r>
      <w:r w:rsidRPr="00780485">
        <w:t>oner.</w:t>
      </w:r>
    </w:p>
    <w:p w:rsidR="007A6E3D" w:rsidRPr="00780485" w:rsidRDefault="007A6E3D">
      <w:pPr>
        <w:pStyle w:val="Normaltindrag"/>
      </w:pPr>
      <w:r w:rsidRPr="00780485">
        <w:t xml:space="preserve">Enligt </w:t>
      </w:r>
      <w:r w:rsidRPr="00780485">
        <w:rPr>
          <w:i/>
        </w:rPr>
        <w:t>Konsumentverkets</w:t>
      </w:r>
      <w:r w:rsidRPr="00780485">
        <w:t xml:space="preserve"> mening finns det inte skäl för en geografisk a</w:t>
      </w:r>
      <w:r w:rsidRPr="00780485">
        <w:t>v</w:t>
      </w:r>
      <w:r w:rsidRPr="00780485">
        <w:t>gränsning av Glesbygdsverkets uppdrag eftersom det skulle medföra att den nationella överblicken över gles- och landsbygdsbefolkningens villkor kra</w:t>
      </w:r>
      <w:r w:rsidRPr="00780485">
        <w:t>f</w:t>
      </w:r>
      <w:r w:rsidRPr="00780485">
        <w:t xml:space="preserve">tigt begränsas. </w:t>
      </w:r>
    </w:p>
    <w:p w:rsidR="007A6E3D" w:rsidRPr="00780485" w:rsidRDefault="007A6E3D">
      <w:pPr>
        <w:pStyle w:val="Normaltindrag"/>
      </w:pPr>
      <w:r w:rsidRPr="00780485">
        <w:rPr>
          <w:i/>
        </w:rPr>
        <w:t>ITPS</w:t>
      </w:r>
      <w:r w:rsidRPr="00780485">
        <w:t xml:space="preserve"> uppmärksammar att antalet boende i gles- och landsbygd för närv</w:t>
      </w:r>
      <w:r w:rsidRPr="00780485">
        <w:t>a</w:t>
      </w:r>
      <w:r w:rsidRPr="00780485">
        <w:t>rande varierar mellan 630 000 personer och 2 600 000 personer beroende på vilken definition som används. Myndigheten skriver att den politiska disku</w:t>
      </w:r>
      <w:r w:rsidRPr="00780485">
        <w:t>s</w:t>
      </w:r>
      <w:r w:rsidRPr="00780485">
        <w:t>sionen om glesbygdsfrågor lätt blir förvirrad när olika avgränsningar och definitioner används av olika myndigheter. ITPS anser att olika myndigh</w:t>
      </w:r>
      <w:r w:rsidRPr="00780485">
        <w:t>e</w:t>
      </w:r>
      <w:r w:rsidRPr="00780485">
        <w:t xml:space="preserve">ters definitioner av vad som är glesbygd respektive landsbygd bör göras mer enhetliga. </w:t>
      </w:r>
    </w:p>
    <w:p w:rsidR="007A6E3D" w:rsidRPr="00780485" w:rsidRDefault="007A6E3D">
      <w:pPr>
        <w:pStyle w:val="Normaltindrag"/>
      </w:pPr>
      <w:r w:rsidRPr="00780485">
        <w:t>Institutet skriver vidare att begrepp som gles- och landsbygd är</w:t>
      </w:r>
      <w:r w:rsidRPr="00780485">
        <w:t xml:space="preserve"> så pass allmänna att de inte kan avse områden som i alla avseenden är lika. Det finns därför exempel på landsbygd med både positiv och negativ utveckling i olika välfärdsavseenden. ITPS pekar på möjligheten att som alternativ till att ha gles- och landsbygd som idémässig grund i stället arbeta med utgångspunkt i lokala arbetsmarknader. I praktiken måste många problem som hänger sa</w:t>
      </w:r>
      <w:r w:rsidRPr="00780485">
        <w:t>m</w:t>
      </w:r>
      <w:r w:rsidRPr="00780485">
        <w:t>man med gles bebyggelse och litet befolkningsunderlag lösas i kommunernas centralorter. Flertalet planeringsåtgärder för glesby</w:t>
      </w:r>
      <w:r w:rsidRPr="00780485">
        <w:t>gdens befolkning måste dessutom harm</w:t>
      </w:r>
      <w:r w:rsidRPr="00780485">
        <w:t>o</w:t>
      </w:r>
      <w:r w:rsidRPr="00780485">
        <w:t xml:space="preserve">niseras med kommunernas övriga initiativ. </w:t>
      </w:r>
    </w:p>
    <w:p w:rsidR="007A6E3D" w:rsidRPr="00780485" w:rsidRDefault="007A6E3D">
      <w:pPr>
        <w:pStyle w:val="Normaltindrag"/>
      </w:pPr>
      <w:r w:rsidRPr="00780485">
        <w:t>Med anledning av revisorernas förslag om att förtydliga den geografiska avgränsningen av Glesbygdsverkets uppdrag skriver ITPS att om en översyn av Glesbygdsverket resulterar i att verket även fortsättningsvis ska engagera sig i både tillväxtpolitiska frågor och fördelningspolitiska frågor bör verkets omsorg avse svaga lokala arbetsmarknader i stället för geografiska ytor som definieras efter bebygge</w:t>
      </w:r>
      <w:r w:rsidRPr="00780485">
        <w:t>l</w:t>
      </w:r>
      <w:r w:rsidRPr="00780485">
        <w:t xml:space="preserve">semönster. </w:t>
      </w:r>
    </w:p>
    <w:p w:rsidR="007A6E3D" w:rsidRPr="00780485" w:rsidRDefault="007A6E3D">
      <w:pPr>
        <w:pStyle w:val="Normaltindrag"/>
      </w:pPr>
      <w:r w:rsidRPr="00780485">
        <w:t>Leder däremot en översyn, vilket ITPS förordar, till att Glesbygdsverkets uppgifter avgränsas till insatser som är fördelningspolitiskt motiverade bör de specifika problem som berör hushållens välbefinnande åtgärdas i de delar av landet där de förekommer. Uppdraget bör i det fallet inte avse en viss del av landet utan vara rikstäckande.</w:t>
      </w:r>
    </w:p>
    <w:p w:rsidR="007A6E3D" w:rsidRPr="00780485" w:rsidRDefault="007A6E3D">
      <w:pPr>
        <w:pStyle w:val="Normaltindrag"/>
      </w:pPr>
      <w:r w:rsidRPr="00780485">
        <w:rPr>
          <w:i/>
        </w:rPr>
        <w:t>NUTEK</w:t>
      </w:r>
      <w:r w:rsidRPr="00780485">
        <w:t xml:space="preserve"> förordar regionala arbetsmarknader som bas när det gäller anal</w:t>
      </w:r>
      <w:r w:rsidRPr="00780485">
        <w:t>y</w:t>
      </w:r>
      <w:r w:rsidRPr="00780485">
        <w:t>ser av tillväxten. Verket skriver att studier av förhållandena inom land</w:t>
      </w:r>
      <w:r w:rsidRPr="00780485">
        <w:t>s</w:t>
      </w:r>
      <w:r w:rsidRPr="00780485">
        <w:t>bygds- eller glesbygdsområden i tillväxtsammanhang blir av underordnat intresse. Glesbygdsverkets metod med en indelning av Sveriges geografi i s.k. kvadratrutor menar verket ger en intressant uppfattning om var männ</w:t>
      </w:r>
      <w:r w:rsidRPr="00780485">
        <w:t>i</w:t>
      </w:r>
      <w:r w:rsidRPr="00780485">
        <w:t>skor bor men den fungerar mindre bra oper</w:t>
      </w:r>
      <w:r w:rsidRPr="00780485">
        <w:t>a</w:t>
      </w:r>
      <w:r w:rsidRPr="00780485">
        <w:t xml:space="preserve">tivt. </w:t>
      </w:r>
    </w:p>
    <w:p w:rsidR="007A6E3D" w:rsidRPr="00780485" w:rsidRDefault="007A6E3D">
      <w:pPr>
        <w:pStyle w:val="Normaltindrag"/>
      </w:pPr>
      <w:r w:rsidRPr="00780485">
        <w:rPr>
          <w:i/>
        </w:rPr>
        <w:t>Länsstyrelsen i Kronobergs län</w:t>
      </w:r>
      <w:r w:rsidRPr="00780485">
        <w:t xml:space="preserve"> anser att Glesbygdsverkets insatser i alltför hög grad har varit koncentrerade till den norra delen av Sverige. </w:t>
      </w:r>
    </w:p>
    <w:p w:rsidR="007A6E3D" w:rsidRPr="00780485" w:rsidRDefault="007A6E3D">
      <w:pPr>
        <w:pStyle w:val="Normaltindrag"/>
      </w:pPr>
      <w:r w:rsidRPr="00780485">
        <w:rPr>
          <w:i/>
        </w:rPr>
        <w:t>Länsstyrelsen i Norrbottens län</w:t>
      </w:r>
      <w:r w:rsidRPr="00780485">
        <w:t xml:space="preserve"> anser det angeläget att närmare definiera begreppet gles- och landsbygdsbefolkning och instämmer i revisorernas uppfattning att en alltför bred målgrupp minskar möjligheterna att fokusera på de regionalpolitiska problem som uppkommer till följd av en gles befol</w:t>
      </w:r>
      <w:r w:rsidRPr="00780485">
        <w:t>k</w:t>
      </w:r>
      <w:r w:rsidRPr="00780485">
        <w:t>ningsstruktur.</w:t>
      </w:r>
    </w:p>
    <w:p w:rsidR="007A6E3D" w:rsidRPr="00780485" w:rsidRDefault="007A6E3D">
      <w:pPr>
        <w:pStyle w:val="Rubrik5"/>
        <w:rPr>
          <w:b/>
        </w:rPr>
      </w:pPr>
      <w:r w:rsidRPr="00780485">
        <w:rPr>
          <w:b/>
        </w:rPr>
        <w:t>Revisorerna</w:t>
      </w:r>
    </w:p>
    <w:p w:rsidR="007A6E3D" w:rsidRPr="00780485" w:rsidRDefault="007A6E3D">
      <w:pPr>
        <w:shd w:val="clear" w:color="auto" w:fill="FFFFFF"/>
        <w:rPr>
          <w:shd w:val="clear" w:color="auto" w:fill="FFFFFF"/>
        </w:rPr>
      </w:pPr>
      <w:r w:rsidRPr="00780485">
        <w:t>Revisorerna vidhåller sin bedömning att det framför allt är intressant att följa hur befolkningen rör sig över tätortsgränser till eller ifrån glesbygd och landsbygd ur ett samhällsplaneringsperspektiv. Revisorerna anser vidare att det är intressant att skilja på människor som bor i och utanför tätorter ur ett välfärdsperspektiv men att detta inte är lika motiverat ur ett tillväxtperspe</w:t>
      </w:r>
      <w:r w:rsidRPr="00780485">
        <w:t>k</w:t>
      </w:r>
      <w:r w:rsidRPr="00780485">
        <w:t>tiv.</w:t>
      </w:r>
    </w:p>
    <w:p w:rsidR="007A6E3D" w:rsidRPr="00780485" w:rsidRDefault="007A6E3D">
      <w:pPr>
        <w:pStyle w:val="Normaltindrag"/>
        <w:rPr>
          <w:shd w:val="clear" w:color="auto" w:fill="FFFFFF"/>
        </w:rPr>
      </w:pPr>
      <w:r w:rsidRPr="00780485">
        <w:rPr>
          <w:shd w:val="clear" w:color="auto" w:fill="FFFFFF"/>
        </w:rPr>
        <w:t xml:space="preserve">Revisorerna anser att frågan om vilken gles- och landsbygd som bör vara föremål för särskilda myndighetsinsatser bör behandlas i samband med den föreslagna översynen. Det är naturligt att den </w:t>
      </w:r>
      <w:r w:rsidRPr="00780485">
        <w:t xml:space="preserve">geografiska inriktningen utgår från den uppgift som en glesbygdsmyndighet ges i uppdrag att utföra. </w:t>
      </w:r>
      <w:r w:rsidRPr="00780485">
        <w:rPr>
          <w:shd w:val="clear" w:color="auto" w:fill="FFFFFF"/>
        </w:rPr>
        <w:t>Rev</w:t>
      </w:r>
      <w:r w:rsidRPr="00780485">
        <w:rPr>
          <w:shd w:val="clear" w:color="auto" w:fill="FFFFFF"/>
        </w:rPr>
        <w:t>i</w:t>
      </w:r>
      <w:r w:rsidRPr="00780485">
        <w:rPr>
          <w:shd w:val="clear" w:color="auto" w:fill="FFFFFF"/>
        </w:rPr>
        <w:t>sorerna ser inget hinder i att en glesbygdsmyndighet ges ett landsomfattande uppdrag. Uppdraget bör dock vara avgränsat mot glesbygds- och land</w:t>
      </w:r>
      <w:r w:rsidRPr="00780485">
        <w:rPr>
          <w:shd w:val="clear" w:color="auto" w:fill="FFFFFF"/>
        </w:rPr>
        <w:t>s</w:t>
      </w:r>
      <w:r w:rsidRPr="00780485">
        <w:rPr>
          <w:shd w:val="clear" w:color="auto" w:fill="FFFFFF"/>
        </w:rPr>
        <w:t xml:space="preserve">bygdsområden som präglas av regionalpolitiska problem. </w:t>
      </w:r>
    </w:p>
    <w:p w:rsidR="007A6E3D" w:rsidRPr="00780485" w:rsidRDefault="007A6E3D">
      <w:pPr>
        <w:rPr>
          <w:shd w:val="clear" w:color="auto" w:fill="FFFFFF"/>
        </w:rPr>
      </w:pPr>
      <w:r w:rsidRPr="00780485">
        <w:t xml:space="preserve">Revisorerna föreslår att frågan om </w:t>
      </w:r>
      <w:r w:rsidRPr="00780485">
        <w:rPr>
          <w:shd w:val="clear" w:color="auto" w:fill="FFFFFF"/>
        </w:rPr>
        <w:t>vilken gles- och landsbygd som bör vara föremål för särskilda myndighetsinsatser tas upp i den föreslagna översynen av Glesbygdsve</w:t>
      </w:r>
      <w:r w:rsidRPr="00780485">
        <w:rPr>
          <w:shd w:val="clear" w:color="auto" w:fill="FFFFFF"/>
        </w:rPr>
        <w:t>r</w:t>
      </w:r>
      <w:r w:rsidRPr="00780485">
        <w:rPr>
          <w:shd w:val="clear" w:color="auto" w:fill="FFFFFF"/>
        </w:rPr>
        <w:t>kets roll i regionalpolitiken.</w:t>
      </w:r>
    </w:p>
    <w:p w:rsidR="007A6E3D" w:rsidRPr="00780485" w:rsidRDefault="007A6E3D">
      <w:pPr>
        <w:pStyle w:val="Rubrik2"/>
      </w:pPr>
      <w:bookmarkStart w:id="11" w:name="_Toc526750780"/>
      <w:bookmarkStart w:id="12" w:name="_Toc526845419"/>
      <w:bookmarkStart w:id="13" w:name="_Toc526845742"/>
      <w:r w:rsidRPr="00780485">
        <w:t>Ansvarsfördelning rörande stöd till kommersiell service</w:t>
      </w:r>
      <w:bookmarkEnd w:id="11"/>
      <w:bookmarkEnd w:id="12"/>
      <w:bookmarkEnd w:id="13"/>
    </w:p>
    <w:p w:rsidR="007A6E3D" w:rsidRPr="00780485" w:rsidRDefault="007A6E3D">
      <w:pPr>
        <w:rPr>
          <w:b/>
        </w:rPr>
      </w:pPr>
      <w:r w:rsidRPr="00780485">
        <w:rPr>
          <w:b/>
        </w:rPr>
        <w:t>Rapporten</w:t>
      </w:r>
    </w:p>
    <w:p w:rsidR="007A6E3D" w:rsidRPr="00780485" w:rsidRDefault="007A6E3D">
      <w:r w:rsidRPr="00780485">
        <w:t>I rapporten redovisas att både Glesbygdsverket och Konsumentverket har regeringens uppdrag att redovisa utvecklingen av kommersiell service. Ko</w:t>
      </w:r>
      <w:r w:rsidRPr="00780485">
        <w:t>n</w:t>
      </w:r>
      <w:r w:rsidRPr="00780485">
        <w:t>sumentverket har dessutom i uppdrag att redovisa vilka effekter det statliga stödet till kommersiell service har haft på hushållens varuförsörjningssit</w:t>
      </w:r>
      <w:r w:rsidRPr="00780485">
        <w:t>u</w:t>
      </w:r>
      <w:r w:rsidRPr="00780485">
        <w:t>tion. Vidare har NUTEK regeringens uppdrag att sammanställa en ekon</w:t>
      </w:r>
      <w:r w:rsidRPr="00780485">
        <w:t>o</w:t>
      </w:r>
      <w:r w:rsidRPr="00780485">
        <w:t>misk uppföljning av länsstyrelserna och självstyrelseorganens fattade beslut om stöd till kommersiell service. Den regionalpolitiska utredningen från 2000 konstaterade att det råder en viss otydlighet om vilken myndighet som bär huvudansvaret för utvecklingsinsatser gällande stöd till komme</w:t>
      </w:r>
      <w:r w:rsidRPr="00780485">
        <w:t xml:space="preserve">rsiell service. I rapporten instämmer revisorerna i denna bedömning och anser att regeringen bör renodla ansvaret för utvecklings- och uppföljningsinsatser av stödet till kommersiell service. </w:t>
      </w:r>
    </w:p>
    <w:p w:rsidR="007A6E3D" w:rsidRPr="00780485" w:rsidRDefault="007A6E3D">
      <w:pPr>
        <w:pStyle w:val="Rubrik5"/>
        <w:rPr>
          <w:b/>
        </w:rPr>
      </w:pPr>
      <w:r w:rsidRPr="00780485">
        <w:rPr>
          <w:b/>
        </w:rPr>
        <w:t>Remissinstanserna</w:t>
      </w:r>
    </w:p>
    <w:p w:rsidR="007A6E3D" w:rsidRPr="00780485" w:rsidRDefault="007A6E3D">
      <w:r w:rsidRPr="00780485">
        <w:t xml:space="preserve">Varken </w:t>
      </w:r>
      <w:r w:rsidRPr="00780485">
        <w:rPr>
          <w:i/>
        </w:rPr>
        <w:t>Glesbygdsverket</w:t>
      </w:r>
      <w:r w:rsidRPr="00780485">
        <w:t xml:space="preserve"> eller </w:t>
      </w:r>
      <w:r w:rsidRPr="00780485">
        <w:rPr>
          <w:i/>
        </w:rPr>
        <w:t>Konsumentverket</w:t>
      </w:r>
      <w:r w:rsidRPr="00780485">
        <w:t xml:space="preserve"> som är direkt berörda av förslaget tar ställning till revisorernas förslag i sitt remissvar. De båda verken menar dock att ansvaret för utvecklings- och uppföljningsinsatser av stödet till kommersiell service i dag åvilar Konsumentverket och att Glesbygdsve</w:t>
      </w:r>
      <w:r w:rsidRPr="00780485">
        <w:t>r</w:t>
      </w:r>
      <w:r w:rsidRPr="00780485">
        <w:t>kets insatser inom serviceområdet har en betydligt bredare ansats än bara det statliga stödet till kommersiell service. Glesbygdsverket påpekar att deras insatser inom serviceområdet omfattar betydligt fler servicesl</w:t>
      </w:r>
      <w:r w:rsidRPr="00780485">
        <w:t>ag än bara detaljhandel och att de även inbegriper frågor som t.ex. tillgänglighetsfrågor och servicesa</w:t>
      </w:r>
      <w:r w:rsidRPr="00780485">
        <w:t>m</w:t>
      </w:r>
      <w:r w:rsidRPr="00780485">
        <w:t>ordning.</w:t>
      </w:r>
    </w:p>
    <w:p w:rsidR="007A6E3D" w:rsidRPr="00780485" w:rsidRDefault="007A6E3D">
      <w:pPr>
        <w:pStyle w:val="Normaltindrag"/>
      </w:pPr>
      <w:r w:rsidRPr="00780485">
        <w:t>Konsumentverket skriver att det under våren 2001 fick i uppdrag av reg</w:t>
      </w:r>
      <w:r w:rsidRPr="00780485">
        <w:t>e</w:t>
      </w:r>
      <w:r w:rsidRPr="00780485">
        <w:t>ringen att förbereda genomförandet av ett nationellt kompetens- och utvec</w:t>
      </w:r>
      <w:r w:rsidRPr="00780485">
        <w:t>k</w:t>
      </w:r>
      <w:r w:rsidRPr="00780485">
        <w:t>lingsprogram riktat till landets lanthandlare. Verket menar att myndighetens roll inom området ligger i linje med den regionalpolitiska kommitténs förslag om att verket ska få ett samlat ansvar att utveckla och testa nya lösningar när det gäller kommersiell service.</w:t>
      </w:r>
    </w:p>
    <w:p w:rsidR="007A6E3D" w:rsidRPr="00780485" w:rsidRDefault="007A6E3D">
      <w:pPr>
        <w:pStyle w:val="Normaltindrag"/>
      </w:pPr>
      <w:r w:rsidRPr="00780485">
        <w:rPr>
          <w:i/>
        </w:rPr>
        <w:t>Länsstyrelsen i Jönköping</w:t>
      </w:r>
      <w:r w:rsidRPr="00780485">
        <w:t xml:space="preserve"> gör bedömningen att Glesbygdsverkets roll bör vara att bistå med övergripande kunskaper om landsbygds- och glesbygd</w:t>
      </w:r>
      <w:r w:rsidRPr="00780485">
        <w:t>s</w:t>
      </w:r>
      <w:r w:rsidRPr="00780485">
        <w:t>frågor. Konsumentverket bör, som hittills, ha rollen att samordna stödhant</w:t>
      </w:r>
      <w:r w:rsidRPr="00780485">
        <w:t>e</w:t>
      </w:r>
      <w:r w:rsidRPr="00780485">
        <w:t xml:space="preserve">ringen, ge råd och anvisningar, följa upp stödinsatser och även svara för utvecklingsarbetet inom området. </w:t>
      </w:r>
    </w:p>
    <w:p w:rsidR="007A6E3D" w:rsidRPr="00780485" w:rsidRDefault="007A6E3D">
      <w:pPr>
        <w:pStyle w:val="Normaltindrag"/>
      </w:pPr>
      <w:r w:rsidRPr="00780485">
        <w:rPr>
          <w:i/>
        </w:rPr>
        <w:t>Länsstyrelsen i Kronobergs län</w:t>
      </w:r>
      <w:r w:rsidRPr="00780485">
        <w:t xml:space="preserve"> konstaterar att Konsumentverket har det centrala myndighetsansvaret för frågor som rör stöd till kommersiell ver</w:t>
      </w:r>
      <w:r w:rsidRPr="00780485">
        <w:t>k</w:t>
      </w:r>
      <w:r w:rsidRPr="00780485">
        <w:t xml:space="preserve">samhet på landsbygden. Verket har enligt Länsstyrelsens bedömning skött sina åligganden väl och bör få fortsätta med denna uppgift. </w:t>
      </w:r>
    </w:p>
    <w:p w:rsidR="007A6E3D" w:rsidRPr="00780485" w:rsidRDefault="007A6E3D">
      <w:pPr>
        <w:pStyle w:val="Normaltindrag"/>
      </w:pPr>
      <w:r w:rsidRPr="00780485">
        <w:rPr>
          <w:i/>
        </w:rPr>
        <w:t>Länsstyrelsen i Västerbotten</w:t>
      </w:r>
      <w:r w:rsidRPr="00780485">
        <w:t xml:space="preserve"> anser, när det gäller utvärdering/uppföljning av kommersiell service, att antalet aktörer borde begränsas till Konsumen</w:t>
      </w:r>
      <w:r w:rsidRPr="00780485">
        <w:t>t</w:t>
      </w:r>
      <w:r w:rsidRPr="00780485">
        <w:t>verket eftersom otydli</w:t>
      </w:r>
      <w:r w:rsidRPr="00780485">
        <w:t>g</w:t>
      </w:r>
      <w:r w:rsidRPr="00780485">
        <w:t xml:space="preserve">heten ökar när fler aktörer är inblandade. </w:t>
      </w:r>
    </w:p>
    <w:p w:rsidR="007A6E3D" w:rsidRPr="00780485" w:rsidRDefault="007A6E3D">
      <w:pPr>
        <w:pStyle w:val="Normaltindrag"/>
      </w:pPr>
      <w:r w:rsidRPr="00780485">
        <w:rPr>
          <w:i/>
          <w:shd w:val="clear" w:color="auto" w:fill="FFFFFF"/>
        </w:rPr>
        <w:t>Skärgårdarnas riksförbund</w:t>
      </w:r>
      <w:r w:rsidRPr="00780485">
        <w:rPr>
          <w:shd w:val="clear" w:color="auto" w:fill="FFFFFF"/>
        </w:rPr>
        <w:t xml:space="preserve"> anser inte att Glesbygdsverket bör få ett se</w:t>
      </w:r>
      <w:r w:rsidRPr="00780485">
        <w:rPr>
          <w:shd w:val="clear" w:color="auto" w:fill="FFFFFF"/>
        </w:rPr>
        <w:t>k</w:t>
      </w:r>
      <w:r w:rsidRPr="00780485">
        <w:rPr>
          <w:shd w:val="clear" w:color="auto" w:fill="FFFFFF"/>
        </w:rPr>
        <w:t>torsansvar för kommersiell service eftersom det enligt förbundets mening kan innebära att Glesbygdsverket förlorar sin analyserande och granskande roll. Verket bör enligt förbundet inte tyngas med handläggande sektorsup</w:t>
      </w:r>
      <w:r w:rsidRPr="00780485">
        <w:rPr>
          <w:shd w:val="clear" w:color="auto" w:fill="FFFFFF"/>
        </w:rPr>
        <w:t>p</w:t>
      </w:r>
      <w:r w:rsidRPr="00780485">
        <w:rPr>
          <w:shd w:val="clear" w:color="auto" w:fill="FFFFFF"/>
        </w:rPr>
        <w:t>drag.</w:t>
      </w:r>
    </w:p>
    <w:p w:rsidR="007A6E3D" w:rsidRPr="00780485" w:rsidRDefault="007A6E3D">
      <w:pPr>
        <w:pStyle w:val="Rubrik5"/>
        <w:rPr>
          <w:b/>
        </w:rPr>
      </w:pPr>
      <w:r w:rsidRPr="00780485">
        <w:rPr>
          <w:b/>
        </w:rPr>
        <w:t>Revisorerna</w:t>
      </w:r>
    </w:p>
    <w:p w:rsidR="007A6E3D" w:rsidRPr="00780485" w:rsidRDefault="007A6E3D">
      <w:r w:rsidRPr="00780485">
        <w:t>Det uppkommer med nödvändighet gränsdragningsproblem mellan se</w:t>
      </w:r>
      <w:r w:rsidRPr="00780485">
        <w:t>k</w:t>
      </w:r>
      <w:r w:rsidRPr="00780485">
        <w:t>torsmyndigheter som Konsumentverket och sektorsövergripande myndigh</w:t>
      </w:r>
      <w:r w:rsidRPr="00780485">
        <w:t>e</w:t>
      </w:r>
      <w:r w:rsidRPr="00780485">
        <w:t>ter som Glesbygdsverket. Genom ett fungerande samarbete kan dubbelarbete undvikas. När det gäller utvecklingsinsatser är det viktigt att ansvarsförde</w:t>
      </w:r>
      <w:r w:rsidRPr="00780485">
        <w:t>l</w:t>
      </w:r>
      <w:r w:rsidRPr="00780485">
        <w:t>ningen är tydlig. Enligt revisorernas mening är det viktigt att en myndighet ges det samlade ansvaret för att utveckla och testa nya lösningar när det gäller kommersiell service. Revisorerna ser det därför som positivt att reg</w:t>
      </w:r>
      <w:r w:rsidRPr="00780485">
        <w:t>e</w:t>
      </w:r>
      <w:r w:rsidRPr="00780485">
        <w:t>ringen i den regionalpolitiska propositionen anger att den har för</w:t>
      </w:r>
      <w:r w:rsidRPr="00780485">
        <w:t xml:space="preserve"> avsikt att ge Konsumentverket i uppdrag att utveckla och testa nya lösningar inom det kommersiella serviceområdet (prop. 2001/02:4).. </w:t>
      </w:r>
    </w:p>
    <w:p w:rsidR="007A6E3D" w:rsidRPr="00780485" w:rsidRDefault="007A6E3D">
      <w:pPr>
        <w:pStyle w:val="Rubrik2"/>
      </w:pPr>
      <w:bookmarkStart w:id="14" w:name="_Toc526750781"/>
      <w:bookmarkStart w:id="15" w:name="_Toc526845420"/>
      <w:bookmarkStart w:id="16" w:name="_Toc526845743"/>
      <w:r w:rsidRPr="00780485">
        <w:t>Överväganden om saklighet</w:t>
      </w:r>
      <w:bookmarkEnd w:id="14"/>
      <w:bookmarkEnd w:id="15"/>
      <w:bookmarkEnd w:id="16"/>
      <w:r w:rsidRPr="00780485">
        <w:t xml:space="preserve"> </w:t>
      </w:r>
    </w:p>
    <w:p w:rsidR="007A6E3D" w:rsidRPr="00780485" w:rsidRDefault="007A6E3D">
      <w:pPr>
        <w:rPr>
          <w:b/>
        </w:rPr>
      </w:pPr>
      <w:r w:rsidRPr="00780485">
        <w:rPr>
          <w:b/>
        </w:rPr>
        <w:t>Rapporten</w:t>
      </w:r>
    </w:p>
    <w:p w:rsidR="007A6E3D" w:rsidRPr="00780485" w:rsidRDefault="007A6E3D">
      <w:r w:rsidRPr="00780485">
        <w:t>I rapporten skriver revisorerna att regeringsformen stadgar att en myndighet i sin verksamhet ska iaktta saklighet och opartiskhet (SFS 1974:152). Revis</w:t>
      </w:r>
      <w:r w:rsidRPr="00780485">
        <w:t>o</w:t>
      </w:r>
      <w:r w:rsidRPr="00780485">
        <w:t>rerna gör bedömningen att det finns brister i det sätt på vilket Glesbygdsve</w:t>
      </w:r>
      <w:r w:rsidRPr="00780485">
        <w:t>r</w:t>
      </w:r>
      <w:r w:rsidRPr="00780485">
        <w:t xml:space="preserve">ket presenterat befolkningsutvecklingen i gles- och landsbygden genom att verket i alltför stor utsträckning lyft fram positiva tendenser. </w:t>
      </w:r>
    </w:p>
    <w:p w:rsidR="007A6E3D" w:rsidRPr="00780485" w:rsidRDefault="007A6E3D">
      <w:pPr>
        <w:pStyle w:val="Normaltindrag"/>
      </w:pPr>
      <w:r w:rsidRPr="00780485">
        <w:t>Revisorernas slutsatser bygger främst på en analys av Glesbygdsverkets årsbok för 2000 gjord av ett konsultbolag med statistisk specialistkompetens. Revisorerna tar i rapporten även upp Glesbygdsverkets pressmeddelande till årsboken 2001 som exempel på hur Glesbygdsverket valt att presentera r</w:t>
      </w:r>
      <w:r w:rsidRPr="00780485">
        <w:t>e</w:t>
      </w:r>
      <w:r w:rsidRPr="00780485">
        <w:t>sultatet av en undersökning. Revisorernas iakttagelser och överväganden i denna fråga resulterade inte i något förslag i rappo</w:t>
      </w:r>
      <w:r w:rsidRPr="00780485">
        <w:t>r</w:t>
      </w:r>
      <w:r w:rsidRPr="00780485">
        <w:t xml:space="preserve">ten. </w:t>
      </w:r>
    </w:p>
    <w:p w:rsidR="007A6E3D" w:rsidRPr="00780485" w:rsidRDefault="007A6E3D">
      <w:pPr>
        <w:pStyle w:val="Rubrik5"/>
        <w:rPr>
          <w:b/>
        </w:rPr>
      </w:pPr>
      <w:r w:rsidRPr="00780485">
        <w:rPr>
          <w:b/>
        </w:rPr>
        <w:t>Remissinstanserna</w:t>
      </w:r>
    </w:p>
    <w:p w:rsidR="007A6E3D" w:rsidRPr="00780485" w:rsidRDefault="007A6E3D">
      <w:r w:rsidRPr="00780485">
        <w:rPr>
          <w:i/>
        </w:rPr>
        <w:t>Glesbygdsverket</w:t>
      </w:r>
      <w:r w:rsidRPr="00780485">
        <w:t xml:space="preserve"> uttrycker en allmän kritik mot revisorernas konsultrapport för bristande kvalitet och noggrannhet. Verket skriver att det inte i någon del kan se att det brister i saklighet och opartiskhet i verkets rapportering av befolkningsutvecklingen. Verket anser att det iakttagit stor noggrannhet i att visa helhetsbilden av befolkningsutvecklingen samt betona effekten av de</w:t>
      </w:r>
      <w:r w:rsidRPr="00780485">
        <w:t>n</w:t>
      </w:r>
      <w:r w:rsidRPr="00780485">
        <w:t xml:space="preserve">na. I analysarbetet har man funnit vissa fakta som inte tidigare varit kända och därför lyft fram dem i redovisningen. Glesbygdsverket skriver </w:t>
      </w:r>
      <w:r w:rsidRPr="00780485">
        <w:t>att revis</w:t>
      </w:r>
      <w:r w:rsidRPr="00780485">
        <w:t>o</w:t>
      </w:r>
      <w:r w:rsidRPr="00780485">
        <w:t>rernas analys ”som antyder att verket skulle göra sig skyldigt till grundlag</w:t>
      </w:r>
      <w:r w:rsidRPr="00780485">
        <w:t>s</w:t>
      </w:r>
      <w:r w:rsidRPr="00780485">
        <w:t>brott och överväganden till följd av detta sa</w:t>
      </w:r>
      <w:r w:rsidRPr="00780485">
        <w:t>k</w:t>
      </w:r>
      <w:r w:rsidRPr="00780485">
        <w:t>nar därför helt sin grund”.</w:t>
      </w:r>
    </w:p>
    <w:p w:rsidR="007A6E3D" w:rsidRPr="00780485" w:rsidRDefault="007A6E3D">
      <w:pPr>
        <w:pStyle w:val="Normaltindrag"/>
      </w:pPr>
      <w:r w:rsidRPr="00780485">
        <w:t>Verket vänder sig också mot revisorernas bedömning att det skulle finnas en målkonflikt mellan att leverera bra beslutsunderlag och verka för bättre utvecklingsmöjligheter för en viss del av befolkningen (genom att agera för att mer resurser bör satsas på de glest befolkade delarna av landet). Gle</w:t>
      </w:r>
      <w:r w:rsidRPr="00780485">
        <w:t>s</w:t>
      </w:r>
      <w:r w:rsidRPr="00780485">
        <w:t>bygdsverket betonar att det inte ser några sådana konflikter. Verket skriver att det inte har någon roll som partsorgan eller att vara glesbygdsbefolknin</w:t>
      </w:r>
      <w:r w:rsidRPr="00780485">
        <w:t>g</w:t>
      </w:r>
      <w:r w:rsidRPr="00780485">
        <w:t>ens språkrör. Verkets roll är att producera korrekta faktaunderlag och anal</w:t>
      </w:r>
      <w:r w:rsidRPr="00780485">
        <w:t>y</w:t>
      </w:r>
      <w:r w:rsidRPr="00780485">
        <w:t>ser och att göra det ur ett landsbygdsperspektiv. Enligt verket vore det ful</w:t>
      </w:r>
      <w:r w:rsidRPr="00780485">
        <w:t>l</w:t>
      </w:r>
      <w:r w:rsidRPr="00780485">
        <w:t>ständigt förödande för den rollen om verket skulle uppträda som partsorgan.</w:t>
      </w:r>
    </w:p>
    <w:p w:rsidR="007A6E3D" w:rsidRPr="00780485" w:rsidRDefault="007A6E3D">
      <w:pPr>
        <w:pStyle w:val="Normaltindrag"/>
      </w:pPr>
      <w:r w:rsidRPr="00780485">
        <w:rPr>
          <w:i/>
        </w:rPr>
        <w:t>Statens institut för kommunikationsanalys</w:t>
      </w:r>
      <w:r w:rsidRPr="00780485">
        <w:t xml:space="preserve"> (SIKA) skriver i sitt remissvar att ett uppdrag att som myndighet främja ett visst intresse kan leda till må</w:t>
      </w:r>
      <w:r w:rsidRPr="00780485">
        <w:t>l</w:t>
      </w:r>
      <w:r w:rsidRPr="00780485">
        <w:t>konflikter och ger olika exempel på detta. Enligt SIKA kan det inte vara lätt för Glesbygdsverket att kraftfullt verka för det övergripande mål som fo</w:t>
      </w:r>
      <w:r w:rsidRPr="00780485">
        <w:t>r</w:t>
      </w:r>
      <w:r w:rsidRPr="00780485">
        <w:t>mulerats och samtidigt upprätthålla det helhetsperspektiv på samhällsutvec</w:t>
      </w:r>
      <w:r w:rsidRPr="00780485">
        <w:t>k</w:t>
      </w:r>
      <w:r w:rsidRPr="00780485">
        <w:t>lingen och medborgarnas intressen som, enligt verkets mening, bör ligga i myndi</w:t>
      </w:r>
      <w:r w:rsidRPr="00780485">
        <w:t>g</w:t>
      </w:r>
      <w:r w:rsidRPr="00780485">
        <w:t>hetsrollen.</w:t>
      </w:r>
    </w:p>
    <w:p w:rsidR="007A6E3D" w:rsidRPr="00780485" w:rsidRDefault="007A6E3D">
      <w:pPr>
        <w:pStyle w:val="Normaltindrag"/>
      </w:pPr>
      <w:r w:rsidRPr="00780485">
        <w:t>SIKA anser att problem som kan uppkomma när myndigheter ges uppgi</w:t>
      </w:r>
      <w:r w:rsidRPr="00780485">
        <w:t>f</w:t>
      </w:r>
      <w:r w:rsidRPr="00780485">
        <w:t>ter som mera liknar en intresse- eller lobbyorganisation förtjänar att up</w:t>
      </w:r>
      <w:r w:rsidRPr="00780485">
        <w:t>p</w:t>
      </w:r>
      <w:r w:rsidRPr="00780485">
        <w:t>märksammas mer generellt. Institutet pekar på problem när det gäller att upprätthålla kraven på saklighet och opartiskhet och de följder detta kan ha för en myndighets förmåga att förse regeringen med bra beslutsunderlag.</w:t>
      </w:r>
    </w:p>
    <w:p w:rsidR="007A6E3D" w:rsidRPr="00780485" w:rsidRDefault="007A6E3D">
      <w:pPr>
        <w:pStyle w:val="Normaltindrag"/>
      </w:pPr>
      <w:r w:rsidRPr="00780485">
        <w:rPr>
          <w:i/>
        </w:rPr>
        <w:t>Länsstyrelsen i Dalarnas län</w:t>
      </w:r>
      <w:r w:rsidRPr="00780485">
        <w:t xml:space="preserve"> skriver att den också uppmärksammat den tendens till ”ovetenskaplighet” och bristande objektivitet som verket visat upp. Det handlar enligt länsstyrelsen främst om en tendens att lägga tyng</w:t>
      </w:r>
      <w:r w:rsidRPr="00780485">
        <w:t>d</w:t>
      </w:r>
      <w:r w:rsidRPr="00780485">
        <w:t>punkten vid beskrivningar av glesbygden på positiva faktorer och vid val av begreppet glesbygd.</w:t>
      </w:r>
    </w:p>
    <w:p w:rsidR="007A6E3D" w:rsidRPr="00780485" w:rsidRDefault="007A6E3D">
      <w:pPr>
        <w:pStyle w:val="Normaltindrag"/>
      </w:pPr>
      <w:r w:rsidRPr="00780485">
        <w:rPr>
          <w:i/>
        </w:rPr>
        <w:t>Länsstyrelserna i Västerbottens och Stockholms län</w:t>
      </w:r>
      <w:r w:rsidRPr="00780485">
        <w:t xml:space="preserve"> kommenterar revis</w:t>
      </w:r>
      <w:r w:rsidRPr="00780485">
        <w:t>o</w:t>
      </w:r>
      <w:r w:rsidRPr="00780485">
        <w:t>rernas analys att Glesbygdsverket kan sägas ha till uppgift att ständigt p</w:t>
      </w:r>
      <w:r w:rsidRPr="00780485">
        <w:t>å</w:t>
      </w:r>
      <w:r w:rsidRPr="00780485">
        <w:t>minna regeringen om att ta hänsyn till gles- och landsbygdsbefolkningen med att de anser att det är tveksamt att en sådan uppgift ska ligga på en my</w:t>
      </w:r>
      <w:r w:rsidRPr="00780485">
        <w:t>n</w:t>
      </w:r>
      <w:r w:rsidRPr="00780485">
        <w:t xml:space="preserve">dighet i ett längre perspektiv. </w:t>
      </w:r>
      <w:r w:rsidRPr="00780485">
        <w:rPr>
          <w:i/>
        </w:rPr>
        <w:t>Västra Götalandsregionen</w:t>
      </w:r>
      <w:r w:rsidRPr="00780485">
        <w:t xml:space="preserve"> skriver att Gle</w:t>
      </w:r>
      <w:r w:rsidRPr="00780485">
        <w:t>s</w:t>
      </w:r>
      <w:r w:rsidRPr="00780485">
        <w:t xml:space="preserve">bygdsverket i princip har två olika möjligheter att agera – utåt, genom att skapa opinion i glesbygdsfrågor, och inåt, genom att som expertmyndighet söka påverka andra statliga aktörer. Styrelsen </w:t>
      </w:r>
      <w:r w:rsidRPr="00780485">
        <w:t>menar att det är högst tveksamt om den förra uppgiften ryms inom en statlig expertmy</w:t>
      </w:r>
      <w:r w:rsidRPr="00780485">
        <w:t>n</w:t>
      </w:r>
      <w:r w:rsidRPr="00780485">
        <w:t>dighets område.</w:t>
      </w:r>
    </w:p>
    <w:p w:rsidR="007A6E3D" w:rsidRPr="00780485" w:rsidRDefault="007A6E3D">
      <w:pPr>
        <w:pStyle w:val="Rubrik5"/>
        <w:jc w:val="both"/>
        <w:rPr>
          <w:b/>
        </w:rPr>
      </w:pPr>
      <w:r w:rsidRPr="00780485">
        <w:rPr>
          <w:b/>
        </w:rPr>
        <w:t>Revisorerna</w:t>
      </w:r>
    </w:p>
    <w:p w:rsidR="007A6E3D" w:rsidRPr="00780485" w:rsidRDefault="007A6E3D">
      <w:r w:rsidRPr="00780485">
        <w:t>Revisorerna anser till skillnad mot Glesbygdsverket att det finns tillräckliga belägg för att det finns brister i det sätt på vilket Glesbygdsverket valt att presentera undersökningar om befolkningsutvecklingen. Den konstaterade bristen består i att verket i alltför stor utsträckning lyft fram positiva tende</w:t>
      </w:r>
      <w:r w:rsidRPr="00780485">
        <w:t>n</w:t>
      </w:r>
      <w:r w:rsidRPr="00780485">
        <w:t>ser i ett pressmeddelande och i en sammanfattning av verkets årsbok för år 2000. Detta innebär en risk att läsaren får en bild av befolkningsutvecklingen som objektivt sett inte speglar rådande förhållanden. I likhet med flera r</w:t>
      </w:r>
      <w:r w:rsidRPr="00780485">
        <w:t>e</w:t>
      </w:r>
      <w:r w:rsidRPr="00780485">
        <w:t>missinstanser tar revisore</w:t>
      </w:r>
      <w:r w:rsidRPr="00780485">
        <w:t>r</w:t>
      </w:r>
      <w:r w:rsidRPr="00780485">
        <w:t>na avstånd från detta.</w:t>
      </w:r>
    </w:p>
    <w:p w:rsidR="007A6E3D" w:rsidRPr="00780485" w:rsidRDefault="007A6E3D">
      <w:pPr>
        <w:pStyle w:val="Normaltindrag"/>
      </w:pPr>
      <w:r w:rsidRPr="00780485">
        <w:t>Revisorerna vidhåller sin bedömning att det finns en målkonflikt mellan att leverera ett objektivt beslutsunderlag och att verka för att mer resurser bör fördelas till en viss del av befolkningen. För myndigheter med uppdrag av Gles</w:t>
      </w:r>
      <w:r w:rsidRPr="00780485">
        <w:t>bygdsverkets karaktär är det enligt revisorernas mening av central bet</w:t>
      </w:r>
      <w:r w:rsidRPr="00780485">
        <w:t>y</w:t>
      </w:r>
      <w:r w:rsidRPr="00780485">
        <w:t>delse att myndigheten ständigt är medveten om denna konflikt och bedriver sin myndighetsutövning i den anda som grundlagen föreskriver.</w:t>
      </w:r>
    </w:p>
    <w:p w:rsidR="007A6E3D" w:rsidRPr="00780485" w:rsidRDefault="007A6E3D">
      <w:pPr>
        <w:pStyle w:val="Rubrik1"/>
      </w:pPr>
      <w:bookmarkStart w:id="17" w:name="_Toc526750782"/>
      <w:bookmarkStart w:id="18" w:name="_Toc526845421"/>
      <w:bookmarkStart w:id="19" w:name="_Toc526845744"/>
      <w:r w:rsidRPr="00780485">
        <w:t>Revisorernas förslag</w:t>
      </w:r>
      <w:bookmarkEnd w:id="17"/>
      <w:bookmarkEnd w:id="18"/>
      <w:bookmarkEnd w:id="19"/>
    </w:p>
    <w:p w:rsidR="007A6E3D" w:rsidRPr="00780485" w:rsidRDefault="007A6E3D">
      <w:r w:rsidRPr="00780485">
        <w:t xml:space="preserve">Riksdagens revisorer föreslår </w:t>
      </w:r>
    </w:p>
    <w:p w:rsidR="007A6E3D" w:rsidRPr="00780485" w:rsidRDefault="007A6E3D">
      <w:pPr>
        <w:numPr>
          <w:ilvl w:val="0"/>
          <w:numId w:val="24"/>
        </w:numPr>
      </w:pPr>
      <w:r w:rsidRPr="00780485">
        <w:t>att riksdagen tillkännager för regeringen som sin mening vad revisorerna anfört i avsnitt 2.1 och avsnitt 2.2 om inriktningen av den av regeringen aviserade övers</w:t>
      </w:r>
      <w:r w:rsidRPr="00780485">
        <w:t>y</w:t>
      </w:r>
      <w:r w:rsidRPr="00780485">
        <w:t>nen av Glesbygdsverket.</w:t>
      </w:r>
    </w:p>
    <w:p w:rsidR="007A6E3D" w:rsidRPr="00780485" w:rsidRDefault="007A6E3D">
      <w:r w:rsidRPr="00780485">
        <w:t>Detta ärende har avgjorts av revisorerna i plenum. I beslutet har deltagit revisorerna  Ingemar Josefsson (s), Anders G Högmark (m), Per Rosengren (v), Anita Jönsson (s), Kenneth Lantz (kd), Margit Gennser (m), Hans Ste</w:t>
      </w:r>
      <w:r w:rsidRPr="00780485">
        <w:t>n</w:t>
      </w:r>
      <w:r w:rsidRPr="00780485">
        <w:t xml:space="preserve">berg (s), Agneta Lundberg (s), Ann-Marie Fagerström (s), Marie Engström (v) och Ulla Wester (s). </w:t>
      </w:r>
    </w:p>
    <w:p w:rsidR="007A6E3D" w:rsidRPr="00780485" w:rsidRDefault="007A6E3D">
      <w:r w:rsidRPr="00780485">
        <w:t>Vid ärendets slutgiltiga handläggning har vidare närvarit kanslichefen Åke Dahlberg, utredningschefen Stig Tegle och avdelningsdirektören Johan Hedlund (föredragande).</w:t>
      </w:r>
    </w:p>
    <w:p w:rsidR="007A6E3D" w:rsidRPr="00780485" w:rsidRDefault="007A6E3D">
      <w:pPr>
        <w:pStyle w:val="Citat"/>
        <w:spacing w:before="122" w:line="245" w:lineRule="exact"/>
      </w:pPr>
      <w:r w:rsidRPr="00780485">
        <w:t>Stockholm den 16 oktober 2001</w:t>
      </w:r>
    </w:p>
    <w:p w:rsidR="007A6E3D" w:rsidRPr="00780485" w:rsidRDefault="007A6E3D">
      <w:pPr>
        <w:pStyle w:val="Normaltindrag"/>
      </w:pPr>
    </w:p>
    <w:p w:rsidR="007A6E3D" w:rsidRPr="00780485" w:rsidRDefault="007A6E3D">
      <w:r w:rsidRPr="00780485">
        <w:t>På Riksdagens revisorers vägnar</w:t>
      </w:r>
    </w:p>
    <w:p w:rsidR="007A6E3D" w:rsidRPr="00780485" w:rsidRDefault="007A6E3D">
      <w:pPr>
        <w:pStyle w:val="Normaltindrag"/>
      </w:pPr>
    </w:p>
    <w:p w:rsidR="007A6E3D" w:rsidRPr="00780485" w:rsidRDefault="007A6E3D">
      <w:pPr>
        <w:pStyle w:val="Normaltindrag"/>
      </w:pPr>
    </w:p>
    <w:p w:rsidR="007A6E3D" w:rsidRPr="00780485" w:rsidRDefault="007A6E3D">
      <w:pPr>
        <w:rPr>
          <w:i/>
          <w:sz w:val="22"/>
        </w:rPr>
      </w:pPr>
      <w:r w:rsidRPr="00780485">
        <w:rPr>
          <w:i/>
          <w:sz w:val="22"/>
        </w:rPr>
        <w:t xml:space="preserve">Ingemar Josefsson </w:t>
      </w:r>
    </w:p>
    <w:p w:rsidR="007A6E3D" w:rsidRPr="00780485" w:rsidRDefault="007A6E3D">
      <w:pPr>
        <w:pStyle w:val="Normaltindrag"/>
        <w:rPr>
          <w:i/>
          <w:sz w:val="22"/>
        </w:rPr>
      </w:pPr>
      <w:r w:rsidRPr="00780485">
        <w:rPr>
          <w:sz w:val="22"/>
        </w:rPr>
        <w:tab/>
      </w:r>
      <w:r w:rsidRPr="00780485">
        <w:rPr>
          <w:sz w:val="22"/>
        </w:rPr>
        <w:tab/>
      </w:r>
      <w:r w:rsidRPr="00780485">
        <w:rPr>
          <w:sz w:val="22"/>
        </w:rPr>
        <w:tab/>
      </w:r>
      <w:r w:rsidRPr="00780485">
        <w:rPr>
          <w:i/>
          <w:sz w:val="22"/>
        </w:rPr>
        <w:t>Johan Hedlund</w:t>
      </w:r>
    </w:p>
    <w:p w:rsidR="007A6E3D" w:rsidRPr="00780485" w:rsidRDefault="007A6E3D">
      <w:pPr>
        <w:pStyle w:val="Normaltindrag"/>
        <w:rPr>
          <w:i/>
          <w:sz w:val="22"/>
        </w:rPr>
        <w:sectPr w:rsidR="00000000" w:rsidRPr="00780485">
          <w:headerReference w:type="default" r:id="rId8"/>
          <w:footerReference w:type="default" r:id="rId9"/>
          <w:pgSz w:w="11906" w:h="16838" w:code="9"/>
          <w:pgMar w:top="567" w:right="4876" w:bottom="4508" w:left="1134" w:header="227" w:footer="227" w:gutter="0"/>
          <w:cols w:space="720"/>
        </w:sectPr>
      </w:pPr>
    </w:p>
    <w:p w:rsidR="007A6E3D" w:rsidRPr="00780485" w:rsidRDefault="007A6E3D">
      <w:pPr>
        <w:pStyle w:val="Normaltindrag"/>
        <w:rPr>
          <w:i/>
          <w:sz w:val="22"/>
        </w:rPr>
      </w:pPr>
    </w:p>
    <w:p w:rsidR="007A6E3D" w:rsidRPr="00780485" w:rsidRDefault="007A6E3D">
      <w:pPr>
        <w:pStyle w:val="Normaltindrag"/>
        <w:rPr>
          <w:i/>
          <w:sz w:val="22"/>
        </w:rPr>
      </w:pPr>
    </w:p>
    <w:p w:rsidR="007A6E3D" w:rsidRPr="00780485" w:rsidRDefault="007A6E3D">
      <w:pPr>
        <w:pStyle w:val="Normaltindrag"/>
        <w:rPr>
          <w:i/>
          <w:sz w:val="22"/>
        </w:rPr>
      </w:pPr>
    </w:p>
    <w:p w:rsidR="007A6E3D" w:rsidRPr="00780485" w:rsidRDefault="007A6E3D">
      <w:pPr>
        <w:pStyle w:val="Normaltindrag"/>
        <w:rPr>
          <w:i/>
          <w:sz w:val="22"/>
        </w:rPr>
        <w:sectPr w:rsidR="00000000" w:rsidRPr="00780485">
          <w:headerReference w:type="default" r:id="rId10"/>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780485">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7A6E3D" w:rsidRPr="00780485" w:rsidRDefault="007A6E3D">
            <w:pPr>
              <w:pStyle w:val="HuvudRubrik"/>
            </w:pPr>
            <w:r w:rsidRPr="00780485">
              <w:t xml:space="preserve">Rapport </w:t>
            </w:r>
            <w:bookmarkStart w:id="20" w:name="BetänkandeNr"/>
            <w:bookmarkEnd w:id="20"/>
            <w:r w:rsidRPr="00780485">
              <w:t>2000/01:12</w:t>
            </w:r>
          </w:p>
        </w:tc>
        <w:tc>
          <w:tcPr>
            <w:tcW w:w="2126" w:type="dxa"/>
            <w:gridSpan w:val="2"/>
            <w:tcBorders>
              <w:bottom w:val="single" w:sz="6" w:space="0" w:color="auto"/>
            </w:tcBorders>
          </w:tcPr>
          <w:p w:rsidR="007A6E3D" w:rsidRPr="00780485" w:rsidRDefault="00780485">
            <w:pPr>
              <w:spacing w:before="0" w:line="240" w:lineRule="auto"/>
              <w:jc w:val="center"/>
            </w:pPr>
            <w:r w:rsidRPr="00780485">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780485">
        <w:tblPrEx>
          <w:tblCellMar>
            <w:top w:w="0" w:type="dxa"/>
            <w:bottom w:w="0" w:type="dxa"/>
          </w:tblCellMar>
        </w:tblPrEx>
        <w:trPr>
          <w:gridAfter w:val="1"/>
          <w:wAfter w:w="851" w:type="dxa"/>
          <w:cantSplit/>
          <w:trHeight w:hRule="exact" w:val="660"/>
        </w:trPr>
        <w:tc>
          <w:tcPr>
            <w:tcW w:w="3012" w:type="dxa"/>
          </w:tcPr>
          <w:p w:rsidR="007A6E3D" w:rsidRPr="00780485" w:rsidRDefault="007A6E3D">
            <w:pPr>
              <w:pStyle w:val="StatusSida1"/>
            </w:pPr>
          </w:p>
        </w:tc>
        <w:tc>
          <w:tcPr>
            <w:tcW w:w="2445" w:type="dxa"/>
            <w:gridSpan w:val="2"/>
          </w:tcPr>
          <w:p w:rsidR="007A6E3D" w:rsidRPr="00780485" w:rsidRDefault="007A6E3D">
            <w:pPr>
              <w:pStyle w:val="UtskriftsdatumSida1"/>
              <w:rPr>
                <w:b/>
                <w:sz w:val="28"/>
              </w:rPr>
            </w:pPr>
          </w:p>
        </w:tc>
        <w:tc>
          <w:tcPr>
            <w:tcW w:w="992" w:type="dxa"/>
          </w:tcPr>
          <w:p w:rsidR="007A6E3D" w:rsidRPr="00780485" w:rsidRDefault="007A6E3D"/>
        </w:tc>
      </w:tr>
      <w:tr w:rsidR="00000000" w:rsidRPr="00780485">
        <w:tblPrEx>
          <w:tblCellMar>
            <w:top w:w="0" w:type="dxa"/>
            <w:bottom w:w="0" w:type="dxa"/>
          </w:tblCellMar>
        </w:tblPrEx>
        <w:trPr>
          <w:gridAfter w:val="1"/>
          <w:wAfter w:w="851" w:type="dxa"/>
          <w:cantSplit/>
        </w:trPr>
        <w:tc>
          <w:tcPr>
            <w:tcW w:w="6449" w:type="dxa"/>
            <w:gridSpan w:val="4"/>
          </w:tcPr>
          <w:p w:rsidR="007A6E3D" w:rsidRPr="00780485" w:rsidRDefault="007A6E3D">
            <w:pPr>
              <w:spacing w:before="240"/>
            </w:pPr>
          </w:p>
        </w:tc>
      </w:tr>
      <w:tr w:rsidR="00000000" w:rsidRPr="00780485">
        <w:tblPrEx>
          <w:tblCellMar>
            <w:top w:w="0" w:type="dxa"/>
            <w:bottom w:w="0" w:type="dxa"/>
          </w:tblCellMar>
        </w:tblPrEx>
        <w:trPr>
          <w:gridAfter w:val="1"/>
          <w:wAfter w:w="851" w:type="dxa"/>
          <w:cantSplit/>
          <w:trHeight w:val="6000"/>
        </w:trPr>
        <w:tc>
          <w:tcPr>
            <w:tcW w:w="6449" w:type="dxa"/>
            <w:gridSpan w:val="4"/>
          </w:tcPr>
          <w:p w:rsidR="007A6E3D" w:rsidRPr="00780485" w:rsidRDefault="007A6E3D">
            <w:pPr>
              <w:pStyle w:val="RubrikFrstaSida"/>
              <w:ind w:left="0" w:firstLine="0"/>
            </w:pPr>
            <w:bookmarkStart w:id="21" w:name="Mittenrubrik"/>
            <w:bookmarkEnd w:id="21"/>
            <w:r w:rsidRPr="00780485">
              <w:t>Glesbygdsverkets roll i regionalpolitiken</w:t>
            </w:r>
          </w:p>
        </w:tc>
      </w:tr>
      <w:tr w:rsidR="00000000" w:rsidRPr="00780485">
        <w:tblPrEx>
          <w:tblCellMar>
            <w:top w:w="0" w:type="dxa"/>
            <w:bottom w:w="0" w:type="dxa"/>
          </w:tblCellMar>
        </w:tblPrEx>
        <w:trPr>
          <w:cantSplit/>
          <w:trHeight w:val="480"/>
        </w:trPr>
        <w:tc>
          <w:tcPr>
            <w:tcW w:w="7300" w:type="dxa"/>
            <w:gridSpan w:val="5"/>
          </w:tcPr>
          <w:p w:rsidR="007A6E3D" w:rsidRPr="00780485" w:rsidRDefault="007A6E3D">
            <w:pPr>
              <w:pStyle w:val="Sidfot"/>
              <w:spacing w:before="1560" w:line="240" w:lineRule="auto"/>
              <w:jc w:val="left"/>
              <w:rPr>
                <w:rFonts w:ascii="GillSans Light" w:hAnsi="GillSans Light"/>
                <w:caps/>
                <w:spacing w:val="10"/>
                <w:sz w:val="17"/>
              </w:rPr>
            </w:pPr>
            <w:r w:rsidRPr="00780485">
              <w:rPr>
                <w:rFonts w:ascii="GillSans Light" w:hAnsi="GillSans Light"/>
                <w:caps/>
                <w:spacing w:val="10"/>
                <w:sz w:val="17"/>
              </w:rPr>
              <w:t>Riksdagens revisorer · 100 12 STOCKHOLM · TEL 08-786 40 00 · fax 08-786 61 88</w:t>
            </w:r>
          </w:p>
          <w:p w:rsidR="007A6E3D" w:rsidRPr="00780485" w:rsidRDefault="007A6E3D">
            <w:pPr>
              <w:spacing w:before="0" w:line="240" w:lineRule="auto"/>
              <w:rPr>
                <w:rFonts w:ascii="GillSans Light" w:hAnsi="GillSans Light"/>
                <w:spacing w:val="10"/>
              </w:rPr>
            </w:pPr>
            <w:r w:rsidRPr="00780485">
              <w:t>www.riksdagen.se/rr</w:t>
            </w:r>
          </w:p>
        </w:tc>
      </w:tr>
    </w:tbl>
    <w:p w:rsidR="007A6E3D" w:rsidRPr="00780485" w:rsidRDefault="007A6E3D"/>
    <w:p w:rsidR="007A6E3D" w:rsidRPr="00780485" w:rsidRDefault="007A6E3D">
      <w:pPr>
        <w:pStyle w:val="Rubrik1-Utannumrering"/>
      </w:pPr>
      <w:r w:rsidRPr="00780485">
        <w:br w:type="page"/>
      </w:r>
      <w:bookmarkStart w:id="22" w:name="_Toc526845422"/>
      <w:bookmarkStart w:id="23" w:name="_Toc526845745"/>
      <w:r w:rsidRPr="00780485">
        <w:t>Förord</w:t>
      </w:r>
      <w:bookmarkEnd w:id="22"/>
      <w:bookmarkEnd w:id="23"/>
    </w:p>
    <w:p w:rsidR="007A6E3D" w:rsidRPr="00780485" w:rsidRDefault="007A6E3D">
      <w:r w:rsidRPr="00780485">
        <w:t>Riksdagens revisorer presenterar härmed sin rapport om Glesbygdsverkets roll i regionalpolitiken. Beslut om rapporten har fattats av revisorerna i pl</w:t>
      </w:r>
      <w:r w:rsidRPr="00780485">
        <w:t>e</w:t>
      </w:r>
      <w:r w:rsidRPr="00780485">
        <w:t>num den 14 juni 2001. Rapporten sänds nu ut på remiss. Revisorernas slu</w:t>
      </w:r>
      <w:r w:rsidRPr="00780485">
        <w:t>t</w:t>
      </w:r>
      <w:r w:rsidRPr="00780485">
        <w:t>giltiga ställningstagande och förslag kommer därefter att utformas i en skr</w:t>
      </w:r>
      <w:r w:rsidRPr="00780485">
        <w:t>i</w:t>
      </w:r>
      <w:r w:rsidRPr="00780485">
        <w:t>velse till riksdagen.</w:t>
      </w:r>
    </w:p>
    <w:p w:rsidR="007A6E3D" w:rsidRPr="00780485" w:rsidRDefault="007A6E3D">
      <w:pPr>
        <w:pStyle w:val="Normaltindrag"/>
      </w:pPr>
      <w:r w:rsidRPr="00780485">
        <w:t>Granskningen har beretts av revisorerna i tredje avdelningen. I avdelnin</w:t>
      </w:r>
      <w:r w:rsidRPr="00780485">
        <w:t>g</w:t>
      </w:r>
      <w:r w:rsidRPr="00780485">
        <w:t>en ingår Anders G Högmark (m) ordförande, Anita Jönsson (s) vice ordf</w:t>
      </w:r>
      <w:r w:rsidRPr="00780485">
        <w:t>ö</w:t>
      </w:r>
      <w:r w:rsidRPr="00780485">
        <w:t>rande, Kenneth Lantz (kd), Marie Engström (v), Ingvar Eriksson (m), Conny Öhman (s), Ann-Kristine J</w:t>
      </w:r>
      <w:r w:rsidRPr="00780485">
        <w:t>o</w:t>
      </w:r>
      <w:r w:rsidRPr="00780485">
        <w:t>hansson (s) Ann-Marie Fagerström (s).</w:t>
      </w:r>
    </w:p>
    <w:p w:rsidR="007A6E3D" w:rsidRPr="00780485" w:rsidRDefault="007A6E3D">
      <w:pPr>
        <w:pStyle w:val="Normaltindrag"/>
      </w:pPr>
      <w:r w:rsidRPr="00780485">
        <w:t>Inom revisorernas kansli har avdelningsdirektören Johan Hedlund varit a</w:t>
      </w:r>
      <w:r w:rsidRPr="00780485">
        <w:t>n</w:t>
      </w:r>
      <w:r w:rsidRPr="00780485">
        <w:t>svarig för utredningsarbetet. Pol. stud. Bo Henriksson har deltagit som pra</w:t>
      </w:r>
      <w:r w:rsidRPr="00780485">
        <w:t>k</w:t>
      </w:r>
      <w:r w:rsidRPr="00780485">
        <w:t>tikant. Kanslichef Åke Dahlberg och utredningschef Stig Tegle har bidragit med synpunkter på rappo</w:t>
      </w:r>
      <w:r w:rsidRPr="00780485">
        <w:t>r</w:t>
      </w:r>
      <w:r w:rsidRPr="00780485">
        <w:t>ten.</w:t>
      </w:r>
    </w:p>
    <w:p w:rsidR="007A6E3D" w:rsidRPr="00780485" w:rsidRDefault="007A6E3D">
      <w:pPr>
        <w:pStyle w:val="Normaltindrag"/>
      </w:pPr>
      <w:r w:rsidRPr="00780485">
        <w:t>Nordeg AB har på uppdrag av Riksdagens revisorer kartlagt och analyserat delar av Glesbygdsverkets skriftliga kunskapsproduktion. På uppdrag av revisorerna har Statisticon AB genomfört en översiktlig granskning av Gle</w:t>
      </w:r>
      <w:r w:rsidRPr="00780485">
        <w:t>s</w:t>
      </w:r>
      <w:r w:rsidRPr="00780485">
        <w:t>bygdsverkets årsbok 2000. Syftet med undersökningen var att genomföra en bedömning av årsbokens förutsät</w:t>
      </w:r>
      <w:r w:rsidRPr="00780485">
        <w:t>t</w:t>
      </w:r>
      <w:r w:rsidRPr="00780485">
        <w:t>ningar att tjäna som beslutsunderlag.</w:t>
      </w:r>
    </w:p>
    <w:p w:rsidR="007A6E3D" w:rsidRPr="00780485" w:rsidRDefault="007A6E3D">
      <w:pPr>
        <w:pStyle w:val="Rubrik1-Utannumrering"/>
      </w:pPr>
      <w:r w:rsidRPr="00780485">
        <w:br w:type="page"/>
      </w:r>
      <w:bookmarkStart w:id="24" w:name="_Toc526845424"/>
      <w:bookmarkStart w:id="25" w:name="_Toc526845746"/>
      <w:r w:rsidRPr="00780485">
        <w:t>Sammanfattning</w:t>
      </w:r>
      <w:bookmarkEnd w:id="24"/>
      <w:bookmarkEnd w:id="25"/>
    </w:p>
    <w:p w:rsidR="007A6E3D" w:rsidRPr="00780485" w:rsidRDefault="007A6E3D">
      <w:r w:rsidRPr="00780485">
        <w:t>Kärnan i Glesbygdsverkets uppdrag är att analysera regionala skillnader i välfärd och tillväxt som hänger samman med en gles befolkningsstruktur. Målet för verksamheten är att främst genom påverkan verka för goda le</w:t>
      </w:r>
      <w:r w:rsidRPr="00780485">
        <w:t>v</w:t>
      </w:r>
      <w:r w:rsidRPr="00780485">
        <w:t>nadsförhållanden och utvecklingsmöjligheter för glesbygds- och landsbygd</w:t>
      </w:r>
      <w:r w:rsidRPr="00780485">
        <w:t>s</w:t>
      </w:r>
      <w:r w:rsidRPr="00780485">
        <w:t xml:space="preserve">befolkningen. </w:t>
      </w:r>
    </w:p>
    <w:p w:rsidR="007A6E3D" w:rsidRPr="00780485" w:rsidRDefault="007A6E3D">
      <w:pPr>
        <w:pStyle w:val="Normaltindrag"/>
      </w:pPr>
      <w:r w:rsidRPr="00780485">
        <w:t>I rapporten beskrivs hur regionalpolitiken och den regionalpolitiska my</w:t>
      </w:r>
      <w:r w:rsidRPr="00780485">
        <w:t>n</w:t>
      </w:r>
      <w:r w:rsidRPr="00780485">
        <w:t>dighetsorganisationen förändrats sedan Glesbygdsverket bildades. Vidare beskrivs och analyseras Glesbygdsverkets verksamhet i förhållande till ve</w:t>
      </w:r>
      <w:r w:rsidRPr="00780485">
        <w:t>r</w:t>
      </w:r>
      <w:r w:rsidRPr="00780485">
        <w:t>kets och övriga regionalpolitiska aktörers uppdrag.</w:t>
      </w:r>
    </w:p>
    <w:p w:rsidR="007A6E3D" w:rsidRPr="00780485" w:rsidRDefault="007A6E3D">
      <w:pPr>
        <w:pStyle w:val="Normaltindrag"/>
      </w:pPr>
      <w:r w:rsidRPr="00780485">
        <w:t>Glesbygdsverket bildades 1991 och hade inledningsvis till huvuduppgift att finansiera och samordna gles- och landsbygdspolitiska projekt. Ansvaret för regionalpolitiska åtgärder har sedan dess i stor utsträckning decentralis</w:t>
      </w:r>
      <w:r w:rsidRPr="00780485">
        <w:t>e</w:t>
      </w:r>
      <w:r w:rsidRPr="00780485">
        <w:t>rats från central myndighetsnivå till den regionala nivån. Glesbygdsverket har inte längre några utvecklingsmedel utan ska i stället verka för gles- och landsbygdsbefolkningens bästa genom att sprida kunskap.</w:t>
      </w:r>
    </w:p>
    <w:p w:rsidR="007A6E3D" w:rsidRPr="00780485" w:rsidRDefault="007A6E3D">
      <w:pPr>
        <w:pStyle w:val="Normaltindrag"/>
      </w:pPr>
      <w:r w:rsidRPr="00780485">
        <w:t>Glesbygdsverket har i princip två möjligheter att påverka utvecklingen i gles- och landsbygden. Det kan antingen ske genom att den kunskap verket producerar resulterar i att mer resurser fördelas till gles- och landsbygden eller att den kunskap verket förmedlar leder till att befintliga resurser utnyt</w:t>
      </w:r>
      <w:r w:rsidRPr="00780485">
        <w:t>t</w:t>
      </w:r>
      <w:r w:rsidRPr="00780485">
        <w:t>jas på ett mer effektivt sätt.</w:t>
      </w:r>
    </w:p>
    <w:p w:rsidR="007A6E3D" w:rsidRPr="00780485" w:rsidRDefault="007A6E3D">
      <w:pPr>
        <w:pStyle w:val="Normaltindrag"/>
      </w:pPr>
      <w:r w:rsidRPr="00780485">
        <w:t>Den kartläggning som genomförts visar att stora förändringar skett inom regionalpolitiken sedan Glesbygdsverket bildades. Näringspolitiken och regionalpolitiken har närmat sig varandra alltmer. Regionalpolitiken liksom sektorspolitiken har regionaliserats. Kommunerna har fått ett ökat ansvar för välfärdspolitiken. De regionala tillväxtavtalen är tänkta att fungera som effektiva samordningsinstrument på den regionala nivån. Sverige har gått med i EU. Vidare har nyligen en stor</w:t>
      </w:r>
      <w:r w:rsidRPr="00780485">
        <w:t xml:space="preserve"> omorganisation genomförts av my</w:t>
      </w:r>
      <w:r w:rsidRPr="00780485">
        <w:t>n</w:t>
      </w:r>
      <w:r w:rsidRPr="00780485">
        <w:t>dighetsstrukturen inom de regional- närings- och innovationspolitiska omr</w:t>
      </w:r>
      <w:r w:rsidRPr="00780485">
        <w:t>å</w:t>
      </w:r>
      <w:r w:rsidRPr="00780485">
        <w:t>dena utan att Glesbygdsverkets roll analyserats. Ett flertal myndigheter lades ner samtidigt som tre nya myndigheter bildades: Institutet för tillväxtpoliti</w:t>
      </w:r>
      <w:r w:rsidRPr="00780485">
        <w:t>s</w:t>
      </w:r>
      <w:r w:rsidRPr="00780485">
        <w:t xml:space="preserve">ka studier (ITPS), Verket för näringslivsutveckling (NUTEK) och Verket för innovationssystem (Vinnova). </w:t>
      </w:r>
    </w:p>
    <w:p w:rsidR="007A6E3D" w:rsidRPr="00780485" w:rsidRDefault="007A6E3D">
      <w:pPr>
        <w:pStyle w:val="Normaltindrag"/>
      </w:pPr>
      <w:r w:rsidRPr="00780485">
        <w:t>Analysen av Glesbygdsverkets verksamhet visar att verket främst är eng</w:t>
      </w:r>
      <w:r w:rsidRPr="00780485">
        <w:t>a</w:t>
      </w:r>
      <w:r w:rsidRPr="00780485">
        <w:t>gerat i frågor som rör de välfärdspolitiska delarna av regionalpolitiken. När det gäller insatser för att främja tillväxten i gles- och landsbygden riktas fokus främst mot den offentliga sektorns ansvar för strukturfrågor. Efterfr</w:t>
      </w:r>
      <w:r w:rsidRPr="00780485">
        <w:t>å</w:t>
      </w:r>
      <w:r w:rsidRPr="00780485">
        <w:t>gan på Glesbygdsverket i arbetet med de regionala tillväxtavtalen har hittills varit låg på den regionala nivån. Glesbygdsverket bedriver inte någon egen</w:t>
      </w:r>
      <w:r w:rsidRPr="00780485">
        <w:t>t</w:t>
      </w:r>
      <w:r w:rsidRPr="00780485">
        <w:t>lig utvärdering av gles- och landsbygdspolitiska insatser.</w:t>
      </w:r>
    </w:p>
    <w:p w:rsidR="007A6E3D" w:rsidRPr="00780485" w:rsidRDefault="007A6E3D">
      <w:pPr>
        <w:pStyle w:val="Normaltindrag"/>
      </w:pPr>
      <w:r w:rsidRPr="00780485">
        <w:t>På uppdrag av revisorerna har en konsult gjort en innehållsanalys a</w:t>
      </w:r>
      <w:r w:rsidRPr="00780485">
        <w:t>v Gle</w:t>
      </w:r>
      <w:r w:rsidRPr="00780485">
        <w:t>s</w:t>
      </w:r>
      <w:r w:rsidRPr="00780485">
        <w:t>bygdsverkets rapportproduktion under perioden 1997 till 1 juli 2000 (11 rapporter totalt)</w:t>
      </w:r>
      <w:r w:rsidRPr="00780485">
        <w:rPr>
          <w:rStyle w:val="Fotnotsreferens"/>
        </w:rPr>
        <w:footnoteReference w:id="1"/>
      </w:r>
      <w:r w:rsidRPr="00780485">
        <w:t>. En stor del av rapporterna har producerats externt eller tillsammans med andra. Det är vanligt förekommande att rapporterna riktar sig till Regeringskansliet och till kommuner. Rapporterna behandlar ofta gles- och landsbygdsfrågor som ett eget ämnesområde. Det är mer ovanligt att verkets rapporter går på djupet i sakfrågor som rör kommunikationer, högskoleutbildning, underlag för infrastrukturinvesteringar och andra frågor som har betydelse för gles- och landsbygdens utveckling på lång sikt.</w:t>
      </w:r>
    </w:p>
    <w:p w:rsidR="007A6E3D" w:rsidRPr="00780485" w:rsidRDefault="007A6E3D">
      <w:pPr>
        <w:pStyle w:val="Normaltindrag"/>
      </w:pPr>
      <w:r w:rsidRPr="00780485">
        <w:t>Den kartläggn</w:t>
      </w:r>
      <w:r w:rsidRPr="00780485">
        <w:t>ing som genomförts av Glesbygdsverkets verksamhet tyder inte på att myndigheten fungerar dåligt. Glesbygdsverkets uppdrag är dä</w:t>
      </w:r>
      <w:r w:rsidRPr="00780485">
        <w:t>r</w:t>
      </w:r>
      <w:r w:rsidRPr="00780485">
        <w:t>emot otydligt och bristen på uppföljningsbara mål för vad verket förväntas prestera gör det svårt att bedöma om Glesbygdsverket är ett effektivt verktyg för att stimulera utvecklingen i gles- och landsbygden.</w:t>
      </w:r>
    </w:p>
    <w:p w:rsidR="007A6E3D" w:rsidRPr="00780485" w:rsidRDefault="007A6E3D">
      <w:pPr>
        <w:pStyle w:val="RubrikUtanNr2"/>
        <w:outlineLvl w:val="0"/>
      </w:pPr>
      <w:bookmarkStart w:id="26" w:name="_Toc515097877"/>
      <w:bookmarkStart w:id="27" w:name="_Toc526845425"/>
      <w:bookmarkStart w:id="28" w:name="_Toc526845747"/>
      <w:r w:rsidRPr="00780485">
        <w:t>Revisorernas överväganden och förslag</w:t>
      </w:r>
      <w:bookmarkEnd w:id="26"/>
      <w:bookmarkEnd w:id="27"/>
      <w:bookmarkEnd w:id="28"/>
    </w:p>
    <w:p w:rsidR="007A6E3D" w:rsidRPr="00780485" w:rsidRDefault="007A6E3D">
      <w:r w:rsidRPr="00780485">
        <w:t>Revisorerna anser att regeringen bör ta initiativ till en översyn av Glesbygd</w:t>
      </w:r>
      <w:r w:rsidRPr="00780485">
        <w:t>s</w:t>
      </w:r>
      <w:r w:rsidRPr="00780485">
        <w:t>verkets roll i den regionalpolitiska myndighetsorganisationen. I fokus för en sådan översyn bör regionalpolitiska problem som hänger samman med en gles befolkningsstruktur ställas. Enligt revisorerna bör översynen klargöra ansvarsfördelningen mellan de regionalpolitiska myndigheterna för att dels följa upp dels främja den regionala välfärds- och tillväxtpolitiken ur ett gle</w:t>
      </w:r>
      <w:r w:rsidRPr="00780485">
        <w:t>s</w:t>
      </w:r>
      <w:r w:rsidRPr="00780485">
        <w:t>bygds- och landsbygdsperspektiv. Vidare bör det ingå i översynen att kar</w:t>
      </w:r>
      <w:r w:rsidRPr="00780485">
        <w:t>t</w:t>
      </w:r>
      <w:r w:rsidRPr="00780485">
        <w:t>lägga på vilka sätt de regionalpolitiska myndigheterna kan st</w:t>
      </w:r>
      <w:r w:rsidRPr="00780485">
        <w:t>ödja de olika organ (kommuner, landsting, länsstyrelser, myndigheter etc.) som har bet</w:t>
      </w:r>
      <w:r w:rsidRPr="00780485">
        <w:t>y</w:t>
      </w:r>
      <w:r w:rsidRPr="00780485">
        <w:t>delse för gles- och landsbygdens utveckling.</w:t>
      </w:r>
    </w:p>
    <w:p w:rsidR="007A6E3D" w:rsidRPr="00780485" w:rsidRDefault="007A6E3D">
      <w:pPr>
        <w:pStyle w:val="Normaltindrag"/>
      </w:pPr>
      <w:r w:rsidRPr="00780485">
        <w:t>Revisorerna anser vidare att regeringen bör renodla ansvaret för utvec</w:t>
      </w:r>
      <w:r w:rsidRPr="00780485">
        <w:t>k</w:t>
      </w:r>
      <w:r w:rsidRPr="00780485">
        <w:t>lings- och uppföljningsinsatser av stödet till kommersiell service samt att den geografiska a</w:t>
      </w:r>
      <w:r w:rsidRPr="00780485">
        <w:t>v</w:t>
      </w:r>
      <w:r w:rsidRPr="00780485">
        <w:t xml:space="preserve">gränsningen av Glesbygdsverkets uppdrag bör förtydligas. </w:t>
      </w:r>
    </w:p>
    <w:p w:rsidR="007A6E3D" w:rsidRPr="00780485" w:rsidRDefault="007A6E3D">
      <w:pPr>
        <w:pStyle w:val="Rubrik1"/>
        <w:numPr>
          <w:ilvl w:val="0"/>
          <w:numId w:val="157"/>
        </w:numPr>
      </w:pPr>
      <w:r w:rsidRPr="00780485">
        <w:br w:type="page"/>
      </w:r>
      <w:bookmarkStart w:id="29" w:name="_Toc515097878"/>
      <w:bookmarkStart w:id="30" w:name="_Toc526845426"/>
      <w:bookmarkStart w:id="31" w:name="_Toc526845748"/>
      <w:r w:rsidRPr="00780485">
        <w:t>Granskningens bakgrund och inriktning</w:t>
      </w:r>
      <w:bookmarkEnd w:id="29"/>
      <w:bookmarkEnd w:id="30"/>
      <w:bookmarkEnd w:id="31"/>
    </w:p>
    <w:p w:rsidR="007A6E3D" w:rsidRPr="00780485" w:rsidRDefault="007A6E3D">
      <w:r w:rsidRPr="00780485">
        <w:t>Glesbygdsverket ska verka för goda levnadsförhållanden och utveckling</w:t>
      </w:r>
      <w:r w:rsidRPr="00780485">
        <w:t>s</w:t>
      </w:r>
      <w:r w:rsidRPr="00780485">
        <w:t>möjligheter för glesbygds- och landsbygdsbefolkningen. Det ska ske genom påverkan på olika samhällssektorer. Granskningen av Glesbygdsverket syftar till att undersöka om verket lever upp till de förväntningar som statsmakterna har på myndigheten. Riksdagens revisorer beslutade i oktober 2000 att g</w:t>
      </w:r>
      <w:r w:rsidRPr="00780485">
        <w:t>e</w:t>
      </w:r>
      <w:r w:rsidRPr="00780485">
        <w:t>nomföra en granskning av Glesbygdsverkets mål och resultatuppfyllelse. Som underlag för beslutet låg en på revisorernas eget initiativ framtagen förstudie (förstudie 2000/01:2). Förstudien visade att förutsättnin</w:t>
      </w:r>
      <w:r w:rsidRPr="00780485">
        <w:t>garna för Glesbygdsverkets sätt att arbeta har genomgått betydande förändringar sedan mitten av 1990-talet. Någon utförlig uppföljning eller utvärdering av Gle</w:t>
      </w:r>
      <w:r w:rsidRPr="00780485">
        <w:t>s</w:t>
      </w:r>
      <w:r w:rsidRPr="00780485">
        <w:t xml:space="preserve">bygdsverkets roll och verksamhet har inte genomförts sedan myndigheten skapades 1991. </w:t>
      </w:r>
    </w:p>
    <w:p w:rsidR="007A6E3D" w:rsidRPr="00780485" w:rsidRDefault="007A6E3D">
      <w:pPr>
        <w:pStyle w:val="Rubrik2"/>
      </w:pPr>
      <w:bookmarkStart w:id="32" w:name="_Toc515097879"/>
      <w:bookmarkStart w:id="33" w:name="_Toc526845427"/>
      <w:bookmarkStart w:id="34" w:name="_Toc526845749"/>
      <w:r w:rsidRPr="00780485">
        <w:t>Hur bildades Glesbygdsverket?</w:t>
      </w:r>
      <w:bookmarkEnd w:id="32"/>
      <w:bookmarkEnd w:id="33"/>
      <w:bookmarkEnd w:id="34"/>
    </w:p>
    <w:p w:rsidR="007A6E3D" w:rsidRPr="00780485" w:rsidRDefault="007A6E3D">
      <w:r w:rsidRPr="00780485">
        <w:t>Glesbygdsverket skapades ur Glesbygdsdelegationen 1991 och är lokaliserat till Östersund. Glesbygdsdelegationen tillsattes 1977 och fick till uppgift att behandla för glesbygden specifika sysselsättnings- och serviceproblem. Inledningsvis bedrevs främst utredningsverksamhet men så småningom blev projektverksamheten, där olika pilotprojekt initierades allt viktigare. Under den av Europarådet initierade landsbygdskampanjen fick delegationen ett betydande anslagstillskott. Dessförinnan, under slutet av 1980-t</w:t>
      </w:r>
      <w:r w:rsidRPr="00780485">
        <w:t>alet, uppgick delegationens ekonomiska resurser till ca 5 miljoner kronor (prop. 1989/90:76). Arbetsmarknadsutskottet beskrev det övergripande syftet med att skapa en särskild glesbygdsmyndi</w:t>
      </w:r>
      <w:r w:rsidRPr="00780485">
        <w:t>g</w:t>
      </w:r>
      <w:r w:rsidRPr="00780485">
        <w:t>het på följande sätt:</w:t>
      </w:r>
    </w:p>
    <w:p w:rsidR="007A6E3D" w:rsidRPr="00780485" w:rsidRDefault="007A6E3D">
      <w:pPr>
        <w:pStyle w:val="Citat"/>
      </w:pPr>
      <w:r w:rsidRPr="00780485">
        <w:t>Under senare år har alltfler myndigheter och organ arbetat med och avsatt resurser för glesbygds- och landsbygdsutveckling. Det är därför viktigt att insatserna samordnas och utnyttjas på bästa sätt. Den föreslagna myndigh</w:t>
      </w:r>
      <w:r w:rsidRPr="00780485">
        <w:t>e</w:t>
      </w:r>
      <w:r w:rsidRPr="00780485">
        <w:t>ten får ansvar för dessa samordningsfrågor (bet. 1989/90:AU13).</w:t>
      </w:r>
    </w:p>
    <w:p w:rsidR="007A6E3D" w:rsidRPr="00780485" w:rsidRDefault="007A6E3D">
      <w:r w:rsidRPr="00780485">
        <w:t>Budgetåret 1990/91 förfogade den dåvarande delegationen över ett anslag om 15 miljoner kronor. Anslaget har med små steg ökat år från år och uppgår för budgetåret 2001 till knappt det dubbla, 25 miljoner kronor. I årsredovi</w:t>
      </w:r>
      <w:r w:rsidRPr="00780485">
        <w:t>s</w:t>
      </w:r>
      <w:r w:rsidRPr="00780485">
        <w:t>ningen för 2000 anges att antalet årsarbetskrafter under budgetåret uppgick till 33 pers</w:t>
      </w:r>
      <w:r w:rsidRPr="00780485">
        <w:t>o</w:t>
      </w:r>
      <w:r w:rsidRPr="00780485">
        <w:t xml:space="preserve">ner. </w:t>
      </w:r>
    </w:p>
    <w:p w:rsidR="007A6E3D" w:rsidRPr="00780485" w:rsidRDefault="007A6E3D">
      <w:pPr>
        <w:pStyle w:val="Normaltindrag"/>
      </w:pPr>
      <w:r w:rsidRPr="00780485">
        <w:t>Under de första åren av verkets historia hade myndighetsuppgiften att ”initiera och medverka i projekt av pilotkaraktär av betydelse för glesby</w:t>
      </w:r>
      <w:r w:rsidRPr="00780485">
        <w:t>g</w:t>
      </w:r>
      <w:r w:rsidRPr="00780485">
        <w:t>dens utveckling” hög prioritet. I regleringsbreven från början på 1990-talet anger regeringen att ca två tredjedelar av det totala anslaget bör gå till pr</w:t>
      </w:r>
      <w:r w:rsidRPr="00780485">
        <w:t>o</w:t>
      </w:r>
      <w:r w:rsidRPr="00780485">
        <w:t>jektkos</w:t>
      </w:r>
      <w:r w:rsidRPr="00780485">
        <w:t>t</w:t>
      </w:r>
      <w:r w:rsidRPr="00780485">
        <w:t>nader.</w:t>
      </w:r>
    </w:p>
    <w:p w:rsidR="007A6E3D" w:rsidRPr="00780485" w:rsidRDefault="007A6E3D">
      <w:pPr>
        <w:pStyle w:val="Normaltindrag"/>
      </w:pPr>
      <w:r w:rsidRPr="00780485">
        <w:t>Under slutet av 1998 fördes en dialog mellan regeringen och Glesbygd</w:t>
      </w:r>
      <w:r w:rsidRPr="00780485">
        <w:t>s</w:t>
      </w:r>
      <w:r w:rsidRPr="00780485">
        <w:t>verket om myndighetens verksamhetsmål. Detta ledde till en delvis förän</w:t>
      </w:r>
      <w:r w:rsidRPr="00780485">
        <w:t>d</w:t>
      </w:r>
      <w:r w:rsidRPr="00780485">
        <w:t>rad inriktning av verksamheten med bl.a. ökad betoning på myndighetens expertroll. Verksamheten med att driva pilotprojekt fasades ut under budge</w:t>
      </w:r>
      <w:r w:rsidRPr="00780485">
        <w:t>t</w:t>
      </w:r>
      <w:r w:rsidRPr="00780485">
        <w:t xml:space="preserve">året 1998 och ingår numera inte i verkets uppdrag. </w:t>
      </w:r>
    </w:p>
    <w:p w:rsidR="007A6E3D" w:rsidRPr="00780485" w:rsidRDefault="007A6E3D">
      <w:pPr>
        <w:pStyle w:val="Rubrik5"/>
        <w:rPr>
          <w:i/>
        </w:rPr>
      </w:pPr>
      <w:r w:rsidRPr="00780485">
        <w:rPr>
          <w:i/>
        </w:rPr>
        <w:t>Gles- och landsbygdspolitiska problem</w:t>
      </w:r>
    </w:p>
    <w:p w:rsidR="007A6E3D" w:rsidRPr="00780485" w:rsidRDefault="007A6E3D">
      <w:r w:rsidRPr="00780485">
        <w:t>Den ekonomiska utvecklingen innebär att det sker en kontinuerlig struktu</w:t>
      </w:r>
      <w:r w:rsidRPr="00780485">
        <w:t>r</w:t>
      </w:r>
      <w:r w:rsidRPr="00780485">
        <w:t>omvandling. Utvecklingen har visat att nya arbetstillfällen främst skapas i tätbefolkade områden. Detta avspeglas också i den kontinuerliga befol</w:t>
      </w:r>
      <w:r w:rsidRPr="00780485">
        <w:t>k</w:t>
      </w:r>
      <w:r w:rsidRPr="00780485">
        <w:t>ningsomflyttning som sker inom landet. Sammantaget innebär detta en risk för att det uppstår regionala skillnader i välstånd mellan dem som bor i tätb</w:t>
      </w:r>
      <w:r w:rsidRPr="00780485">
        <w:t>e</w:t>
      </w:r>
      <w:r w:rsidRPr="00780485">
        <w:t xml:space="preserve">folkade delar av landet och den del av befolkningen som bor i mer glest befolkade delar. </w:t>
      </w:r>
    </w:p>
    <w:p w:rsidR="007A6E3D" w:rsidRPr="00780485" w:rsidRDefault="007A6E3D">
      <w:pPr>
        <w:pStyle w:val="Normaltindrag"/>
      </w:pPr>
      <w:r w:rsidRPr="00780485">
        <w:t>I sin årsrapport för 2001 skriver Glesbygdsverket att de flesta gles- och landsbygdsregioner står inför stora utmaningar. Nä</w:t>
      </w:r>
      <w:r w:rsidRPr="00780485">
        <w:t xml:space="preserve">ringslivets krav på snabb anpassning och förmåga till förändring ökar. Problem med att matcha utbud och efterfrågan av arbetskraft finns inom samtliga arbetsmarknadsregioner men problemen är mest kännbara i de befolkningsmässigt minsta och glest belägna regioner. Problemen ökar i takt med att befolkningen i många av dessa regionerna kontinuerligt minskar. Enligt Glesbygdsverket är en av de stora utmaningarna inför framtiden att stimulera ökad inflyttning. Ett sätt att stimulera inflyttning är att hejda den </w:t>
      </w:r>
      <w:r w:rsidRPr="00780485">
        <w:t>minskning i utbudet av offentlig och kommersiell service som sker. Glesbygdsverket konstaterar dock att utbudet av service for</w:t>
      </w:r>
      <w:r w:rsidRPr="00780485">
        <w:t>t</w:t>
      </w:r>
      <w:r w:rsidRPr="00780485">
        <w:t>sätter att minska (Glesbygdsverket 2001a).</w:t>
      </w:r>
    </w:p>
    <w:p w:rsidR="007A6E3D" w:rsidRPr="00780485" w:rsidRDefault="007A6E3D">
      <w:pPr>
        <w:pStyle w:val="e"/>
      </w:pPr>
      <w:r w:rsidRPr="00780485">
        <w:t>Vad menas då med gles- och landsbygd? Glesbygdsverket har utformat en definition av gles- och landsbygder som grundar sig på ett områdes tillgän</w:t>
      </w:r>
      <w:r w:rsidRPr="00780485">
        <w:t>g</w:t>
      </w:r>
      <w:r w:rsidRPr="00780485">
        <w:t>lighet till tätorter. Definitionen bygger på den avgränsning som finns i fö</w:t>
      </w:r>
      <w:r w:rsidRPr="00780485">
        <w:t>r</w:t>
      </w:r>
      <w:r w:rsidRPr="00780485">
        <w:t>ordning 2000:283 om landsbygdsstöd som säger att glesbygd är större sa</w:t>
      </w:r>
      <w:r w:rsidRPr="00780485">
        <w:t>m</w:t>
      </w:r>
      <w:r w:rsidRPr="00780485">
        <w:t>manhängande områden som karakteriseras av långa avstånd till service och arbetsmarknad. Som tätortsnära landsbygd räknar Glesbygdsverket ett omr</w:t>
      </w:r>
      <w:r w:rsidRPr="00780485">
        <w:t>å</w:t>
      </w:r>
      <w:r w:rsidRPr="00780485">
        <w:t>de med 5 till 45 minuters pendlingsavstånd med bil till tätorter med mer än 3 000 invånare. Till glesbygden hör de områden som har mer än 45 minuters pendlingsavstånd till tätorter med mer än 3 000 invånare. I avsnitt 6</w:t>
      </w:r>
      <w:r w:rsidRPr="00780485">
        <w:t>.2 red</w:t>
      </w:r>
      <w:r w:rsidRPr="00780485">
        <w:t>o</w:t>
      </w:r>
      <w:r w:rsidRPr="00780485">
        <w:t>visas 4 andra definitioner av gles- och landsbygd som används av EU, län</w:t>
      </w:r>
      <w:r w:rsidRPr="00780485">
        <w:t>s</w:t>
      </w:r>
      <w:r w:rsidRPr="00780485">
        <w:t>styre</w:t>
      </w:r>
      <w:r w:rsidRPr="00780485">
        <w:t>l</w:t>
      </w:r>
      <w:r w:rsidRPr="00780485">
        <w:t>serna, SCB och Kommunförbundet.</w:t>
      </w:r>
    </w:p>
    <w:p w:rsidR="007A6E3D" w:rsidRPr="00780485" w:rsidRDefault="007A6E3D">
      <w:pPr>
        <w:pStyle w:val="Normaltindrag"/>
      </w:pPr>
      <w:r w:rsidRPr="00780485">
        <w:t>Enligt Glesbygdsverkets definition bor ungefär 2 % (190 000 personer) av befolkningen i glesbygd, ca 23 % (1 976 000 personer) i tätortsnära land</w:t>
      </w:r>
      <w:r w:rsidRPr="00780485">
        <w:t>s</w:t>
      </w:r>
      <w:r w:rsidRPr="00780485">
        <w:t>bygd och 75 % (6 717 000 personer) bor i tätorter (Glesbygdsverket 2001a).</w:t>
      </w:r>
    </w:p>
    <w:p w:rsidR="007A6E3D" w:rsidRPr="00780485" w:rsidRDefault="007A6E3D">
      <w:pPr>
        <w:pStyle w:val="Rubrik1"/>
      </w:pPr>
      <w:r w:rsidRPr="00780485">
        <w:br w:type="page"/>
      </w:r>
      <w:bookmarkStart w:id="35" w:name="_Toc515097880"/>
      <w:bookmarkStart w:id="36" w:name="_Toc526845428"/>
      <w:bookmarkStart w:id="37" w:name="_Toc526845750"/>
      <w:r w:rsidRPr="00780485">
        <w:t>Regionalpolitikens utveckling</w:t>
      </w:r>
      <w:bookmarkEnd w:id="35"/>
      <w:bookmarkEnd w:id="36"/>
      <w:bookmarkEnd w:id="37"/>
    </w:p>
    <w:p w:rsidR="007A6E3D" w:rsidRPr="00780485" w:rsidRDefault="007A6E3D">
      <w:r w:rsidRPr="00780485">
        <w:t>Glesbygdsverkets uppdrag och verksamhet har genomgått stora förändringar från det att myndigheten bildades. Enligt det nuvarande uppdraget ska verket fungera som en expertmyndighet inom regionalpolitiken. I detta kapitel beskrivs regionalpolitikens u</w:t>
      </w:r>
      <w:r w:rsidRPr="00780485">
        <w:t>t</w:t>
      </w:r>
      <w:r w:rsidRPr="00780485">
        <w:t>veckling fram till i dag.</w:t>
      </w:r>
    </w:p>
    <w:p w:rsidR="007A6E3D" w:rsidRPr="00780485" w:rsidRDefault="007A6E3D">
      <w:pPr>
        <w:pStyle w:val="e"/>
      </w:pPr>
      <w:r w:rsidRPr="00780485">
        <w:t>Den politik som i dag benämns regionalpolitik etablerades på 1960-talet. Syftet var inledningsvis huvudsakligen att avlänka eller överföra en del av den tillväxt som fanns i överhettade områden till områden med sämre til</w:t>
      </w:r>
      <w:r w:rsidRPr="00780485">
        <w:t>l</w:t>
      </w:r>
      <w:r w:rsidRPr="00780485">
        <w:t xml:space="preserve">växt. Det skedde i stor utsträckning genom direkta ekonomiska stimulanser till enskilda företag. </w:t>
      </w:r>
    </w:p>
    <w:p w:rsidR="007A6E3D" w:rsidRPr="00780485" w:rsidRDefault="007A6E3D">
      <w:pPr>
        <w:pStyle w:val="e"/>
      </w:pPr>
      <w:r w:rsidRPr="00780485">
        <w:t>Regionalpolitiken växte fram som ett svar på de regionala problem som uppstod i övergången från jordbrukssamhället till industrisamhället. Denna övergång spelade alltmer ut sin roll och i slutet på 1970-talet stod det klart att industrin inte längre kunde erbjuda nya arbetstillfällen i tillräcklig omfat</w:t>
      </w:r>
      <w:r w:rsidRPr="00780485">
        <w:t>t</w:t>
      </w:r>
      <w:r w:rsidRPr="00780485">
        <w:t xml:space="preserve">ning. Den offentliga sektorns möjligheter att expandera ägnades i stället alltmer regionalpolitiskt intresse. </w:t>
      </w:r>
    </w:p>
    <w:p w:rsidR="007A6E3D" w:rsidRPr="00780485" w:rsidRDefault="007A6E3D">
      <w:pPr>
        <w:pStyle w:val="Normaltindrag"/>
      </w:pPr>
      <w:r w:rsidRPr="00780485">
        <w:t>Under första hälften av 1970-talet flyttades statliga arbetstillfällen från Stockholm till regionala centrum i landet genom att ett antal statliga verk utlokaliserades från Stockholm. Genom 1977 års högskolereform började även den högre utbildningen att användas som en regionalpolitisk åtgärd i större skala (Ds 1999:50). Under den senare delen på 1970-talet inriktades politiken på att finna ersätt</w:t>
      </w:r>
      <w:r w:rsidRPr="00780485">
        <w:t>ning för de arbetstillfällen som gått förlorade inom de gamla basnäringarna gruv-, varv- och stålindustri. Arbetsmarknadspolit</w:t>
      </w:r>
      <w:r w:rsidRPr="00780485">
        <w:t>i</w:t>
      </w:r>
      <w:r w:rsidRPr="00780485">
        <w:t xml:space="preserve">ken och regionalpolitiken närmade sig därmed varandra alltmer. Tidigare hade insatserna i större utsträckning handlat om att stödja moderniseringen av de gamla basnäringarna (SOU 1995:27). </w:t>
      </w:r>
    </w:p>
    <w:p w:rsidR="007A6E3D" w:rsidRPr="00780485" w:rsidRDefault="007A6E3D">
      <w:pPr>
        <w:pStyle w:val="Normaltindrag"/>
      </w:pPr>
      <w:r w:rsidRPr="00780485">
        <w:t xml:space="preserve">I samband med lågkonjunkturen i början på 1980-talet blev effekterna av den internationella konkurrensens påverkan på den svenska ekonomin allt tydligare. Strukturomvandlingen resulterade i krav </w:t>
      </w:r>
      <w:r w:rsidRPr="00780485">
        <w:t>på politiken att lösa akuta problem i befintliga verksamheter och att initiera och stödja nyföretagande i vissa regioner. Regionalpolitiken blev ett medel att lindra de regionala ko</w:t>
      </w:r>
      <w:r w:rsidRPr="00780485">
        <w:t>n</w:t>
      </w:r>
      <w:r w:rsidRPr="00780485">
        <w:t>sekvenserna av strukturomvandlingen. Politiken fick därmed uppgiften att stimulera tillväxten vid sidan av den traditionella uppgiften att fördela til</w:t>
      </w:r>
      <w:r w:rsidRPr="00780485">
        <w:t>l</w:t>
      </w:r>
      <w:r w:rsidRPr="00780485">
        <w:t>växt (Ds 1999:50).</w:t>
      </w:r>
    </w:p>
    <w:p w:rsidR="007A6E3D" w:rsidRPr="00780485" w:rsidRDefault="007A6E3D">
      <w:pPr>
        <w:pStyle w:val="Rubrik2"/>
      </w:pPr>
      <w:bookmarkStart w:id="38" w:name="_Toc493052219"/>
      <w:bookmarkStart w:id="39" w:name="_Toc515097881"/>
      <w:bookmarkStart w:id="40" w:name="_Toc526845429"/>
      <w:bookmarkStart w:id="41" w:name="_Toc526845751"/>
      <w:r w:rsidRPr="00780485">
        <w:t>Regionalpolitikens inriktning under 1990-talet</w:t>
      </w:r>
      <w:bookmarkEnd w:id="38"/>
      <w:bookmarkEnd w:id="39"/>
      <w:bookmarkEnd w:id="40"/>
      <w:bookmarkEnd w:id="41"/>
    </w:p>
    <w:p w:rsidR="007A6E3D" w:rsidRPr="00780485" w:rsidRDefault="007A6E3D">
      <w:r w:rsidRPr="00780485">
        <w:t>Regionalpolitiken har varit föremål för flera stora utredningar under 1990-talet. Riksdagen har beslutat om ett flertal regionalpolitiska propositioner sedan 1991 då Glesbygdsverket bildades. Det är viktigt att följa hur regi</w:t>
      </w:r>
      <w:r w:rsidRPr="00780485">
        <w:t>o</w:t>
      </w:r>
      <w:r w:rsidRPr="00780485">
        <w:t>nalpolitiken förändrats under 1990-talet eftersom det ger en indikation på hur förutsättningarna för myndighetens verksamhet förändrats. De socialdem</w:t>
      </w:r>
      <w:r w:rsidRPr="00780485">
        <w:t>o</w:t>
      </w:r>
      <w:r w:rsidRPr="00780485">
        <w:t>kratiska regeringarna har lagt fram tre propositioner under 1990-talet: prop</w:t>
      </w:r>
      <w:r w:rsidRPr="00780485">
        <w:t>o</w:t>
      </w:r>
      <w:r w:rsidRPr="00780485">
        <w:t>sition 1989/90:76 Om regionalpolitik för 90-talet, proposition 1994/95:161 Regionalpolitik och proposition 1997/98:62 Regional tillväxt – för arbete och välfärd. Dessutom lade regeringen Bildt fram proposition 1993/94:140 By</w:t>
      </w:r>
      <w:r w:rsidRPr="00780485">
        <w:t>g</w:t>
      </w:r>
      <w:r w:rsidRPr="00780485">
        <w:t xml:space="preserve">der och regioner i utveckling. </w:t>
      </w:r>
    </w:p>
    <w:p w:rsidR="007A6E3D" w:rsidRPr="00780485" w:rsidRDefault="007A6E3D">
      <w:pPr>
        <w:pStyle w:val="Normaltindrag"/>
      </w:pPr>
      <w:r w:rsidRPr="00780485">
        <w:t>De övergripande målen för r</w:t>
      </w:r>
      <w:r w:rsidRPr="00780485">
        <w:t>egionalpolitiken har varit tämligen stabila u</w:t>
      </w:r>
      <w:r w:rsidRPr="00780485">
        <w:t>n</w:t>
      </w:r>
      <w:r w:rsidRPr="00780485">
        <w:t xml:space="preserve">der 1990-talet. De förändringar som skett i den förda politiken har i större utsträckning handlat om </w:t>
      </w:r>
      <w:r w:rsidRPr="00780485">
        <w:rPr>
          <w:i/>
        </w:rPr>
        <w:t>hur</w:t>
      </w:r>
      <w:r w:rsidRPr="00780485">
        <w:t xml:space="preserve"> dessa mål ska nås. </w:t>
      </w:r>
    </w:p>
    <w:p w:rsidR="007A6E3D" w:rsidRPr="00780485" w:rsidRDefault="007A6E3D">
      <w:pPr>
        <w:pStyle w:val="Rubrik3"/>
      </w:pPr>
      <w:bookmarkStart w:id="42" w:name="_Toc515097882"/>
      <w:bookmarkStart w:id="43" w:name="_Toc526845430"/>
      <w:bookmarkStart w:id="44" w:name="_Toc526845752"/>
      <w:r w:rsidRPr="00780485">
        <w:t>Ökad delegering och decentralisering</w:t>
      </w:r>
      <w:bookmarkEnd w:id="42"/>
      <w:bookmarkEnd w:id="43"/>
      <w:bookmarkEnd w:id="44"/>
    </w:p>
    <w:p w:rsidR="007A6E3D" w:rsidRPr="00780485" w:rsidRDefault="007A6E3D">
      <w:r w:rsidRPr="00780485">
        <w:t>I och med proposition 1989/90:76, Om regionalpolitik för 90-talet, ändrade regionalpolitiken till viss del inriktning. I stället för att formulera huvuddr</w:t>
      </w:r>
      <w:r w:rsidRPr="00780485">
        <w:t>a</w:t>
      </w:r>
      <w:r w:rsidRPr="00780485">
        <w:t>gen i de regionala problemen fokuserades i stället mer på vilka regioner som har problem. Det regionalpolitiska problemet knöts i minskad utsträckning till de traditionella strukturomvandlingsproblemen, dvs. omvandlingen från jordbrukssamhälle till industrisamhället och strukturomvandlingen inom industrin. Politiken inriktades i stället alltmer mot förutsättningar och ege</w:t>
      </w:r>
      <w:r w:rsidRPr="00780485">
        <w:t>n</w:t>
      </w:r>
      <w:r w:rsidRPr="00780485">
        <w:t>skaper hos ett geografiskt område. Inflytande över de regionalpolitiska me</w:t>
      </w:r>
      <w:r w:rsidRPr="00780485">
        <w:t>d</w:t>
      </w:r>
      <w:r w:rsidRPr="00780485">
        <w:t>len och insatserna flyttades från centrum till regionerna (Ds</w:t>
      </w:r>
      <w:r w:rsidRPr="00780485">
        <w:t xml:space="preserve"> 1999:50). </w:t>
      </w:r>
    </w:p>
    <w:p w:rsidR="007A6E3D" w:rsidRPr="00780485" w:rsidRDefault="007A6E3D">
      <w:pPr>
        <w:pStyle w:val="Normaltindrag"/>
      </w:pPr>
      <w:r w:rsidRPr="00780485">
        <w:t>Målen och riktlinjerna för regionalpolitiken preciserades. Förslagen i pr</w:t>
      </w:r>
      <w:r w:rsidRPr="00780485">
        <w:t>o</w:t>
      </w:r>
      <w:r w:rsidRPr="00780485">
        <w:t xml:space="preserve">positionen syftade till att åstadkomma regional tillväxt och utjämning och kan sammanfattas med följande: </w:t>
      </w:r>
    </w:p>
    <w:p w:rsidR="007A6E3D" w:rsidRPr="00780485" w:rsidRDefault="007A6E3D">
      <w:pPr>
        <w:pStyle w:val="Normaltindrag"/>
        <w:numPr>
          <w:ilvl w:val="0"/>
          <w:numId w:val="50"/>
        </w:numPr>
      </w:pPr>
      <w:r w:rsidRPr="00780485">
        <w:t>Utvecklingsåtgärderna koncentrerades främst till Sveriges norra i</w:t>
      </w:r>
      <w:r w:rsidRPr="00780485">
        <w:t>n</w:t>
      </w:r>
      <w:r w:rsidRPr="00780485">
        <w:t>land.</w:t>
      </w:r>
    </w:p>
    <w:p w:rsidR="007A6E3D" w:rsidRPr="00780485" w:rsidRDefault="007A6E3D">
      <w:pPr>
        <w:pStyle w:val="Normaltindrag"/>
        <w:numPr>
          <w:ilvl w:val="0"/>
          <w:numId w:val="50"/>
        </w:numPr>
      </w:pPr>
      <w:r w:rsidRPr="00780485">
        <w:t xml:space="preserve">Förslag lades om förbättrade och förenklade möjligheter att utveckla glesbygd och landsbygd i hela landet. </w:t>
      </w:r>
    </w:p>
    <w:p w:rsidR="007A6E3D" w:rsidRPr="00780485" w:rsidRDefault="007A6E3D">
      <w:pPr>
        <w:pStyle w:val="Normaltindrag"/>
        <w:numPr>
          <w:ilvl w:val="0"/>
          <w:numId w:val="50"/>
        </w:numPr>
      </w:pPr>
      <w:r w:rsidRPr="00780485">
        <w:t>Sektorssamordningen förstärktes och särskilda åtgärder för att förbättra i</w:t>
      </w:r>
      <w:r w:rsidRPr="00780485">
        <w:t>n</w:t>
      </w:r>
      <w:r w:rsidRPr="00780485">
        <w:t>frastrukturen föreslogs.</w:t>
      </w:r>
    </w:p>
    <w:p w:rsidR="007A6E3D" w:rsidRPr="00780485" w:rsidRDefault="007A6E3D">
      <w:pPr>
        <w:pStyle w:val="Normaltindrag"/>
        <w:numPr>
          <w:ilvl w:val="0"/>
          <w:numId w:val="50"/>
        </w:numPr>
      </w:pPr>
      <w:r w:rsidRPr="00780485">
        <w:t>Regionalpolitikens genomförande decentraliserades kraftigt till länsst</w:t>
      </w:r>
      <w:r w:rsidRPr="00780485">
        <w:t>y</w:t>
      </w:r>
      <w:r w:rsidRPr="00780485">
        <w:t>rels</w:t>
      </w:r>
      <w:r w:rsidRPr="00780485">
        <w:t>e</w:t>
      </w:r>
      <w:r w:rsidRPr="00780485">
        <w:t>rna.</w:t>
      </w:r>
    </w:p>
    <w:p w:rsidR="007A6E3D" w:rsidRPr="00780485" w:rsidRDefault="007A6E3D">
      <w:pPr>
        <w:pStyle w:val="Normaltindrag"/>
        <w:numPr>
          <w:ilvl w:val="0"/>
          <w:numId w:val="50"/>
        </w:numPr>
      </w:pPr>
      <w:r w:rsidRPr="00780485">
        <w:t>Resurserna för regionala utvecklingsinsatser förstärktes kraftigt.</w:t>
      </w:r>
    </w:p>
    <w:p w:rsidR="007A6E3D" w:rsidRPr="00780485" w:rsidRDefault="007A6E3D">
      <w:r w:rsidRPr="00780485">
        <w:t>Det då gällande målet för regionalpolitiken ”att ge människor tillgång till arbete, service och god miljö oavsett var de bor” kvarstod. Målen preciser</w:t>
      </w:r>
      <w:r w:rsidRPr="00780485">
        <w:t>a</w:t>
      </w:r>
      <w:r w:rsidRPr="00780485">
        <w:t>des dock ytterligare. Den dåvarande reg</w:t>
      </w:r>
      <w:r w:rsidRPr="00780485">
        <w:t>e</w:t>
      </w:r>
      <w:r w:rsidRPr="00780485">
        <w:t xml:space="preserve">ringen skrev 1990 att: </w:t>
      </w:r>
    </w:p>
    <w:p w:rsidR="007A6E3D" w:rsidRPr="00780485" w:rsidRDefault="007A6E3D">
      <w:pPr>
        <w:pStyle w:val="Citat"/>
      </w:pPr>
      <w:r w:rsidRPr="00780485">
        <w:t>Regionalpolitiken bör främja en rättvis fördelning av välståndet mellan olika delar av landet, bidra till en balanserad befolkningsutveckling så att valfrihet beträffande bosättning, utbildning, arbete m.m. främjas. Vidare ska regiona</w:t>
      </w:r>
      <w:r w:rsidRPr="00780485">
        <w:t>l</w:t>
      </w:r>
      <w:r w:rsidRPr="00780485">
        <w:t>politiken understödja en rationell produktion så att en hög ekonomisk tillväxt främjas och med hänsyn tagen till målet om en god miljö (prop. 1989/90:76).</w:t>
      </w:r>
    </w:p>
    <w:p w:rsidR="007A6E3D" w:rsidRPr="00780485" w:rsidRDefault="007A6E3D">
      <w:r w:rsidRPr="00780485">
        <w:t xml:space="preserve">Glesbygden fick relativt stor uppmärksamhet i propositionen. Det visas bl.a. genom att de regionalpolitiska insatserna koncentrerades till vissa regioner, framför allt Norrlands inland och Jämtland, där huvuddelen av den svenska glesbygden ligger. </w:t>
      </w:r>
    </w:p>
    <w:p w:rsidR="007A6E3D" w:rsidRPr="00780485" w:rsidRDefault="007A6E3D">
      <w:pPr>
        <w:pStyle w:val="Normaltindrag"/>
      </w:pPr>
      <w:r w:rsidRPr="00780485">
        <w:t xml:space="preserve">Ökad decentralisering/delegering kräver kunskapsspridning, samordning och uppföljning, och det var mot bakgrund av bl.a. dessa argument som riksdagen tog beslut om att inrätta en Glesbygdsmyndighet. </w:t>
      </w:r>
    </w:p>
    <w:p w:rsidR="007A6E3D" w:rsidRPr="00780485" w:rsidRDefault="007A6E3D">
      <w:pPr>
        <w:pStyle w:val="Rubrik3"/>
      </w:pPr>
      <w:bookmarkStart w:id="45" w:name="_Toc515097883"/>
      <w:bookmarkStart w:id="46" w:name="_Toc526845431"/>
      <w:bookmarkStart w:id="47" w:name="_Toc526845753"/>
      <w:r w:rsidRPr="00780485">
        <w:t>Ökad målstyrning</w:t>
      </w:r>
      <w:bookmarkEnd w:id="45"/>
      <w:bookmarkEnd w:id="46"/>
      <w:bookmarkEnd w:id="47"/>
    </w:p>
    <w:p w:rsidR="007A6E3D" w:rsidRPr="00780485" w:rsidRDefault="007A6E3D">
      <w:r w:rsidRPr="00780485">
        <w:t>Under 1990-talet har den regionalpolitiska utvecklingen fortsatt mot att de övergripande målen formuleras centralt medan inflytandet över hur och med vilka medel som målen bäst nås i allt större utsträckning decentralis</w:t>
      </w:r>
      <w:r w:rsidRPr="00780485">
        <w:t>e</w:t>
      </w:r>
      <w:r w:rsidRPr="00780485">
        <w:t xml:space="preserve">rats/delegerats. Övertygelsen har stärkts om att det framför allt är genom att skapa goda grundläggande förutsättningar för tillväxt i landets olika regioner som de regionalpolitiska målen kan nås. </w:t>
      </w:r>
    </w:p>
    <w:p w:rsidR="007A6E3D" w:rsidRPr="00780485" w:rsidRDefault="007A6E3D">
      <w:pPr>
        <w:pStyle w:val="Normaltindrag"/>
      </w:pPr>
      <w:r w:rsidRPr="00780485">
        <w:t xml:space="preserve">Detta har inneburit en större fokusering på vad som brukar kallas den </w:t>
      </w:r>
      <w:r w:rsidRPr="00780485">
        <w:rPr>
          <w:i/>
        </w:rPr>
        <w:t>stora regionalpolitiken</w:t>
      </w:r>
      <w:r w:rsidRPr="00780485">
        <w:t>. Regeringen har under senare år konstaterat att en felaktig grundsyn på regionala frågor inom viktiga samhällssektorer inte kan justeras med regionalpolitiska stöd. Det som krävs är i stället regionalpolitiska hä</w:t>
      </w:r>
      <w:r w:rsidRPr="00780485">
        <w:t>n</w:t>
      </w:r>
      <w:r w:rsidRPr="00780485">
        <w:t>synstaganden inom andra utgiftsområden. Detta kan t.ex. gälla insatser inom närings-, arbetsmarknads-, utbildnings- och forskningspolitiken samt invest</w:t>
      </w:r>
      <w:r w:rsidRPr="00780485">
        <w:t>e</w:t>
      </w:r>
      <w:r w:rsidRPr="00780485">
        <w:t xml:space="preserve">ringar i infrastruktur (prop. 1999/2000:1). </w:t>
      </w:r>
    </w:p>
    <w:p w:rsidR="007A6E3D" w:rsidRPr="00780485" w:rsidRDefault="007A6E3D">
      <w:pPr>
        <w:pStyle w:val="Rubrik3"/>
      </w:pPr>
      <w:bookmarkStart w:id="48" w:name="_Toc515097884"/>
      <w:bookmarkStart w:id="49" w:name="_Toc526845432"/>
      <w:bookmarkStart w:id="50" w:name="_Toc526845754"/>
      <w:r w:rsidRPr="00780485">
        <w:t>EU-medlemskapet</w:t>
      </w:r>
      <w:bookmarkEnd w:id="48"/>
      <w:bookmarkEnd w:id="49"/>
      <w:bookmarkEnd w:id="50"/>
    </w:p>
    <w:p w:rsidR="007A6E3D" w:rsidRPr="00780485" w:rsidRDefault="007A6E3D">
      <w:r w:rsidRPr="00780485">
        <w:t>EU-medlemskapet har inneburit ändrade förutsättningar för regionalpolit</w:t>
      </w:r>
      <w:r w:rsidRPr="00780485">
        <w:t>i</w:t>
      </w:r>
      <w:r w:rsidRPr="00780485">
        <w:t>ken. Genom EG:s strukturfonder tillförs stora områden i landet viktiga regi</w:t>
      </w:r>
      <w:r w:rsidRPr="00780485">
        <w:t>o</w:t>
      </w:r>
      <w:r w:rsidRPr="00780485">
        <w:t>nalpolitiska resurser varje år. Det gemensamma regelverket sätter dessutom gränser för hur regionalpolitiken får bedrivas. Bestämmelser om stödomr</w:t>
      </w:r>
      <w:r w:rsidRPr="00780485">
        <w:t>å</w:t>
      </w:r>
      <w:r w:rsidRPr="00780485">
        <w:t>den och hur företagsstöd får utformas är några exempel på detta. Det nati</w:t>
      </w:r>
      <w:r w:rsidRPr="00780485">
        <w:t>o</w:t>
      </w:r>
      <w:r w:rsidRPr="00780485">
        <w:t>nella inflytandet över delar av regionalpolitiken har därmed begrä</w:t>
      </w:r>
      <w:r w:rsidRPr="00780485">
        <w:t>n</w:t>
      </w:r>
      <w:r w:rsidRPr="00780485">
        <w:t>sats.</w:t>
      </w:r>
    </w:p>
    <w:p w:rsidR="007A6E3D" w:rsidRPr="00780485" w:rsidRDefault="007A6E3D">
      <w:pPr>
        <w:pStyle w:val="Rubrik3"/>
      </w:pPr>
      <w:bookmarkStart w:id="51" w:name="_Toc515097885"/>
      <w:bookmarkStart w:id="52" w:name="_Toc526845433"/>
      <w:bookmarkStart w:id="53" w:name="_Toc526845755"/>
      <w:r w:rsidRPr="00780485">
        <w:t>Decentralisering och kommunalisering</w:t>
      </w:r>
      <w:bookmarkEnd w:id="51"/>
      <w:bookmarkEnd w:id="52"/>
      <w:bookmarkEnd w:id="53"/>
    </w:p>
    <w:p w:rsidR="007A6E3D" w:rsidRPr="00780485" w:rsidRDefault="007A6E3D">
      <w:r w:rsidRPr="00780485">
        <w:t>Frågan om hur statsmakternas beslut på ett effektivt sätt ska implementeras på lokal och regional nivå liksom frågan om hur maktfördelningen mellan stat, landsting och kommun bör ske för att öka den demokratiska förankrin</w:t>
      </w:r>
      <w:r w:rsidRPr="00780485">
        <w:t>g</w:t>
      </w:r>
      <w:r w:rsidRPr="00780485">
        <w:t>en är i grunden ingen regionalpolitisk fråga. Den sortens förändringar i sa</w:t>
      </w:r>
      <w:r w:rsidRPr="00780485">
        <w:t>m</w:t>
      </w:r>
      <w:r w:rsidRPr="00780485">
        <w:t>hällsorganisationen har dock betydelse för hur regionalpolitiken kan bedr</w:t>
      </w:r>
      <w:r w:rsidRPr="00780485">
        <w:t>i</w:t>
      </w:r>
      <w:r w:rsidRPr="00780485">
        <w:t xml:space="preserve">vas. Eftersom Glesbygdsverket ska </w:t>
      </w:r>
      <w:r w:rsidRPr="00780485">
        <w:rPr>
          <w:i/>
        </w:rPr>
        <w:t>verka genom påverkan</w:t>
      </w:r>
      <w:r w:rsidRPr="00780485">
        <w:t xml:space="preserve"> på olika samhäll</w:t>
      </w:r>
      <w:r w:rsidRPr="00780485">
        <w:t>s</w:t>
      </w:r>
      <w:r w:rsidRPr="00780485">
        <w:t>sektorer är det viktigt att undersöka vilka det är som ska påverkas och hur antalet aktörer och deras roller förändrats sedan Glesbygdsverket skap</w:t>
      </w:r>
      <w:r w:rsidRPr="00780485">
        <w:t>a</w:t>
      </w:r>
      <w:r w:rsidRPr="00780485">
        <w:t xml:space="preserve">des. </w:t>
      </w:r>
    </w:p>
    <w:p w:rsidR="007A6E3D" w:rsidRPr="00780485" w:rsidRDefault="007A6E3D">
      <w:pPr>
        <w:pStyle w:val="Normaltindrag"/>
      </w:pPr>
      <w:r w:rsidRPr="00780485">
        <w:t>Inom den statliga sektorn pekade REKO</w:t>
      </w:r>
      <w:r w:rsidRPr="00780485">
        <w:noBreakHyphen/>
        <w:t>STAT</w:t>
      </w:r>
      <w:r w:rsidRPr="00780485">
        <w:noBreakHyphen/>
        <w:t xml:space="preserve">utredningen 1997 på att det skett en </w:t>
      </w:r>
      <w:r w:rsidRPr="00780485">
        <w:rPr>
          <w:i/>
        </w:rPr>
        <w:t>sektorsvis regionalisering</w:t>
      </w:r>
      <w:r w:rsidRPr="00780485">
        <w:t xml:space="preserve"> vilket gjort det svårare för länsstyre</w:t>
      </w:r>
      <w:r w:rsidRPr="00780485">
        <w:t>l</w:t>
      </w:r>
      <w:r w:rsidRPr="00780485">
        <w:t>serna att svara för sektorsövergripande samordning och utveckling (SOU 1997:13). Den parlamentariska regionkommittén (PARK-kommittén) skriver i sitt slutbetänkande att den decentralisering som pågått av statlig verksamhet sedan 1940-talet förstärkts under senare decennier. Detta exemplifieras med att kommunerna tagit över ansvaret för bl.a. skolan och civilförsvaret under 1990-talet. Inom den statlig</w:t>
      </w:r>
      <w:r w:rsidRPr="00780485">
        <w:t>a sektorn har den regionala nivåns betydelse ökat inom områden som näringspolitiken, kommunikationerna, arbetsmarknad</w:t>
      </w:r>
      <w:r w:rsidRPr="00780485">
        <w:t>s</w:t>
      </w:r>
      <w:r w:rsidRPr="00780485">
        <w:t>politiken och EG:s strukturfondsprogram enligt kommittén. Inom området offentlig service har kommunerna tagit över verksamhet som äldresjukvå</w:t>
      </w:r>
      <w:r w:rsidRPr="00780485">
        <w:t>r</w:t>
      </w:r>
      <w:r w:rsidRPr="00780485">
        <w:t>den (ädel-reformen), omsorgen om utvecklingsstörda och handikappade och delar av psykiatrin från landstingen (SOU 2000:85).</w:t>
      </w:r>
    </w:p>
    <w:p w:rsidR="007A6E3D" w:rsidRPr="00780485" w:rsidRDefault="007A6E3D">
      <w:pPr>
        <w:pStyle w:val="Normaltindrag"/>
      </w:pPr>
      <w:r w:rsidRPr="00780485">
        <w:t>Det ökade åtagande som lagts på kommuner och landsting under en längre tid har gjort de lokala och regionala demokratiska nivåer</w:t>
      </w:r>
      <w:r w:rsidRPr="00780485">
        <w:t>na till betydelsefulla aktörer inom alltfler politikområden. Utvecklingen kan översiktligt beskrivas som att staten behåller ett övergripande ansvar för politikens inriktning g</w:t>
      </w:r>
      <w:r w:rsidRPr="00780485">
        <w:t>e</w:t>
      </w:r>
      <w:r w:rsidRPr="00780485">
        <w:t>nom att formulera dess mål. Samtidigt ges de kommunala självstyrelseorg</w:t>
      </w:r>
      <w:r w:rsidRPr="00780485">
        <w:t>a</w:t>
      </w:r>
      <w:r w:rsidRPr="00780485">
        <w:t>nen allt större möjligheter att delta i den nationella politikens genomförande på lokal och regional nivå.</w:t>
      </w:r>
    </w:p>
    <w:p w:rsidR="007A6E3D" w:rsidRPr="00780485" w:rsidRDefault="007A6E3D">
      <w:pPr>
        <w:pStyle w:val="Normaltindrag"/>
      </w:pPr>
      <w:r w:rsidRPr="00780485">
        <w:t>För närvarande bedrivs försök i fyra län med ändrad regional ansvarsfö</w:t>
      </w:r>
      <w:r w:rsidRPr="00780485">
        <w:t>r</w:t>
      </w:r>
      <w:r w:rsidRPr="00780485">
        <w:t>delning mellan stat och kommun. De regionala självstyrelseorganen har t.ex. övertagit det regionala utvecklingsansvaret, beslutanderätten över regiona</w:t>
      </w:r>
      <w:r w:rsidRPr="00780485">
        <w:t>l</w:t>
      </w:r>
      <w:r w:rsidRPr="00780485">
        <w:t>politiska utvecklingsmedel och ansvaret för länsplaner och infrastruktur från staten. I Gotlands län sker även försök med utvidgad länsförvaltning vilket innebär att länsarbetsnämnden och skogsvårdsstyrelsen inordnats i länsst</w:t>
      </w:r>
      <w:r w:rsidRPr="00780485">
        <w:t>y</w:t>
      </w:r>
      <w:r w:rsidRPr="00780485">
        <w:t xml:space="preserve">relsen. </w:t>
      </w:r>
    </w:p>
    <w:p w:rsidR="007A6E3D" w:rsidRPr="00780485" w:rsidRDefault="007A6E3D">
      <w:pPr>
        <w:pStyle w:val="Rubrik3"/>
      </w:pPr>
      <w:bookmarkStart w:id="54" w:name="_Toc515097886"/>
      <w:bookmarkStart w:id="55" w:name="_Toc526845434"/>
      <w:bookmarkStart w:id="56" w:name="_Toc526845756"/>
      <w:r w:rsidRPr="00780485">
        <w:t>Regional näringspolitik</w:t>
      </w:r>
      <w:bookmarkEnd w:id="54"/>
      <w:bookmarkEnd w:id="55"/>
      <w:bookmarkEnd w:id="56"/>
    </w:p>
    <w:p w:rsidR="007A6E3D" w:rsidRPr="00780485" w:rsidRDefault="007A6E3D">
      <w:r w:rsidRPr="00780485">
        <w:t xml:space="preserve">I propositionen Regional tillväxt </w:t>
      </w:r>
      <w:r w:rsidRPr="00780485">
        <w:noBreakHyphen/>
        <w:t xml:space="preserve"> för arbete och välfärd (1997/98:62, bet. 1997/98:AU11, rskr. 1997/98:204) introducerades en ny </w:t>
      </w:r>
      <w:r w:rsidRPr="00780485">
        <w:rPr>
          <w:i/>
        </w:rPr>
        <w:t>regional näringsp</w:t>
      </w:r>
      <w:r w:rsidRPr="00780485">
        <w:rPr>
          <w:i/>
        </w:rPr>
        <w:t>o</w:t>
      </w:r>
      <w:r w:rsidRPr="00780485">
        <w:rPr>
          <w:i/>
        </w:rPr>
        <w:t>litik</w:t>
      </w:r>
      <w:r w:rsidRPr="00780485">
        <w:t>. Syftet var att ”utifrån de regionala förutsättningarna stimulera en hållbar ekonomisk tillväxt som kan bidra till fler och växande företag och därmed ökad sysselsättning för både kvinnor och män”. I arbetet med att åstadko</w:t>
      </w:r>
      <w:r w:rsidRPr="00780485">
        <w:t>m</w:t>
      </w:r>
      <w:r w:rsidRPr="00780485">
        <w:t>ma detta spelar de regionala tillväxtavtalen en nyc</w:t>
      </w:r>
      <w:r w:rsidRPr="00780485">
        <w:t>k</w:t>
      </w:r>
      <w:r w:rsidRPr="00780485">
        <w:t xml:space="preserve">elroll. </w:t>
      </w:r>
    </w:p>
    <w:p w:rsidR="007A6E3D" w:rsidRPr="00780485" w:rsidRDefault="007A6E3D">
      <w:pPr>
        <w:pStyle w:val="Normaltindrag"/>
      </w:pPr>
      <w:r w:rsidRPr="00780485">
        <w:t>De regionala tillväxtavtalen började gälla fr.o.m. den 1 januari 2000 och sträcker sig över en treårsperio</w:t>
      </w:r>
      <w:r w:rsidRPr="00780485">
        <w:t>d. Länsstyrelserna och självstyrelseorganen i de län som bedriver försöksverksamhet med ändrad regional ansvarsförde</w:t>
      </w:r>
      <w:r w:rsidRPr="00780485">
        <w:t>l</w:t>
      </w:r>
      <w:r w:rsidRPr="00780485">
        <w:t>ning har samordnat arbetet med att ta fram de regionala tillväxtavtalen. A</w:t>
      </w:r>
      <w:r w:rsidRPr="00780485">
        <w:t>v</w:t>
      </w:r>
      <w:r w:rsidRPr="00780485">
        <w:t>talen har utarbetas i breda partnerskap mellan de olika parter som arbetar med tillväxt- och sysselsättningsfrämjande åtgärder på lokal, regional och central nivå och är tänkta att fungera som ett instrument för bättre samve</w:t>
      </w:r>
      <w:r w:rsidRPr="00780485">
        <w:t>r</w:t>
      </w:r>
      <w:r w:rsidRPr="00780485">
        <w:t xml:space="preserve">kan. </w:t>
      </w:r>
    </w:p>
    <w:p w:rsidR="007A6E3D" w:rsidRPr="00780485" w:rsidRDefault="007A6E3D">
      <w:pPr>
        <w:pStyle w:val="Normaltindrag"/>
      </w:pPr>
      <w:r w:rsidRPr="00780485">
        <w:t>De utvecklingsmedel som finns avsatta för regionalpolitiskt prioriterade områden täcks ti</w:t>
      </w:r>
      <w:r w:rsidRPr="00780485">
        <w:t xml:space="preserve">ll den övervägande delen av tillväxtavtalen. Genom avtalen ökar det regionala inflytandet över tillgängliga resurser liksom möjligheterna att använda resurserna mer flexibelt än tidigare. </w:t>
      </w:r>
    </w:p>
    <w:p w:rsidR="007A6E3D" w:rsidRPr="00780485" w:rsidRDefault="007A6E3D">
      <w:pPr>
        <w:pStyle w:val="Rubrik3"/>
      </w:pPr>
      <w:bookmarkStart w:id="57" w:name="_Toc515097887"/>
      <w:bookmarkStart w:id="58" w:name="_Toc526845435"/>
      <w:bookmarkStart w:id="59" w:name="_Toc526845757"/>
      <w:r w:rsidRPr="00780485">
        <w:t>Utredning om den framtida regionalpolitiken</w:t>
      </w:r>
      <w:bookmarkEnd w:id="57"/>
      <w:bookmarkEnd w:id="58"/>
      <w:bookmarkEnd w:id="59"/>
      <w:r w:rsidRPr="00780485">
        <w:t xml:space="preserve"> </w:t>
      </w:r>
    </w:p>
    <w:p w:rsidR="007A6E3D" w:rsidRPr="00780485" w:rsidRDefault="007A6E3D">
      <w:r w:rsidRPr="00780485">
        <w:t>Regeringen tillsatte under våren 1999 en parlamentarisk kommitté (dir. 1999:2) med uppgift att lämna förslag om den framtida inriktningen och utformningen av den svenska regionalpolitiken. Kommittén tog sig namnet ”den regionalpolitiska utredningen”. I direktiven nämns särskilt kommitténs uppdrag att behandla den regionala utvecklingen i glesbygden respektive landsbygden. Bakgrunden till utredningsuppdraget är att det sedan den s</w:t>
      </w:r>
      <w:r w:rsidRPr="00780485">
        <w:t>e</w:t>
      </w:r>
      <w:r w:rsidRPr="00780485">
        <w:t>naste omfattande utredningen med parlamentariskt inflytande om regiona</w:t>
      </w:r>
      <w:r w:rsidRPr="00780485">
        <w:t>l</w:t>
      </w:r>
      <w:r w:rsidRPr="00780485">
        <w:t>politiken, Fungerande regioner i samspel (SOU 1989:55), skett väsentliga förändringar i förutsät</w:t>
      </w:r>
      <w:r w:rsidRPr="00780485">
        <w:t>t</w:t>
      </w:r>
      <w:r w:rsidRPr="00780485">
        <w:t xml:space="preserve">ningarna för att bedriva regionalpolitik i Sverige. </w:t>
      </w:r>
    </w:p>
    <w:p w:rsidR="007A6E3D" w:rsidRPr="00780485" w:rsidRDefault="007A6E3D">
      <w:pPr>
        <w:pStyle w:val="Normaltindrag"/>
      </w:pPr>
      <w:r w:rsidRPr="00780485">
        <w:t>Kommittén överlämnade sitt slutbetänkande till regeringen under hösten 2000 (SOU 2000:87). Regeringen planerar att överlämna en regionalpolitisk proposition till riksdagen under hösten 2001. I slutbetänkandet föreslogs att regionalpolitiken i sin nuvarande form bör avvecklas och ersätts me</w:t>
      </w:r>
      <w:r w:rsidRPr="00780485">
        <w:t>d en lokalt och regionalt anpassad välfärds- och tillväxtpolitik för hela landet. Utredningen lägger förslag på övergripande mål, delmål och medel för de tre politikområdena regional strukturpolitik, regional stimulanspolitik och regi</w:t>
      </w:r>
      <w:r w:rsidRPr="00780485">
        <w:t>o</w:t>
      </w:r>
      <w:r w:rsidRPr="00780485">
        <w:t xml:space="preserve">nal välfärdspolitik. </w:t>
      </w:r>
    </w:p>
    <w:p w:rsidR="007A6E3D" w:rsidRPr="00780485" w:rsidRDefault="007A6E3D">
      <w:pPr>
        <w:pStyle w:val="e"/>
      </w:pPr>
      <w:r w:rsidRPr="00780485">
        <w:t>Regional tillväxtpolitik är den övergripande politiken som inrymmer både den regionala strukturpolitiken och den regionala stimulanspolitiken. Ko</w:t>
      </w:r>
      <w:r w:rsidRPr="00780485">
        <w:t>m</w:t>
      </w:r>
      <w:r w:rsidRPr="00780485">
        <w:t>mittén utgår från att Sveriges välfärd grundas på arbetet och företagsamheten på landets olika lokala arbetsmarknader. En åldrande befolkning, kommande lågkonjunkturer, minskande strukturfondsmedel och andra förändringar kan framgent komma att ställa betydligt större krav än i dag på de enskilda lokala arbetsmarknadernas bidrag till den nationella ekonomiska tillväxten. Det övergripande målet för den regionala tillväxtpolitiken föreslås vara ”väl fungerande lokala arbetsmarknader i alla delar av landet”. S</w:t>
      </w:r>
      <w:r w:rsidRPr="00780485">
        <w:t>om delmål för</w:t>
      </w:r>
      <w:r w:rsidRPr="00780485">
        <w:t>e</w:t>
      </w:r>
      <w:r w:rsidRPr="00780485">
        <w:t xml:space="preserve">slås att åstadkomma regionförstoring, ökad rörlighet, stärkt kunskapskapital och ökad lokal dynamik. </w:t>
      </w:r>
    </w:p>
    <w:p w:rsidR="007A6E3D" w:rsidRPr="00780485" w:rsidRDefault="007A6E3D">
      <w:pPr>
        <w:pStyle w:val="e"/>
      </w:pPr>
      <w:r w:rsidRPr="00780485">
        <w:t>Den regionala välfärdspolitiken bör ha som övergripande mål att ”åstadkomma en likvärdig välfärdsnivå i alla delar av landet”. Som delmål föreslår utredningen: likvärdiga ekonomiska förutsättningar för välfärdspol</w:t>
      </w:r>
      <w:r w:rsidRPr="00780485">
        <w:t>i</w:t>
      </w:r>
      <w:r w:rsidRPr="00780485">
        <w:t>tiken i alla delar av landet, en god tillgänglighet till grundläggande service i alla delar av landet och att motverka regionala obalanser i tillgänglighet till samhällsse</w:t>
      </w:r>
      <w:r w:rsidRPr="00780485">
        <w:t>r</w:t>
      </w:r>
      <w:r w:rsidRPr="00780485">
        <w:t xml:space="preserve">vice. </w:t>
      </w:r>
    </w:p>
    <w:p w:rsidR="007A6E3D" w:rsidRPr="00780485" w:rsidRDefault="007A6E3D">
      <w:pPr>
        <w:pStyle w:val="e"/>
      </w:pPr>
      <w:r w:rsidRPr="00780485">
        <w:t>Förslagen till en ny politik ses som ett första steg på vägen mot en omor</w:t>
      </w:r>
      <w:r w:rsidRPr="00780485">
        <w:t>i</w:t>
      </w:r>
      <w:r w:rsidRPr="00780485">
        <w:t xml:space="preserve">entering till ett nytt decentraliserat sätt att arbeta med den offentliga sektorns medel för regional utveckling. Utredningen drar slutsatsen att en framtida politik bör sträva efter att </w:t>
      </w:r>
    </w:p>
    <w:p w:rsidR="007A6E3D" w:rsidRPr="00780485" w:rsidRDefault="007A6E3D">
      <w:pPr>
        <w:pStyle w:val="e"/>
        <w:numPr>
          <w:ilvl w:val="0"/>
          <w:numId w:val="140"/>
        </w:numPr>
      </w:pPr>
      <w:r w:rsidRPr="00780485">
        <w:t>betona långsiktig ekonomisk tillväxt mer än kortsiktigt ökad konsu</w:t>
      </w:r>
      <w:r w:rsidRPr="00780485">
        <w:t>m</w:t>
      </w:r>
      <w:r w:rsidRPr="00780485">
        <w:t>tion,</w:t>
      </w:r>
    </w:p>
    <w:p w:rsidR="007A6E3D" w:rsidRPr="00780485" w:rsidRDefault="007A6E3D">
      <w:pPr>
        <w:pStyle w:val="e"/>
        <w:numPr>
          <w:ilvl w:val="0"/>
          <w:numId w:val="140"/>
        </w:numPr>
      </w:pPr>
      <w:r w:rsidRPr="00780485">
        <w:t>stimulansskapande åtgärder bör få företräde framför kompensatori</w:t>
      </w:r>
      <w:r w:rsidRPr="00780485">
        <w:t>s</w:t>
      </w:r>
      <w:r w:rsidRPr="00780485">
        <w:t>ka,</w:t>
      </w:r>
    </w:p>
    <w:p w:rsidR="007A6E3D" w:rsidRPr="00780485" w:rsidRDefault="007A6E3D">
      <w:pPr>
        <w:pStyle w:val="e"/>
        <w:numPr>
          <w:ilvl w:val="0"/>
          <w:numId w:val="140"/>
        </w:numPr>
      </w:pPr>
      <w:r w:rsidRPr="00780485">
        <w:t>grundläggande förutsättningar för företagsamhet bör på sikt betonas mer än se</w:t>
      </w:r>
      <w:r w:rsidRPr="00780485">
        <w:t>k</w:t>
      </w:r>
      <w:r w:rsidRPr="00780485">
        <w:t>torsstöd,</w:t>
      </w:r>
    </w:p>
    <w:p w:rsidR="007A6E3D" w:rsidRPr="00780485" w:rsidRDefault="007A6E3D">
      <w:pPr>
        <w:pStyle w:val="e"/>
        <w:numPr>
          <w:ilvl w:val="0"/>
          <w:numId w:val="140"/>
        </w:numPr>
      </w:pPr>
      <w:r w:rsidRPr="00780485">
        <w:t>ekonomisk tillväxt i företagen bör betonas mer än temporär ökning av sysselsät</w:t>
      </w:r>
      <w:r w:rsidRPr="00780485">
        <w:t>t</w:t>
      </w:r>
      <w:r w:rsidRPr="00780485">
        <w:t>ningen i de näringspolitiska inslagen,</w:t>
      </w:r>
    </w:p>
    <w:p w:rsidR="007A6E3D" w:rsidRPr="00780485" w:rsidRDefault="007A6E3D">
      <w:pPr>
        <w:pStyle w:val="e"/>
        <w:numPr>
          <w:ilvl w:val="0"/>
          <w:numId w:val="140"/>
        </w:numPr>
      </w:pPr>
      <w:r w:rsidRPr="00780485">
        <w:t>stimulans av, och satsningar på, företagande även inom de s.k. regiona</w:t>
      </w:r>
      <w:r w:rsidRPr="00780485">
        <w:t>l</w:t>
      </w:r>
      <w:r w:rsidRPr="00780485">
        <w:t>politiskt prioriterade områdena, bör ingå som en del av den nationella näring</w:t>
      </w:r>
      <w:r w:rsidRPr="00780485">
        <w:t>s</w:t>
      </w:r>
      <w:r w:rsidRPr="00780485">
        <w:t xml:space="preserve">politiken. </w:t>
      </w:r>
    </w:p>
    <w:p w:rsidR="007A6E3D" w:rsidRPr="00780485" w:rsidRDefault="007A6E3D">
      <w:r w:rsidRPr="00780485">
        <w:t>Kommittén konstaterar att den nationella politiken för regional utveckling till stora delar består av vanlig sektorsspolitik. De anser att en decentralisering bör eftersträvas på sikt i syfte att öka effektiviteten i den offentliga sektorn.</w:t>
      </w:r>
    </w:p>
    <w:p w:rsidR="007A6E3D" w:rsidRPr="00780485" w:rsidRDefault="007A6E3D">
      <w:pPr>
        <w:pStyle w:val="e"/>
      </w:pPr>
      <w:r w:rsidRPr="00780485">
        <w:t>Större krav ställs, och kommer att ställas på analysunderlag, uppföljningar och utvärderingar liksom kompetensen hos politikens ”genomförare”. Enligt utredningen finns det för närvarande betydande brister i tillgång till inform</w:t>
      </w:r>
      <w:r w:rsidRPr="00780485">
        <w:t>a</w:t>
      </w:r>
      <w:r w:rsidRPr="00780485">
        <w:t>tion och analysunderlag angående den regionala utvecklingen. För att bygga upp ett bättre beslutsunderlag och sprida erfarenheter mellan handläggare som arbetar med regionala utvecklingsfrågor föreslås att ett särskilt program utvecklas.</w:t>
      </w:r>
    </w:p>
    <w:p w:rsidR="007A6E3D" w:rsidRPr="00780485" w:rsidRDefault="007A6E3D">
      <w:pPr>
        <w:pStyle w:val="Rubrik5"/>
        <w:rPr>
          <w:i/>
        </w:rPr>
      </w:pPr>
      <w:r w:rsidRPr="00780485">
        <w:rPr>
          <w:i/>
        </w:rPr>
        <w:t>Välfärdspolitiska medel</w:t>
      </w:r>
    </w:p>
    <w:p w:rsidR="007A6E3D" w:rsidRPr="00780485" w:rsidRDefault="007A6E3D">
      <w:r w:rsidRPr="00780485">
        <w:t>Flera av de förslag som utredningen redovisar om hur de välfärdspolitiska målen ska nås berör Glesbygdsverket. Bland annat föreslås att det bör uta</w:t>
      </w:r>
      <w:r w:rsidRPr="00780485">
        <w:t>r</w:t>
      </w:r>
      <w:r w:rsidRPr="00780485">
        <w:t>betas ett särskilt utvecklingsprogram för kommersiell service i serviceglesa områden. Detta bör ske i respektive kommun och så långt möjligt vara ett kommunalt ansvar. Länsstyrelser/självstyrelseorgan bör ha ett samordning</w:t>
      </w:r>
      <w:r w:rsidRPr="00780485">
        <w:t>s</w:t>
      </w:r>
      <w:r w:rsidRPr="00780485">
        <w:t xml:space="preserve">ansvar för denna process. </w:t>
      </w:r>
    </w:p>
    <w:p w:rsidR="007A6E3D" w:rsidRPr="00780485" w:rsidRDefault="007A6E3D">
      <w:pPr>
        <w:pStyle w:val="e"/>
      </w:pPr>
      <w:r w:rsidRPr="00780485">
        <w:t>Enligt kommittén har en viktig uppgift i utredningsarbetet varit att defini</w:t>
      </w:r>
      <w:r w:rsidRPr="00780485">
        <w:t>e</w:t>
      </w:r>
      <w:r w:rsidRPr="00780485">
        <w:t>ra tydligare mål för vilken grundläggande service som ska finnas tillgänglig oberoende av var man bor. Utredningen skriver att de inte lyckats lösa denna uppgift fullt ut. Orsaken är bl.a. att det saknas underlag och modeller för att göra beräkningar av de samhällsekonomiska kostnaderna för olika alternativ. Det är därför viktigt att Konsumentverkets och Glesbygdsverkets serviced</w:t>
      </w:r>
      <w:r w:rsidRPr="00780485">
        <w:t>a</w:t>
      </w:r>
      <w:r w:rsidRPr="00780485">
        <w:t>tabas utvecklas liksom modeller för att kunna göra adekvata samhällsekon</w:t>
      </w:r>
      <w:r w:rsidRPr="00780485">
        <w:t>o</w:t>
      </w:r>
      <w:r w:rsidRPr="00780485">
        <w:t>miska konsekvensberä</w:t>
      </w:r>
      <w:r w:rsidRPr="00780485">
        <w:t>k</w:t>
      </w:r>
      <w:r w:rsidRPr="00780485">
        <w:t xml:space="preserve">ningar. </w:t>
      </w:r>
    </w:p>
    <w:p w:rsidR="007A6E3D" w:rsidRPr="00780485" w:rsidRDefault="007A6E3D">
      <w:pPr>
        <w:pStyle w:val="e"/>
      </w:pPr>
      <w:r w:rsidRPr="00780485">
        <w:t>Möjligheten att bedriva p</w:t>
      </w:r>
      <w:r w:rsidRPr="00780485">
        <w:t>ilotprojekt och testa nya servicelösningar bör öka. Utredningen anser att det för närvarande råder en viss otydlighet om vem som bär detta ansvar på myndighetsnivå. Utredningen föreslår att en my</w:t>
      </w:r>
      <w:r w:rsidRPr="00780485">
        <w:t>n</w:t>
      </w:r>
      <w:r w:rsidRPr="00780485">
        <w:t>dighet, i första hand sektorsmyndigheten på området (Konsumentverket), ges ett tydligt uppdrag att utveckla och testa nya lösningar på det kommersiella serviceområdet. Enligt utredningen är Glesbygdsverkets eller Konsumen</w:t>
      </w:r>
      <w:r w:rsidRPr="00780485">
        <w:t>t</w:t>
      </w:r>
      <w:r w:rsidRPr="00780485">
        <w:t>verkets möjligheter på detta område mycket b</w:t>
      </w:r>
      <w:r w:rsidRPr="00780485">
        <w:t>e</w:t>
      </w:r>
      <w:r w:rsidRPr="00780485">
        <w:t xml:space="preserve">gränsade i dag. </w:t>
      </w:r>
    </w:p>
    <w:p w:rsidR="007A6E3D" w:rsidRPr="00780485" w:rsidRDefault="007A6E3D">
      <w:pPr>
        <w:pStyle w:val="e"/>
      </w:pPr>
      <w:r w:rsidRPr="00780485">
        <w:t>När det gäller förändringar inom</w:t>
      </w:r>
      <w:r w:rsidRPr="00780485">
        <w:t xml:space="preserve"> det statliga serviceområdet föreslås att statliga myndigheter, med en särskild betydelse för service och välfärd, i samband med förändringar av verksamheten ska upprätta konsekvensb</w:t>
      </w:r>
      <w:r w:rsidRPr="00780485">
        <w:t>e</w:t>
      </w:r>
      <w:r w:rsidRPr="00780485">
        <w:t>skrivningar. I dessa bör bl.a. möjligheterna att ta till vara samordningsvinster med andra aktörer studeras.</w:t>
      </w:r>
    </w:p>
    <w:p w:rsidR="007A6E3D" w:rsidRPr="00780485" w:rsidRDefault="007A6E3D">
      <w:pPr>
        <w:pStyle w:val="Rubrik1"/>
      </w:pPr>
      <w:r w:rsidRPr="00780485">
        <w:br w:type="page"/>
      </w:r>
      <w:bookmarkStart w:id="60" w:name="_Toc493052220"/>
      <w:bookmarkStart w:id="61" w:name="_Toc515097888"/>
      <w:bookmarkStart w:id="62" w:name="_Toc526845436"/>
      <w:bookmarkStart w:id="63" w:name="_Toc526845758"/>
      <w:r w:rsidRPr="00780485">
        <w:t>Regionalpolitikens medel</w:t>
      </w:r>
      <w:bookmarkEnd w:id="61"/>
      <w:bookmarkEnd w:id="62"/>
      <w:bookmarkEnd w:id="63"/>
      <w:r w:rsidRPr="00780485">
        <w:t xml:space="preserve"> </w:t>
      </w:r>
    </w:p>
    <w:p w:rsidR="007A6E3D" w:rsidRPr="00780485" w:rsidRDefault="007A6E3D">
      <w:r w:rsidRPr="00780485">
        <w:t>Glesbygdsverket är den enda myndigheten som sorterar under politikområdet regionalpolitik. Uppdraget består i att via kunskap påverka andra aktörer så att de regionalpolitiska målen nås. Enligt riksdagens beslut ska målet för politikområdet regionalpolitik vara att den ska ”skapa förutsättningar för uthållig ekonomisk tillväxt, rättvisa och valfrihet så att likvärdiga levnad</w:t>
      </w:r>
      <w:r w:rsidRPr="00780485">
        <w:t>s</w:t>
      </w:r>
      <w:r w:rsidRPr="00780485">
        <w:t>villkor skapas för medborgarna i hela riket” (prop. 2000/01:1).</w:t>
      </w:r>
    </w:p>
    <w:p w:rsidR="007A6E3D" w:rsidRPr="00780485" w:rsidRDefault="007A6E3D">
      <w:pPr>
        <w:pStyle w:val="e"/>
      </w:pPr>
      <w:r w:rsidRPr="00780485">
        <w:t>Politikområdet regionalpolitik omfattar åtgärder för att främja utvecklin</w:t>
      </w:r>
      <w:r w:rsidRPr="00780485">
        <w:t>g</w:t>
      </w:r>
      <w:r w:rsidRPr="00780485">
        <w:t>en i främst regionalpolitiskt prioriterade områden. Regionalpolitiken är dock ett vidare begrepp än de åtgärder som finansieras via anslag inom politiko</w:t>
      </w:r>
      <w:r w:rsidRPr="00780485">
        <w:t>m</w:t>
      </w:r>
      <w:r w:rsidRPr="00780485">
        <w:t>rådet regionalpolitik. Till de regionalpolitiska åtgärderna räknas även åtgä</w:t>
      </w:r>
      <w:r w:rsidRPr="00780485">
        <w:t>r</w:t>
      </w:r>
      <w:r w:rsidRPr="00780485">
        <w:t xml:space="preserve">der inom andra politikområden som vidtas i övervägande regionalpolitiskt syfte. </w:t>
      </w:r>
    </w:p>
    <w:p w:rsidR="007A6E3D" w:rsidRPr="00780485" w:rsidRDefault="007A6E3D">
      <w:pPr>
        <w:pStyle w:val="e"/>
      </w:pPr>
      <w:r w:rsidRPr="00780485">
        <w:t>Förutom dessa regionalpolitiska åtgärder har insatser inom en rad andra politikområden stor betydelse för den regionalpolitiska utvecklingen. Denna del av regionalpolit</w:t>
      </w:r>
      <w:r w:rsidRPr="00780485">
        <w:t>i</w:t>
      </w:r>
      <w:r w:rsidRPr="00780485">
        <w:t xml:space="preserve">ken brukar benämnas den stora regionalpolitiken. </w:t>
      </w:r>
    </w:p>
    <w:p w:rsidR="007A6E3D" w:rsidRPr="00780485" w:rsidRDefault="007A6E3D">
      <w:pPr>
        <w:pStyle w:val="e"/>
      </w:pPr>
      <w:r w:rsidRPr="00780485">
        <w:t>De samhällssektorer som Glesbygdsverket har till uppgift att påverka för att främja utvecklingen i gles- och landsbygden ryms inom regionalpolitiken. Den regionalpolitiska utredningen från 2000 delar in medlen för att nå de regionalpolitiska målen i de tre delarna regional stimulanspolitik, regional välfärdspolitik och regional strukturpolitik. I detta kapitel beskrivs vad reg</w:t>
      </w:r>
      <w:r w:rsidRPr="00780485">
        <w:t>i</w:t>
      </w:r>
      <w:r w:rsidRPr="00780485">
        <w:t>onalpolitiken består av och därmed också vad som skulle kunna vara föremål för Glesbygdsve</w:t>
      </w:r>
      <w:r w:rsidRPr="00780485">
        <w:t>r</w:t>
      </w:r>
      <w:r w:rsidRPr="00780485">
        <w:t>kets påverkan.</w:t>
      </w:r>
    </w:p>
    <w:p w:rsidR="007A6E3D" w:rsidRPr="00780485" w:rsidRDefault="007A6E3D">
      <w:pPr>
        <w:pStyle w:val="Rubrik2"/>
      </w:pPr>
      <w:bookmarkStart w:id="64" w:name="_Toc515097889"/>
      <w:bookmarkStart w:id="65" w:name="_Toc526845437"/>
      <w:bookmarkStart w:id="66" w:name="_Toc526845759"/>
      <w:bookmarkEnd w:id="60"/>
      <w:r w:rsidRPr="00780485">
        <w:t>Den lilla regionalpolitiken</w:t>
      </w:r>
      <w:bookmarkEnd w:id="64"/>
      <w:bookmarkEnd w:id="65"/>
      <w:bookmarkEnd w:id="66"/>
    </w:p>
    <w:p w:rsidR="007A6E3D" w:rsidRPr="00780485" w:rsidRDefault="007A6E3D">
      <w:pPr>
        <w:pStyle w:val="Normaltindrag"/>
      </w:pPr>
      <w:r w:rsidRPr="00780485">
        <w:t>Inom den lilla regionalpolitiken ryms främst åtgärder av stimulanspolitisk karaktär. Riksdagen har beslutat att målet för den lilla regionalpolitiken är att ”verksamheten ska underlätta för näringslivet i regionalpolitiskt prioriterade områden att utvecklas så att det bidrar till att uppfylla målen för regionalp</w:t>
      </w:r>
      <w:r w:rsidRPr="00780485">
        <w:t>o</w:t>
      </w:r>
      <w:r w:rsidRPr="00780485">
        <w:t>litiken” (prop. 2000/2001:1). Den regionalpolitiska utredningen från 2000 identifierar tre huvudsakliga regiontyper som kan behöva förstärkta resurser till följd av regionala pr</w:t>
      </w:r>
      <w:r w:rsidRPr="00780485">
        <w:t>o</w:t>
      </w:r>
      <w:r w:rsidRPr="00780485">
        <w:t xml:space="preserve">blem: </w:t>
      </w:r>
    </w:p>
    <w:p w:rsidR="007A6E3D" w:rsidRPr="00780485" w:rsidRDefault="007A6E3D">
      <w:pPr>
        <w:pStyle w:val="Normaltindrag"/>
        <w:numPr>
          <w:ilvl w:val="0"/>
          <w:numId w:val="141"/>
        </w:numPr>
      </w:pPr>
      <w:r w:rsidRPr="00780485">
        <w:t>områden med ett mer eller mindre permanent behov av särskilda insa</w:t>
      </w:r>
      <w:r w:rsidRPr="00780485">
        <w:t>t</w:t>
      </w:r>
      <w:r w:rsidRPr="00780485">
        <w:t>ser, primärt glesbygdsregioner (regioner där befolkningsunderlaget är så litet att det är svårt att upprätthålla samhällsfunktioner som skola, sju</w:t>
      </w:r>
      <w:r w:rsidRPr="00780485">
        <w:t>k</w:t>
      </w:r>
      <w:r w:rsidRPr="00780485">
        <w:t>vård, post, dagligvaruhandel etc.),</w:t>
      </w:r>
    </w:p>
    <w:p w:rsidR="007A6E3D" w:rsidRPr="00780485" w:rsidRDefault="007A6E3D">
      <w:pPr>
        <w:pStyle w:val="Normaltindrag"/>
        <w:numPr>
          <w:ilvl w:val="0"/>
          <w:numId w:val="141"/>
        </w:numPr>
      </w:pPr>
      <w:r w:rsidRPr="00780485">
        <w:t>regioner i omstrukturering (ofta regioner med en stark specialiserad näringslivsstruktur där det måste finnas någon typ av omställningsfö</w:t>
      </w:r>
      <w:r w:rsidRPr="00780485">
        <w:t>r</w:t>
      </w:r>
      <w:r w:rsidRPr="00780485">
        <w:t>säkring vid struktu</w:t>
      </w:r>
      <w:r w:rsidRPr="00780485">
        <w:t>r</w:t>
      </w:r>
      <w:r w:rsidRPr="00780485">
        <w:t>kriser) och</w:t>
      </w:r>
    </w:p>
    <w:p w:rsidR="007A6E3D" w:rsidRPr="00780485" w:rsidRDefault="007A6E3D">
      <w:pPr>
        <w:pStyle w:val="Normaltindrag"/>
        <w:numPr>
          <w:ilvl w:val="0"/>
          <w:numId w:val="141"/>
        </w:numPr>
      </w:pPr>
      <w:r w:rsidRPr="00780485">
        <w:t>tillväxtregioner (riktade insatser för att avhjälpa flaskhalsproblem).</w:t>
      </w:r>
    </w:p>
    <w:p w:rsidR="007A6E3D" w:rsidRPr="00780485" w:rsidRDefault="007A6E3D">
      <w:r w:rsidRPr="00780485">
        <w:t>Åtgärderna inom utgiftsområde 19 Regional utjämning och utveckling, exkl. anslaget 37:1 IT-infrastruktur, benämns den lilla regionalpolitiken. I tabell 1 redovisas innehållet i den lilla regionalpolitiken på anslagsnivå för budge</w:t>
      </w:r>
      <w:r w:rsidRPr="00780485">
        <w:t>t</w:t>
      </w:r>
      <w:r w:rsidRPr="00780485">
        <w:t>året 2001.</w:t>
      </w:r>
    </w:p>
    <w:p w:rsidR="007A6E3D" w:rsidRPr="00780485" w:rsidRDefault="007A6E3D">
      <w:pPr>
        <w:pStyle w:val="t"/>
      </w:pPr>
      <w:r w:rsidRPr="00780485">
        <w:br w:type="page"/>
        <w:t xml:space="preserve">Tabell 1. Anslag inom den lilla regionalpolitiken för budgetåret 2001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4890"/>
        <w:gridCol w:w="142"/>
        <w:gridCol w:w="1134"/>
        <w:gridCol w:w="142"/>
      </w:tblGrid>
      <w:tr w:rsidR="00000000" w:rsidRPr="00780485">
        <w:tblPrEx>
          <w:tblCellMar>
            <w:top w:w="0" w:type="dxa"/>
            <w:bottom w:w="0" w:type="dxa"/>
          </w:tblCellMar>
        </w:tblPrEx>
        <w:trPr>
          <w:gridAfter w:val="1"/>
          <w:wAfter w:w="142" w:type="dxa"/>
        </w:trPr>
        <w:tc>
          <w:tcPr>
            <w:tcW w:w="4890" w:type="dxa"/>
            <w:tcBorders>
              <w:bottom w:val="single" w:sz="6" w:space="0" w:color="008000"/>
            </w:tcBorders>
          </w:tcPr>
          <w:p w:rsidR="007A6E3D" w:rsidRPr="00780485" w:rsidRDefault="007A6E3D">
            <w:pPr>
              <w:pStyle w:val="Tabell"/>
            </w:pPr>
            <w:r w:rsidRPr="00780485">
              <w:t>Anslag inom Uo19</w:t>
            </w:r>
          </w:p>
        </w:tc>
        <w:tc>
          <w:tcPr>
            <w:tcW w:w="1276" w:type="dxa"/>
            <w:gridSpan w:val="2"/>
            <w:tcBorders>
              <w:bottom w:val="single" w:sz="6" w:space="0" w:color="008000"/>
            </w:tcBorders>
          </w:tcPr>
          <w:p w:rsidR="007A6E3D" w:rsidRPr="00780485" w:rsidRDefault="007A6E3D">
            <w:pPr>
              <w:pStyle w:val="Tabell"/>
            </w:pPr>
            <w:r w:rsidRPr="00780485">
              <w:t>miljoner kronor</w:t>
            </w:r>
          </w:p>
        </w:tc>
      </w:tr>
      <w:tr w:rsidR="00000000" w:rsidRPr="00780485">
        <w:tblPrEx>
          <w:tblCellMar>
            <w:top w:w="0" w:type="dxa"/>
            <w:bottom w:w="0" w:type="dxa"/>
          </w:tblCellMar>
        </w:tblPrEx>
        <w:tc>
          <w:tcPr>
            <w:tcW w:w="5032" w:type="dxa"/>
            <w:gridSpan w:val="2"/>
            <w:tcBorders>
              <w:top w:val="nil"/>
            </w:tcBorders>
          </w:tcPr>
          <w:p w:rsidR="007A6E3D" w:rsidRPr="00780485" w:rsidRDefault="007A6E3D">
            <w:pPr>
              <w:pStyle w:val="Tabell"/>
            </w:pPr>
            <w:r w:rsidRPr="00780485">
              <w:t>Allmänna regionalpolitiska åtgärder</w:t>
            </w:r>
          </w:p>
        </w:tc>
        <w:tc>
          <w:tcPr>
            <w:tcW w:w="1276" w:type="dxa"/>
            <w:gridSpan w:val="2"/>
            <w:tcBorders>
              <w:top w:val="nil"/>
            </w:tcBorders>
          </w:tcPr>
          <w:p w:rsidR="007A6E3D" w:rsidRPr="00780485" w:rsidRDefault="007A6E3D">
            <w:pPr>
              <w:pStyle w:val="Tabell"/>
              <w:jc w:val="left"/>
            </w:pPr>
            <w:r w:rsidRPr="00780485">
              <w:t>1 675</w:t>
            </w:r>
          </w:p>
        </w:tc>
      </w:tr>
      <w:tr w:rsidR="00000000" w:rsidRPr="00780485">
        <w:tblPrEx>
          <w:tblCellMar>
            <w:top w:w="0" w:type="dxa"/>
            <w:bottom w:w="0" w:type="dxa"/>
          </w:tblCellMar>
        </w:tblPrEx>
        <w:tc>
          <w:tcPr>
            <w:tcW w:w="5032" w:type="dxa"/>
            <w:gridSpan w:val="2"/>
          </w:tcPr>
          <w:p w:rsidR="007A6E3D" w:rsidRPr="00780485" w:rsidRDefault="007A6E3D">
            <w:pPr>
              <w:pStyle w:val="Tabell"/>
            </w:pPr>
            <w:r w:rsidRPr="00780485">
              <w:t>Landsbygdslån</w:t>
            </w:r>
          </w:p>
        </w:tc>
        <w:tc>
          <w:tcPr>
            <w:tcW w:w="1276" w:type="dxa"/>
            <w:gridSpan w:val="2"/>
          </w:tcPr>
          <w:p w:rsidR="007A6E3D" w:rsidRPr="00780485" w:rsidRDefault="007A6E3D">
            <w:pPr>
              <w:pStyle w:val="Tabell"/>
              <w:jc w:val="left"/>
            </w:pPr>
            <w:r w:rsidRPr="00780485">
              <w:t xml:space="preserve">     60</w:t>
            </w:r>
          </w:p>
        </w:tc>
      </w:tr>
      <w:tr w:rsidR="00000000" w:rsidRPr="00780485">
        <w:tblPrEx>
          <w:tblCellMar>
            <w:top w:w="0" w:type="dxa"/>
            <w:bottom w:w="0" w:type="dxa"/>
          </w:tblCellMar>
        </w:tblPrEx>
        <w:tc>
          <w:tcPr>
            <w:tcW w:w="5032" w:type="dxa"/>
            <w:gridSpan w:val="2"/>
          </w:tcPr>
          <w:p w:rsidR="007A6E3D" w:rsidRPr="00780485" w:rsidRDefault="007A6E3D">
            <w:pPr>
              <w:pStyle w:val="Tabell"/>
            </w:pPr>
            <w:r w:rsidRPr="00780485">
              <w:t>Täckande av förluster p.g.a. kreditgarantier inom regionalpolit</w:t>
            </w:r>
            <w:r w:rsidRPr="00780485">
              <w:t>i</w:t>
            </w:r>
            <w:r w:rsidRPr="00780485">
              <w:t>ken</w:t>
            </w:r>
          </w:p>
        </w:tc>
        <w:tc>
          <w:tcPr>
            <w:tcW w:w="1276" w:type="dxa"/>
            <w:gridSpan w:val="2"/>
          </w:tcPr>
          <w:p w:rsidR="007A6E3D" w:rsidRPr="00780485" w:rsidRDefault="007A6E3D">
            <w:pPr>
              <w:pStyle w:val="Tabell"/>
              <w:jc w:val="left"/>
            </w:pPr>
            <w:r w:rsidRPr="00780485">
              <w:t xml:space="preserve">       9</w:t>
            </w:r>
          </w:p>
        </w:tc>
      </w:tr>
      <w:tr w:rsidR="00000000" w:rsidRPr="00780485">
        <w:tblPrEx>
          <w:tblCellMar>
            <w:top w:w="0" w:type="dxa"/>
            <w:bottom w:w="0" w:type="dxa"/>
          </w:tblCellMar>
        </w:tblPrEx>
        <w:tc>
          <w:tcPr>
            <w:tcW w:w="5032" w:type="dxa"/>
            <w:gridSpan w:val="2"/>
          </w:tcPr>
          <w:p w:rsidR="007A6E3D" w:rsidRPr="00780485" w:rsidRDefault="007A6E3D">
            <w:pPr>
              <w:pStyle w:val="Tabell"/>
            </w:pPr>
            <w:r w:rsidRPr="00780485">
              <w:t>Ersättning för nedsättning av sociala avgifter</w:t>
            </w:r>
          </w:p>
        </w:tc>
        <w:tc>
          <w:tcPr>
            <w:tcW w:w="1276" w:type="dxa"/>
            <w:gridSpan w:val="2"/>
          </w:tcPr>
          <w:p w:rsidR="007A6E3D" w:rsidRPr="00780485" w:rsidRDefault="007A6E3D">
            <w:pPr>
              <w:pStyle w:val="Tabell"/>
              <w:jc w:val="left"/>
            </w:pPr>
            <w:r w:rsidRPr="00780485">
              <w:t xml:space="preserve">   200</w:t>
            </w:r>
          </w:p>
        </w:tc>
      </w:tr>
      <w:tr w:rsidR="00000000" w:rsidRPr="00780485">
        <w:tblPrEx>
          <w:tblCellMar>
            <w:top w:w="0" w:type="dxa"/>
            <w:bottom w:w="0" w:type="dxa"/>
          </w:tblCellMar>
        </w:tblPrEx>
        <w:tc>
          <w:tcPr>
            <w:tcW w:w="5032" w:type="dxa"/>
            <w:gridSpan w:val="2"/>
          </w:tcPr>
          <w:p w:rsidR="007A6E3D" w:rsidRPr="00780485" w:rsidRDefault="007A6E3D">
            <w:pPr>
              <w:pStyle w:val="Tabell"/>
            </w:pPr>
            <w:r w:rsidRPr="00780485">
              <w:t>Transportbidraget</w:t>
            </w:r>
          </w:p>
        </w:tc>
        <w:tc>
          <w:tcPr>
            <w:tcW w:w="1276" w:type="dxa"/>
            <w:gridSpan w:val="2"/>
          </w:tcPr>
          <w:p w:rsidR="007A6E3D" w:rsidRPr="00780485" w:rsidRDefault="007A6E3D">
            <w:pPr>
              <w:pStyle w:val="Tabell"/>
              <w:jc w:val="left"/>
            </w:pPr>
            <w:r w:rsidRPr="00780485">
              <w:t xml:space="preserve">   336</w:t>
            </w:r>
          </w:p>
        </w:tc>
      </w:tr>
      <w:tr w:rsidR="00000000" w:rsidRPr="00780485">
        <w:tblPrEx>
          <w:tblCellMar>
            <w:top w:w="0" w:type="dxa"/>
            <w:bottom w:w="0" w:type="dxa"/>
          </w:tblCellMar>
        </w:tblPrEx>
        <w:tc>
          <w:tcPr>
            <w:tcW w:w="5032" w:type="dxa"/>
            <w:gridSpan w:val="2"/>
          </w:tcPr>
          <w:p w:rsidR="007A6E3D" w:rsidRPr="00780485" w:rsidRDefault="007A6E3D">
            <w:pPr>
              <w:pStyle w:val="Tabell"/>
            </w:pPr>
            <w:r w:rsidRPr="00780485">
              <w:t>Glesbygdsverket</w:t>
            </w:r>
          </w:p>
        </w:tc>
        <w:tc>
          <w:tcPr>
            <w:tcW w:w="1276" w:type="dxa"/>
            <w:gridSpan w:val="2"/>
          </w:tcPr>
          <w:p w:rsidR="007A6E3D" w:rsidRPr="00780485" w:rsidRDefault="007A6E3D">
            <w:pPr>
              <w:pStyle w:val="Tabell"/>
              <w:jc w:val="left"/>
            </w:pPr>
            <w:r w:rsidRPr="00780485">
              <w:t xml:space="preserve">     25</w:t>
            </w:r>
          </w:p>
        </w:tc>
      </w:tr>
      <w:tr w:rsidR="00000000" w:rsidRPr="00780485">
        <w:tblPrEx>
          <w:tblCellMar>
            <w:top w:w="0" w:type="dxa"/>
            <w:bottom w:w="0" w:type="dxa"/>
          </w:tblCellMar>
        </w:tblPrEx>
        <w:tc>
          <w:tcPr>
            <w:tcW w:w="5032" w:type="dxa"/>
            <w:gridSpan w:val="2"/>
          </w:tcPr>
          <w:p w:rsidR="007A6E3D" w:rsidRPr="00780485" w:rsidRDefault="007A6E3D">
            <w:pPr>
              <w:pStyle w:val="Tabell"/>
            </w:pPr>
            <w:r w:rsidRPr="00780485">
              <w:t>Europeiska regionala utvecklingsfonden 1995-1999</w:t>
            </w:r>
          </w:p>
        </w:tc>
        <w:tc>
          <w:tcPr>
            <w:tcW w:w="1276" w:type="dxa"/>
            <w:gridSpan w:val="2"/>
          </w:tcPr>
          <w:p w:rsidR="007A6E3D" w:rsidRPr="00780485" w:rsidRDefault="007A6E3D">
            <w:pPr>
              <w:pStyle w:val="Tabell"/>
              <w:jc w:val="left"/>
            </w:pPr>
            <w:r w:rsidRPr="00780485">
              <w:t xml:space="preserve">   559</w:t>
            </w:r>
          </w:p>
        </w:tc>
      </w:tr>
      <w:tr w:rsidR="00000000" w:rsidRPr="00780485">
        <w:tblPrEx>
          <w:tblCellMar>
            <w:top w:w="0" w:type="dxa"/>
            <w:bottom w:w="0" w:type="dxa"/>
          </w:tblCellMar>
        </w:tblPrEx>
        <w:tc>
          <w:tcPr>
            <w:tcW w:w="5032" w:type="dxa"/>
            <w:gridSpan w:val="2"/>
          </w:tcPr>
          <w:p w:rsidR="007A6E3D" w:rsidRPr="00780485" w:rsidRDefault="007A6E3D">
            <w:pPr>
              <w:pStyle w:val="Tabell"/>
            </w:pPr>
            <w:r w:rsidRPr="00780485">
              <w:t>Europeiska regionala utvecklingsfonden 2000-2006</w:t>
            </w:r>
          </w:p>
        </w:tc>
        <w:tc>
          <w:tcPr>
            <w:tcW w:w="1276" w:type="dxa"/>
            <w:gridSpan w:val="2"/>
          </w:tcPr>
          <w:p w:rsidR="007A6E3D" w:rsidRPr="00780485" w:rsidRDefault="007A6E3D">
            <w:pPr>
              <w:pStyle w:val="Tabell"/>
              <w:jc w:val="left"/>
            </w:pPr>
            <w:r w:rsidRPr="00780485">
              <w:t xml:space="preserve">   800</w:t>
            </w:r>
          </w:p>
        </w:tc>
      </w:tr>
      <w:tr w:rsidR="00000000" w:rsidRPr="00780485">
        <w:tblPrEx>
          <w:tblCellMar>
            <w:top w:w="0" w:type="dxa"/>
            <w:bottom w:w="0" w:type="dxa"/>
          </w:tblCellMar>
        </w:tblPrEx>
        <w:tc>
          <w:tcPr>
            <w:tcW w:w="5032" w:type="dxa"/>
            <w:gridSpan w:val="2"/>
          </w:tcPr>
          <w:p w:rsidR="007A6E3D" w:rsidRPr="00780485" w:rsidRDefault="007A6E3D">
            <w:pPr>
              <w:pStyle w:val="Tabell"/>
            </w:pPr>
            <w:r w:rsidRPr="00780485">
              <w:t>Utgifter för lokalisering av statliga arbetstillfällen till vissa komm</w:t>
            </w:r>
            <w:r w:rsidRPr="00780485">
              <w:t>u</w:t>
            </w:r>
            <w:r w:rsidRPr="00780485">
              <w:t>ner</w:t>
            </w:r>
          </w:p>
        </w:tc>
        <w:tc>
          <w:tcPr>
            <w:tcW w:w="1276" w:type="dxa"/>
            <w:gridSpan w:val="2"/>
          </w:tcPr>
          <w:p w:rsidR="007A6E3D" w:rsidRPr="00780485" w:rsidRDefault="007A6E3D">
            <w:pPr>
              <w:pStyle w:val="Tabell"/>
              <w:jc w:val="left"/>
            </w:pPr>
            <w:r w:rsidRPr="00780485">
              <w:t xml:space="preserve">   100</w:t>
            </w:r>
          </w:p>
        </w:tc>
      </w:tr>
      <w:tr w:rsidR="00000000" w:rsidRPr="00780485">
        <w:tblPrEx>
          <w:tblCellMar>
            <w:top w:w="0" w:type="dxa"/>
            <w:bottom w:w="0" w:type="dxa"/>
          </w:tblCellMar>
        </w:tblPrEx>
        <w:tc>
          <w:tcPr>
            <w:tcW w:w="5032" w:type="dxa"/>
            <w:gridSpan w:val="2"/>
          </w:tcPr>
          <w:p w:rsidR="007A6E3D" w:rsidRPr="00780485" w:rsidRDefault="007A6E3D">
            <w:pPr>
              <w:pStyle w:val="Tabell"/>
            </w:pPr>
            <w:r w:rsidRPr="00780485">
              <w:t>SUMMA</w:t>
            </w:r>
          </w:p>
        </w:tc>
        <w:tc>
          <w:tcPr>
            <w:tcW w:w="1276" w:type="dxa"/>
            <w:gridSpan w:val="2"/>
          </w:tcPr>
          <w:p w:rsidR="007A6E3D" w:rsidRPr="00780485" w:rsidRDefault="007A6E3D">
            <w:pPr>
              <w:pStyle w:val="Tabell"/>
              <w:jc w:val="left"/>
            </w:pPr>
            <w:r w:rsidRPr="00780485">
              <w:t>3 764</w:t>
            </w:r>
          </w:p>
        </w:tc>
      </w:tr>
    </w:tbl>
    <w:p w:rsidR="007A6E3D" w:rsidRPr="00780485" w:rsidRDefault="007A6E3D">
      <w:pPr>
        <w:pStyle w:val="Fotnotstext"/>
      </w:pPr>
      <w:r w:rsidRPr="00780485">
        <w:t>Källa: Budgetpropositionen för 2001 (prop. 2000/01:1).</w:t>
      </w:r>
    </w:p>
    <w:p w:rsidR="007A6E3D" w:rsidRPr="00780485" w:rsidRDefault="007A6E3D">
      <w:r w:rsidRPr="00780485">
        <w:t>Huvuddelen av de regionalpolitiska insatserna finansieras alltså via anslaget Allmänna regionalpolitiska åtgärder. Anslaget är i sin tur uppdelat på flera olika stödformer. Stöd via anslaget beviljas av länsstyrelserna, de regionala självstyrelseorganen, NUTEK och regeringen. Beviljat stöd från anslaget 1999 uppdelat på olika stöd redovisas i tabell 2 nedan. De olika stödformerna riktas främst till företag för att stimulera nya och varaktiga arbetstillfällen. Stöd kan t.ex. sökas för investeringar i maskin</w:t>
      </w:r>
      <w:r w:rsidRPr="00780485">
        <w:t>er och byggnader men också för stöd till mjukare investeringar så som produktutveckling, patent, info</w:t>
      </w:r>
      <w:r w:rsidRPr="00780485">
        <w:t>r</w:t>
      </w:r>
      <w:r w:rsidRPr="00780485">
        <w:t>mationskampanjer och utbil</w:t>
      </w:r>
      <w:r w:rsidRPr="00780485">
        <w:t>d</w:t>
      </w:r>
      <w:r w:rsidRPr="00780485">
        <w:t xml:space="preserve">ning. </w:t>
      </w:r>
    </w:p>
    <w:p w:rsidR="007A6E3D" w:rsidRPr="00780485" w:rsidRDefault="007A6E3D">
      <w:pPr>
        <w:pStyle w:val="Normaltindrag"/>
      </w:pPr>
      <w:r w:rsidRPr="00780485">
        <w:t>Medel till regionala utvecklingsprojekt och medel till projekt som medf</w:t>
      </w:r>
      <w:r w:rsidRPr="00780485">
        <w:t>i</w:t>
      </w:r>
      <w:r w:rsidRPr="00780485">
        <w:t xml:space="preserve">nansieras av strukturfonderna är det i kronor räknat största regionala stödet. Ett av de viktigaste målen för projektverksamheten är att i samverkan med andra aktörer bygga upp resurser för att åstadkomma en positiv utveckling för näringslivet i regionen. Mer än hälften av projektmedlen används för medfinansiering av strukturfondsprojekt. Cirka 45 % av medlen används för att finansiera näringslivsprojekt. Under budgetåret 1999 gick 52 miljoner kronor till landsbygdsutvecklingsprojekt (NUTEK 2000). </w:t>
      </w:r>
    </w:p>
    <w:p w:rsidR="007A6E3D" w:rsidRPr="00780485" w:rsidRDefault="007A6E3D">
      <w:pPr>
        <w:pStyle w:val="t"/>
      </w:pPr>
      <w:r w:rsidRPr="00780485">
        <w:t xml:space="preserve">Tabell </w:t>
      </w:r>
      <w:r w:rsidRPr="00780485">
        <w:t>2. Beviljat stöd av länsstyrelser, regionala självstyrelseorgan, NUTEK och regerin</w:t>
      </w:r>
      <w:r w:rsidRPr="00780485">
        <w:t>g</w:t>
      </w:r>
      <w:r w:rsidRPr="00780485">
        <w:t>en under 1999</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4603"/>
        <w:gridCol w:w="1433"/>
      </w:tblGrid>
      <w:tr w:rsidR="00000000" w:rsidRPr="00780485">
        <w:tblPrEx>
          <w:tblCellMar>
            <w:top w:w="0" w:type="dxa"/>
            <w:bottom w:w="0" w:type="dxa"/>
          </w:tblCellMar>
        </w:tblPrEx>
        <w:tc>
          <w:tcPr>
            <w:tcW w:w="4603" w:type="dxa"/>
            <w:tcBorders>
              <w:bottom w:val="single" w:sz="6" w:space="0" w:color="008000"/>
            </w:tcBorders>
          </w:tcPr>
          <w:p w:rsidR="007A6E3D" w:rsidRPr="00780485" w:rsidRDefault="007A6E3D">
            <w:pPr>
              <w:pStyle w:val="Tabell"/>
            </w:pPr>
            <w:r w:rsidRPr="00780485">
              <w:t>Stödform</w:t>
            </w:r>
          </w:p>
        </w:tc>
        <w:tc>
          <w:tcPr>
            <w:tcW w:w="1433" w:type="dxa"/>
            <w:tcBorders>
              <w:bottom w:val="single" w:sz="6" w:space="0" w:color="008000"/>
            </w:tcBorders>
          </w:tcPr>
          <w:p w:rsidR="007A6E3D" w:rsidRPr="00780485" w:rsidRDefault="007A6E3D">
            <w:pPr>
              <w:pStyle w:val="Tabell"/>
            </w:pPr>
            <w:r w:rsidRPr="00780485">
              <w:t>miljoner kronor</w:t>
            </w:r>
          </w:p>
        </w:tc>
      </w:tr>
      <w:tr w:rsidR="00000000" w:rsidRPr="00780485">
        <w:tblPrEx>
          <w:tblCellMar>
            <w:top w:w="0" w:type="dxa"/>
            <w:bottom w:w="0" w:type="dxa"/>
          </w:tblCellMar>
        </w:tblPrEx>
        <w:tc>
          <w:tcPr>
            <w:tcW w:w="4603" w:type="dxa"/>
            <w:tcBorders>
              <w:top w:val="nil"/>
            </w:tcBorders>
          </w:tcPr>
          <w:p w:rsidR="007A6E3D" w:rsidRPr="00780485" w:rsidRDefault="007A6E3D">
            <w:pPr>
              <w:pStyle w:val="Tabell"/>
            </w:pPr>
            <w:r w:rsidRPr="00780485">
              <w:t xml:space="preserve">Regionala utvecklingsbidrag </w:t>
            </w:r>
          </w:p>
        </w:tc>
        <w:tc>
          <w:tcPr>
            <w:tcW w:w="1433" w:type="dxa"/>
            <w:tcBorders>
              <w:top w:val="nil"/>
            </w:tcBorders>
          </w:tcPr>
          <w:p w:rsidR="007A6E3D" w:rsidRPr="00780485" w:rsidRDefault="007A6E3D">
            <w:pPr>
              <w:pStyle w:val="Tabell"/>
            </w:pPr>
            <w:r w:rsidRPr="00780485">
              <w:t xml:space="preserve">   402</w:t>
            </w:r>
          </w:p>
        </w:tc>
      </w:tr>
      <w:tr w:rsidR="00000000" w:rsidRPr="00780485">
        <w:tblPrEx>
          <w:tblCellMar>
            <w:top w:w="0" w:type="dxa"/>
            <w:bottom w:w="0" w:type="dxa"/>
          </w:tblCellMar>
        </w:tblPrEx>
        <w:tc>
          <w:tcPr>
            <w:tcW w:w="4603" w:type="dxa"/>
          </w:tcPr>
          <w:p w:rsidR="007A6E3D" w:rsidRPr="00780485" w:rsidRDefault="007A6E3D">
            <w:pPr>
              <w:pStyle w:val="Tabell"/>
            </w:pPr>
            <w:r w:rsidRPr="00780485">
              <w:t xml:space="preserve">Landsbygdsstöd </w:t>
            </w:r>
          </w:p>
        </w:tc>
        <w:tc>
          <w:tcPr>
            <w:tcW w:w="1433" w:type="dxa"/>
          </w:tcPr>
          <w:p w:rsidR="007A6E3D" w:rsidRPr="00780485" w:rsidRDefault="007A6E3D">
            <w:pPr>
              <w:pStyle w:val="Tabell"/>
            </w:pPr>
            <w:r w:rsidRPr="00780485">
              <w:t xml:space="preserve">   322</w:t>
            </w:r>
          </w:p>
        </w:tc>
      </w:tr>
      <w:tr w:rsidR="00000000" w:rsidRPr="00780485">
        <w:tblPrEx>
          <w:tblCellMar>
            <w:top w:w="0" w:type="dxa"/>
            <w:bottom w:w="0" w:type="dxa"/>
          </w:tblCellMar>
        </w:tblPrEx>
        <w:tc>
          <w:tcPr>
            <w:tcW w:w="4603" w:type="dxa"/>
          </w:tcPr>
          <w:p w:rsidR="007A6E3D" w:rsidRPr="00780485" w:rsidRDefault="007A6E3D">
            <w:pPr>
              <w:pStyle w:val="Tabell"/>
            </w:pPr>
            <w:r w:rsidRPr="00780485">
              <w:t xml:space="preserve">Småföretagsstöd </w:t>
            </w:r>
          </w:p>
        </w:tc>
        <w:tc>
          <w:tcPr>
            <w:tcW w:w="1433" w:type="dxa"/>
          </w:tcPr>
          <w:p w:rsidR="007A6E3D" w:rsidRPr="00780485" w:rsidRDefault="007A6E3D">
            <w:pPr>
              <w:pStyle w:val="Tabell"/>
            </w:pPr>
            <w:r w:rsidRPr="00780485">
              <w:t xml:space="preserve">     35</w:t>
            </w:r>
          </w:p>
        </w:tc>
      </w:tr>
      <w:tr w:rsidR="00000000" w:rsidRPr="00780485">
        <w:tblPrEx>
          <w:tblCellMar>
            <w:top w:w="0" w:type="dxa"/>
            <w:bottom w:w="0" w:type="dxa"/>
          </w:tblCellMar>
        </w:tblPrEx>
        <w:tc>
          <w:tcPr>
            <w:tcW w:w="4603" w:type="dxa"/>
          </w:tcPr>
          <w:p w:rsidR="007A6E3D" w:rsidRPr="00780485" w:rsidRDefault="007A6E3D">
            <w:pPr>
              <w:pStyle w:val="Tabell"/>
            </w:pPr>
            <w:r w:rsidRPr="00780485">
              <w:t xml:space="preserve">Stöd till kommersiell service </w:t>
            </w:r>
          </w:p>
        </w:tc>
        <w:tc>
          <w:tcPr>
            <w:tcW w:w="1433" w:type="dxa"/>
          </w:tcPr>
          <w:p w:rsidR="007A6E3D" w:rsidRPr="00780485" w:rsidRDefault="007A6E3D">
            <w:pPr>
              <w:pStyle w:val="Tabell"/>
            </w:pPr>
            <w:r w:rsidRPr="00780485">
              <w:t xml:space="preserve">     30</w:t>
            </w:r>
          </w:p>
        </w:tc>
      </w:tr>
      <w:tr w:rsidR="00000000" w:rsidRPr="00780485">
        <w:tblPrEx>
          <w:tblCellMar>
            <w:top w:w="0" w:type="dxa"/>
            <w:bottom w:w="0" w:type="dxa"/>
          </w:tblCellMar>
        </w:tblPrEx>
        <w:tc>
          <w:tcPr>
            <w:tcW w:w="4603" w:type="dxa"/>
          </w:tcPr>
          <w:p w:rsidR="007A6E3D" w:rsidRPr="00780485" w:rsidRDefault="007A6E3D">
            <w:pPr>
              <w:pStyle w:val="Tabell"/>
            </w:pPr>
            <w:r w:rsidRPr="00780485">
              <w:t xml:space="preserve">Syssselsättningsbidrag </w:t>
            </w:r>
          </w:p>
        </w:tc>
        <w:tc>
          <w:tcPr>
            <w:tcW w:w="1433" w:type="dxa"/>
          </w:tcPr>
          <w:p w:rsidR="007A6E3D" w:rsidRPr="00780485" w:rsidRDefault="007A6E3D">
            <w:pPr>
              <w:pStyle w:val="Tabell"/>
            </w:pPr>
            <w:r w:rsidRPr="00780485">
              <w:t xml:space="preserve">   173</w:t>
            </w:r>
          </w:p>
        </w:tc>
      </w:tr>
      <w:tr w:rsidR="00000000" w:rsidRPr="00780485">
        <w:tblPrEx>
          <w:tblCellMar>
            <w:top w:w="0" w:type="dxa"/>
            <w:bottom w:w="0" w:type="dxa"/>
          </w:tblCellMar>
        </w:tblPrEx>
        <w:tc>
          <w:tcPr>
            <w:tcW w:w="4603" w:type="dxa"/>
          </w:tcPr>
          <w:p w:rsidR="007A6E3D" w:rsidRPr="00780485" w:rsidRDefault="007A6E3D">
            <w:pPr>
              <w:pStyle w:val="Tabell"/>
            </w:pPr>
            <w:r w:rsidRPr="00780485">
              <w:t>Regional projektverksamhet och medfinansiering av struktu</w:t>
            </w:r>
            <w:r w:rsidRPr="00780485">
              <w:t>r</w:t>
            </w:r>
            <w:r w:rsidRPr="00780485">
              <w:t xml:space="preserve">fondsprojekt </w:t>
            </w:r>
          </w:p>
        </w:tc>
        <w:tc>
          <w:tcPr>
            <w:tcW w:w="1433" w:type="dxa"/>
          </w:tcPr>
          <w:p w:rsidR="007A6E3D" w:rsidRPr="00780485" w:rsidRDefault="007A6E3D">
            <w:pPr>
              <w:pStyle w:val="Tabell"/>
            </w:pPr>
            <w:r w:rsidRPr="00780485">
              <w:t xml:space="preserve">   615</w:t>
            </w:r>
          </w:p>
        </w:tc>
      </w:tr>
      <w:tr w:rsidR="00000000" w:rsidRPr="00780485">
        <w:tblPrEx>
          <w:tblCellMar>
            <w:top w:w="0" w:type="dxa"/>
            <w:bottom w:w="0" w:type="dxa"/>
          </w:tblCellMar>
        </w:tblPrEx>
        <w:tc>
          <w:tcPr>
            <w:tcW w:w="4603" w:type="dxa"/>
          </w:tcPr>
          <w:p w:rsidR="007A6E3D" w:rsidRPr="00780485" w:rsidRDefault="007A6E3D">
            <w:pPr>
              <w:pStyle w:val="Tabell"/>
            </w:pPr>
            <w:r w:rsidRPr="00780485">
              <w:t>SUMMA</w:t>
            </w:r>
          </w:p>
        </w:tc>
        <w:tc>
          <w:tcPr>
            <w:tcW w:w="1433" w:type="dxa"/>
          </w:tcPr>
          <w:p w:rsidR="007A6E3D" w:rsidRPr="00780485" w:rsidRDefault="007A6E3D">
            <w:pPr>
              <w:pStyle w:val="Tabell"/>
            </w:pPr>
            <w:r w:rsidRPr="00780485">
              <w:t>1 577</w:t>
            </w:r>
          </w:p>
        </w:tc>
      </w:tr>
    </w:tbl>
    <w:p w:rsidR="007A6E3D" w:rsidRPr="00780485" w:rsidRDefault="007A6E3D">
      <w:pPr>
        <w:pStyle w:val="Fotnotstext"/>
      </w:pPr>
      <w:r w:rsidRPr="00780485">
        <w:t>Källa: Budgetpropositionen för 2001 (prop. 2000/01:1).</w:t>
      </w:r>
    </w:p>
    <w:p w:rsidR="007A6E3D" w:rsidRPr="00780485" w:rsidRDefault="007A6E3D">
      <w:r w:rsidRPr="00780485">
        <w:t xml:space="preserve">Glesbygdsverket ska enligt sin instruktion genomföra ”central uppföljning och utvärdering av glesbygdsinsatser”. Vilka insatser inom den lilla regional politiken är det då som kan betraktas som glesbygdsinsatser? </w:t>
      </w:r>
    </w:p>
    <w:p w:rsidR="007A6E3D" w:rsidRPr="00780485" w:rsidRDefault="007A6E3D">
      <w:pPr>
        <w:pStyle w:val="Normaltindrag"/>
      </w:pPr>
      <w:r w:rsidRPr="00780485">
        <w:t>De regionalpolitiska medel som beskrivs ovan syftar i stor utsträckning till att stimulera företagande. Dessa företagsstöd kan naturligtvis betraktas som glesbygds- och landsbygdspolitiska insatser när stödet går till företag i omr</w:t>
      </w:r>
      <w:r w:rsidRPr="00780485">
        <w:t>å</w:t>
      </w:r>
      <w:r w:rsidRPr="00780485">
        <w:t>den utanför tätorten. I budgetpropositionen för 2001 pekas följande insatser ut som statliga gles- och landsbygdsåtgärder under budge</w:t>
      </w:r>
      <w:r w:rsidRPr="00780485">
        <w:t>t</w:t>
      </w:r>
      <w:r w:rsidRPr="00780485">
        <w:t xml:space="preserve">året 2000. </w:t>
      </w:r>
    </w:p>
    <w:p w:rsidR="007A6E3D" w:rsidRPr="00780485" w:rsidRDefault="007A6E3D">
      <w:pPr>
        <w:pStyle w:val="e"/>
        <w:numPr>
          <w:ilvl w:val="0"/>
          <w:numId w:val="142"/>
        </w:numPr>
      </w:pPr>
      <w:r w:rsidRPr="00780485">
        <w:t>Företag har beviljats landsbygdsbidrag och stöd till kommersiell service. Vissa projekt inom den regionala projektverksamheten och i vissa fall regionalt utvecklingsbidrag och småföretagsstöd bidrar till utvecklingen i gles- och landsbygd</w:t>
      </w:r>
      <w:r w:rsidRPr="00780485">
        <w:t>s</w:t>
      </w:r>
      <w:r w:rsidRPr="00780485">
        <w:t xml:space="preserve">områden. </w:t>
      </w:r>
    </w:p>
    <w:p w:rsidR="007A6E3D" w:rsidRPr="00780485" w:rsidRDefault="007A6E3D">
      <w:pPr>
        <w:pStyle w:val="e"/>
        <w:numPr>
          <w:ilvl w:val="0"/>
          <w:numId w:val="142"/>
        </w:numPr>
      </w:pPr>
      <w:r w:rsidRPr="00780485">
        <w:t>Folkrörelserådet Hela Sverige ska leva och Skärgårdarnas riksförbund har erhållit bidrag för arbetet att utgöra en central röst för gles- och landsbygdsområden samt skärgården och för deras insatser för att främja utvecklingen av dessa omr</w:t>
      </w:r>
      <w:r w:rsidRPr="00780485">
        <w:t>å</w:t>
      </w:r>
      <w:r w:rsidRPr="00780485">
        <w:t xml:space="preserve">den. </w:t>
      </w:r>
    </w:p>
    <w:p w:rsidR="007A6E3D" w:rsidRPr="00780485" w:rsidRDefault="007A6E3D">
      <w:pPr>
        <w:pStyle w:val="e"/>
        <w:numPr>
          <w:ilvl w:val="0"/>
          <w:numId w:val="142"/>
        </w:numPr>
      </w:pPr>
      <w:r w:rsidRPr="00780485">
        <w:t>Konsumentverket har ett uppdrag att i samarbete med Glesbygdsverket fortsätta utvecklingsarbetet av en servicedatabas för att möjliggöra bl.a. löpande kartläggningar av hur tillgången till olika typer av service u</w:t>
      </w:r>
      <w:r w:rsidRPr="00780485">
        <w:t>t</w:t>
      </w:r>
      <w:r w:rsidRPr="00780485">
        <w:t>vecklas i gles- och land</w:t>
      </w:r>
      <w:r w:rsidRPr="00780485">
        <w:t>s</w:t>
      </w:r>
      <w:r w:rsidRPr="00780485">
        <w:t xml:space="preserve">bygdsområden. </w:t>
      </w:r>
    </w:p>
    <w:p w:rsidR="007A6E3D" w:rsidRPr="00780485" w:rsidRDefault="007A6E3D">
      <w:pPr>
        <w:pStyle w:val="e"/>
        <w:numPr>
          <w:ilvl w:val="0"/>
          <w:numId w:val="142"/>
        </w:numPr>
      </w:pPr>
      <w:r w:rsidRPr="00780485">
        <w:t>Småkom, de små kommunernas samarbetsorgan, har beviljats bidrag för ett projekt med syftet att utveckla nya former för samordnade servic</w:t>
      </w:r>
      <w:r w:rsidRPr="00780485">
        <w:t>e</w:t>
      </w:r>
      <w:r w:rsidRPr="00780485">
        <w:t>lösningar i olika ko</w:t>
      </w:r>
      <w:r w:rsidRPr="00780485">
        <w:t>m</w:t>
      </w:r>
      <w:r w:rsidRPr="00780485">
        <w:t xml:space="preserve">muner. </w:t>
      </w:r>
    </w:p>
    <w:p w:rsidR="007A6E3D" w:rsidRPr="00780485" w:rsidRDefault="007A6E3D">
      <w:pPr>
        <w:pStyle w:val="e"/>
        <w:numPr>
          <w:ilvl w:val="0"/>
          <w:numId w:val="142"/>
        </w:numPr>
      </w:pPr>
      <w:r w:rsidRPr="00780485">
        <w:t>Gemenskapsinitiativet LEADER riktar sig specifikt till gles- och land</w:t>
      </w:r>
      <w:r w:rsidRPr="00780485">
        <w:t>s</w:t>
      </w:r>
      <w:r w:rsidRPr="00780485">
        <w:t>bygdso</w:t>
      </w:r>
      <w:r w:rsidRPr="00780485">
        <w:t>m</w:t>
      </w:r>
      <w:r w:rsidRPr="00780485">
        <w:t xml:space="preserve">råden. </w:t>
      </w:r>
    </w:p>
    <w:p w:rsidR="007A6E3D" w:rsidRPr="00780485" w:rsidRDefault="007A6E3D">
      <w:pPr>
        <w:pStyle w:val="e"/>
        <w:numPr>
          <w:ilvl w:val="0"/>
          <w:numId w:val="142"/>
        </w:numPr>
      </w:pPr>
      <w:r w:rsidRPr="00780485">
        <w:t>De olika målprogrammen och vissa Interreg-program innehåller insatser för gles- och landsbygdsområden. Mål 5b Skärgården och Interreg Skärgården utgör två särskilda program riktade till skä</w:t>
      </w:r>
      <w:r w:rsidRPr="00780485">
        <w:t>r</w:t>
      </w:r>
      <w:r w:rsidRPr="00780485">
        <w:t>gårdsområden.</w:t>
      </w:r>
    </w:p>
    <w:p w:rsidR="007A6E3D" w:rsidRPr="00780485" w:rsidRDefault="007A6E3D">
      <w:pPr>
        <w:pStyle w:val="Rubrik2"/>
      </w:pPr>
      <w:bookmarkStart w:id="67" w:name="_Toc515097890"/>
      <w:bookmarkStart w:id="68" w:name="_Toc526845438"/>
      <w:bookmarkStart w:id="69" w:name="_Toc526845760"/>
      <w:r w:rsidRPr="00780485">
        <w:t>Den stora regionalpolitiken</w:t>
      </w:r>
      <w:bookmarkEnd w:id="67"/>
      <w:bookmarkEnd w:id="68"/>
      <w:bookmarkEnd w:id="69"/>
    </w:p>
    <w:p w:rsidR="007A6E3D" w:rsidRPr="00780485" w:rsidRDefault="007A6E3D">
      <w:r w:rsidRPr="00780485">
        <w:t>Den stora regionalpolitiken består främst av välfärds- och strukturpolitiska medel. I budgetpropositionen för 2001 nämns särskilt att åtgärder inom pol</w:t>
      </w:r>
      <w:r w:rsidRPr="00780485">
        <w:t>i</w:t>
      </w:r>
      <w:r w:rsidRPr="00780485">
        <w:t>tikområdena IT, tele och post, landsbygdspolitik</w:t>
      </w:r>
      <w:r w:rsidRPr="00780485">
        <w:rPr>
          <w:rStyle w:val="Fotnotsreferens"/>
        </w:rPr>
        <w:footnoteReference w:id="2"/>
      </w:r>
      <w:r w:rsidRPr="00780485">
        <w:t>, näringspolitik, transpor</w:t>
      </w:r>
      <w:r w:rsidRPr="00780485">
        <w:t>t</w:t>
      </w:r>
      <w:r w:rsidRPr="00780485">
        <w:t>politik, och utbildningspolitik har stor betydelse för den regionalpolitiska utvecklingen. Utformningen av utjämningssystemet för kommuner och landsting anges också ha stor betydelse för den regionalpolitiska utvecklin</w:t>
      </w:r>
      <w:r w:rsidRPr="00780485">
        <w:t>g</w:t>
      </w:r>
      <w:r w:rsidRPr="00780485">
        <w:t xml:space="preserve">en. </w:t>
      </w:r>
    </w:p>
    <w:p w:rsidR="007A6E3D" w:rsidRPr="00780485" w:rsidRDefault="007A6E3D">
      <w:pPr>
        <w:pStyle w:val="e"/>
      </w:pPr>
      <w:r w:rsidRPr="00780485">
        <w:t>Regional välfärdspolitik innefattar den politik som ska garantera alla me</w:t>
      </w:r>
      <w:r w:rsidRPr="00780485">
        <w:t>d</w:t>
      </w:r>
      <w:r w:rsidRPr="00780485">
        <w:t>borgare en grundläggande välfärd och rimliga tillgångar till samhällsservice, oaktat tillväxt och utvecklingsförutsättningar. Detta sker främst genom o</w:t>
      </w:r>
      <w:r w:rsidRPr="00780485">
        <w:t>m</w:t>
      </w:r>
      <w:r w:rsidRPr="00780485">
        <w:t>fördelning av köpkraft på individnivå och en omfördelning mellan komm</w:t>
      </w:r>
      <w:r w:rsidRPr="00780485">
        <w:t>u</w:t>
      </w:r>
      <w:r w:rsidRPr="00780485">
        <w:t>ner och landsting för att korrigera för skillnader i kostnader och skatteintä</w:t>
      </w:r>
      <w:r w:rsidRPr="00780485">
        <w:t>k</w:t>
      </w:r>
      <w:r w:rsidRPr="00780485">
        <w:t xml:space="preserve">ter. </w:t>
      </w:r>
    </w:p>
    <w:p w:rsidR="007A6E3D" w:rsidRPr="00780485" w:rsidRDefault="007A6E3D">
      <w:pPr>
        <w:pStyle w:val="Normaltindrag"/>
      </w:pPr>
      <w:r w:rsidRPr="00780485">
        <w:t xml:space="preserve">På individnivå är de olika transfererings- och försäkringssystemen viktiga för att minska skillnader i köpkraft och välfärd. Arbetslöshetsförsäkring, bostadsbidrag, pensioner etc. är geografiskt oberoende </w:t>
      </w:r>
      <w:r w:rsidRPr="00780485">
        <w:t>system som korrigerar för skillnader i löner och arbetslöshet mellan olika regi</w:t>
      </w:r>
      <w:r w:rsidRPr="00780485">
        <w:t>o</w:t>
      </w:r>
      <w:r w:rsidRPr="00780485">
        <w:t xml:space="preserve">ner. </w:t>
      </w:r>
    </w:p>
    <w:p w:rsidR="007A6E3D" w:rsidRPr="00780485" w:rsidRDefault="007A6E3D">
      <w:pPr>
        <w:pStyle w:val="Normaltindrag"/>
      </w:pPr>
      <w:r w:rsidRPr="00780485">
        <w:t>När det gäller tillgång till välfärdstjänster som vård, skola och omsorg är de kommunala kostnads- och intäktsutjämningssystemen grundläggande för att skapa förutsät</w:t>
      </w:r>
      <w:r w:rsidRPr="00780485">
        <w:t>t</w:t>
      </w:r>
      <w:r w:rsidRPr="00780485">
        <w:t>ningar för en likvärdig välfärd i hela landet.</w:t>
      </w:r>
    </w:p>
    <w:p w:rsidR="007A6E3D" w:rsidRPr="00780485" w:rsidRDefault="007A6E3D">
      <w:pPr>
        <w:pStyle w:val="Normaltindrag"/>
      </w:pPr>
      <w:r w:rsidRPr="00780485">
        <w:t>Det har också betydelse för välfärden var olika servicefunktioner lokalis</w:t>
      </w:r>
      <w:r w:rsidRPr="00780485">
        <w:t>e</w:t>
      </w:r>
      <w:r w:rsidRPr="00780485">
        <w:t>ras och hur kommunikationssystemen utformas. Det kan t.ex. handla om lokalisering av statlig verksamhet som post, apotek, systembolag, försä</w:t>
      </w:r>
      <w:r w:rsidRPr="00780485">
        <w:t>k</w:t>
      </w:r>
      <w:r w:rsidRPr="00780485">
        <w:t>ringskassa och arbetsförmedling och lokalisering av privat verksamhet som banker och affärer. Till kommunikationer hör frågor om lokaltrafik, vägn</w:t>
      </w:r>
      <w:r w:rsidRPr="00780485">
        <w:t>ä</w:t>
      </w:r>
      <w:r w:rsidRPr="00780485">
        <w:t>tets sträckning och kvalitet samt tillgång till telekommunikationer. Goda kommunikations- och transportmöjligheter liksom tillgång till högre utbil</w:t>
      </w:r>
      <w:r w:rsidRPr="00780485">
        <w:t>d</w:t>
      </w:r>
      <w:r w:rsidRPr="00780485">
        <w:t>ning brukar betraktas som mycket centrala för den regionala strukturpolit</w:t>
      </w:r>
      <w:r w:rsidRPr="00780485">
        <w:t>i</w:t>
      </w:r>
      <w:r w:rsidRPr="00780485">
        <w:t>k</w:t>
      </w:r>
      <w:r w:rsidRPr="00780485">
        <w:t>en.</w:t>
      </w:r>
    </w:p>
    <w:p w:rsidR="007A6E3D" w:rsidRPr="00780485" w:rsidRDefault="007A6E3D">
      <w:pPr>
        <w:pStyle w:val="Rubrik3"/>
      </w:pPr>
      <w:bookmarkStart w:id="70" w:name="_Toc515097891"/>
      <w:bookmarkStart w:id="71" w:name="_Toc526845439"/>
      <w:bookmarkStart w:id="72" w:name="_Toc526845761"/>
      <w:r w:rsidRPr="00780485">
        <w:t>Statliga myndigheter och bolag</w:t>
      </w:r>
      <w:bookmarkEnd w:id="70"/>
      <w:bookmarkEnd w:id="71"/>
      <w:bookmarkEnd w:id="72"/>
    </w:p>
    <w:p w:rsidR="007A6E3D" w:rsidRPr="00780485" w:rsidRDefault="007A6E3D">
      <w:r w:rsidRPr="00780485">
        <w:t>Både verksförordningen och förordningen om regionalt utvecklingsarbete ålägger statliga myndigheter att ta regionalpolitisk hänsyn. I förordningen om regionalt utvecklingsarbete anges att statliga myndigheter inom ramen för de uppdrag de har fått i sina instruktioner och reglering</w:t>
      </w:r>
      <w:r w:rsidRPr="00780485">
        <w:t>s</w:t>
      </w:r>
      <w:r w:rsidRPr="00780485">
        <w:t xml:space="preserve">brev ska </w:t>
      </w:r>
    </w:p>
    <w:p w:rsidR="007A6E3D" w:rsidRPr="00780485" w:rsidRDefault="007A6E3D">
      <w:pPr>
        <w:pStyle w:val="Normaltindrag"/>
        <w:numPr>
          <w:ilvl w:val="0"/>
          <w:numId w:val="143"/>
        </w:numPr>
      </w:pPr>
      <w:r w:rsidRPr="00780485">
        <w:t>ta hänsyn till verksamhetens betydelse för ekonomisk tillväxt, sysse</w:t>
      </w:r>
      <w:r w:rsidRPr="00780485">
        <w:t>l</w:t>
      </w:r>
      <w:r w:rsidRPr="00780485">
        <w:t>sättning och service i olika regioner i sin planering,</w:t>
      </w:r>
    </w:p>
    <w:p w:rsidR="007A6E3D" w:rsidRPr="00780485" w:rsidRDefault="007A6E3D">
      <w:pPr>
        <w:pStyle w:val="Normaltindrag"/>
        <w:numPr>
          <w:ilvl w:val="0"/>
          <w:numId w:val="143"/>
        </w:numPr>
      </w:pPr>
      <w:r w:rsidRPr="00780485">
        <w:t>beakta den regionala utvecklingsstrategin i sin planering av verksamh</w:t>
      </w:r>
      <w:r w:rsidRPr="00780485">
        <w:t>e</w:t>
      </w:r>
      <w:r w:rsidRPr="00780485">
        <w:t>ten,</w:t>
      </w:r>
    </w:p>
    <w:p w:rsidR="007A6E3D" w:rsidRPr="00780485" w:rsidRDefault="007A6E3D">
      <w:pPr>
        <w:pStyle w:val="Normaltindrag"/>
        <w:numPr>
          <w:ilvl w:val="0"/>
          <w:numId w:val="143"/>
        </w:numPr>
      </w:pPr>
      <w:r w:rsidRPr="00780485">
        <w:t>beakta möjligheterna till decentralisering av sin verksamhet,</w:t>
      </w:r>
    </w:p>
    <w:p w:rsidR="007A6E3D" w:rsidRPr="00780485" w:rsidRDefault="007A6E3D">
      <w:pPr>
        <w:pStyle w:val="Normaltindrag"/>
        <w:numPr>
          <w:ilvl w:val="0"/>
          <w:numId w:val="143"/>
        </w:numPr>
      </w:pPr>
      <w:r w:rsidRPr="00780485">
        <w:t>inom sina verksamhetsområden även i övrigt verka för att de regiona</w:t>
      </w:r>
      <w:r w:rsidRPr="00780485">
        <w:t>l</w:t>
      </w:r>
      <w:r w:rsidRPr="00780485">
        <w:t>politiska målen up</w:t>
      </w:r>
      <w:r w:rsidRPr="00780485">
        <w:t>p</w:t>
      </w:r>
      <w:r w:rsidRPr="00780485">
        <w:t>nås,</w:t>
      </w:r>
    </w:p>
    <w:p w:rsidR="007A6E3D" w:rsidRPr="00780485" w:rsidRDefault="007A6E3D">
      <w:pPr>
        <w:pStyle w:val="Normaltindrag"/>
        <w:numPr>
          <w:ilvl w:val="0"/>
          <w:numId w:val="143"/>
        </w:numPr>
      </w:pPr>
      <w:r w:rsidRPr="00780485">
        <w:t>i god tid samråda med länsstyrelsen om de avser att minska eller dra in service i gle</w:t>
      </w:r>
      <w:r w:rsidRPr="00780485">
        <w:t>s</w:t>
      </w:r>
      <w:r w:rsidRPr="00780485">
        <w:t>bygds- eller landsbygdsområden,</w:t>
      </w:r>
    </w:p>
    <w:p w:rsidR="007A6E3D" w:rsidRPr="00780485" w:rsidRDefault="007A6E3D">
      <w:pPr>
        <w:pStyle w:val="Normaltindrag"/>
        <w:numPr>
          <w:ilvl w:val="0"/>
          <w:numId w:val="143"/>
        </w:numPr>
      </w:pPr>
      <w:r w:rsidRPr="00780485">
        <w:t>vid överväganden om verksamhetsminskningar, särskilt i de nationella regionalpolitiska stödområdena och EG:s strukturfondsområden, unde</w:t>
      </w:r>
      <w:r w:rsidRPr="00780485">
        <w:t>r</w:t>
      </w:r>
      <w:r w:rsidRPr="00780485">
        <w:t>söka andra myndigheters verksamheter på orten och i regionen för att u</w:t>
      </w:r>
      <w:r w:rsidRPr="00780485">
        <w:t>t</w:t>
      </w:r>
      <w:r w:rsidRPr="00780485">
        <w:t>röna om det genom samordning finns möjlighet till alternativa lösningar som gör det möjligt att behålla hela eller delar av verksamheten. För att minska verksamheten på dessa orter bör det finnas sä</w:t>
      </w:r>
      <w:r w:rsidRPr="00780485">
        <w:t>r</w:t>
      </w:r>
      <w:r w:rsidRPr="00780485">
        <w:t>skilda skäl.</w:t>
      </w:r>
    </w:p>
    <w:p w:rsidR="007A6E3D" w:rsidRPr="00780485" w:rsidRDefault="007A6E3D">
      <w:r w:rsidRPr="00780485">
        <w:t>Enligt verksförordningen ska myndighetens chef beakta de krav som ställs på verksamheten när det gäller totalförsvaret, regionalpolitiken, en ekologiskt hållbar utveckling samt jämställdheten mellan kvinnor och män.</w:t>
      </w:r>
    </w:p>
    <w:p w:rsidR="007A6E3D" w:rsidRPr="00780485" w:rsidRDefault="007A6E3D">
      <w:pPr>
        <w:pStyle w:val="Normaltindrag"/>
      </w:pPr>
      <w:r w:rsidRPr="00780485">
        <w:t>Förutom de generella riktlinjer som dessa två förordningar riktar till sam</w:t>
      </w:r>
      <w:r w:rsidRPr="00780485">
        <w:t>t</w:t>
      </w:r>
      <w:r w:rsidRPr="00780485">
        <w:t>liga myndigheter ger regeringen särskilda direktiv i regleringsbrev, instru</w:t>
      </w:r>
      <w:r w:rsidRPr="00780485">
        <w:t>k</w:t>
      </w:r>
      <w:r w:rsidRPr="00780485">
        <w:t>tioner, ägardirektiv etc. till myndigheter och bolag om regionalpolitiskt hä</w:t>
      </w:r>
      <w:r w:rsidRPr="00780485">
        <w:t>n</w:t>
      </w:r>
      <w:r w:rsidRPr="00780485">
        <w:t>synstagande.</w:t>
      </w:r>
    </w:p>
    <w:p w:rsidR="007A6E3D" w:rsidRPr="00780485" w:rsidRDefault="007A6E3D">
      <w:pPr>
        <w:pStyle w:val="Normaltindrag"/>
      </w:pPr>
      <w:r w:rsidRPr="00780485">
        <w:t>Glesbygdsverket bedriver för närvarande ett utredningsarbete där man kartlägger i vilken utsträckning statliga myndigheter och bolag tar regiona</w:t>
      </w:r>
      <w:r w:rsidRPr="00780485">
        <w:t>l</w:t>
      </w:r>
      <w:r w:rsidRPr="00780485">
        <w:t>politisk hänsyn. Den första rapporten Tar statliga myndigheter och bolag regionalpolitiskt ansvar? publicerades 1999. Rapporten innehåller en kar</w:t>
      </w:r>
      <w:r w:rsidRPr="00780485">
        <w:t>t</w:t>
      </w:r>
      <w:r w:rsidRPr="00780485">
        <w:t>läggning av vilka regionalpolitiska krav som ställs på sammanlagt åtta statl</w:t>
      </w:r>
      <w:r w:rsidRPr="00780485">
        <w:t>i</w:t>
      </w:r>
      <w:r w:rsidRPr="00780485">
        <w:t>ga myndigheter och bolag i gällande författningar, direktiv och avtal. I ra</w:t>
      </w:r>
      <w:r w:rsidRPr="00780485">
        <w:t>p</w:t>
      </w:r>
      <w:r w:rsidRPr="00780485">
        <w:t>porten redovisas även resultatet av en enkät till landets kommuner och län, där de fått betygsätta de statliga myndigheterna och bolagen (Glesbygdsve</w:t>
      </w:r>
      <w:r w:rsidRPr="00780485">
        <w:t>r</w:t>
      </w:r>
      <w:r w:rsidRPr="00780485">
        <w:t>ket 1999). Under våren 2001 planerar verket att avsluta en mot</w:t>
      </w:r>
      <w:r w:rsidRPr="00780485">
        <w:t>svarande kartläggning av arbetsmarknadsmy</w:t>
      </w:r>
      <w:r w:rsidRPr="00780485">
        <w:t>n</w:t>
      </w:r>
      <w:r w:rsidRPr="00780485">
        <w:t>digheternas regionalpolitiska ansvar.</w:t>
      </w:r>
    </w:p>
    <w:p w:rsidR="007A6E3D" w:rsidRPr="00780485" w:rsidRDefault="007A6E3D">
      <w:pPr>
        <w:pStyle w:val="Normaltindrag"/>
      </w:pPr>
      <w:r w:rsidRPr="00780485">
        <w:t>Glesbygdsverket skriver att den viktigaste slutsatsen som verket hittills drar av kartläggningen är ”att det finns många brister på hänsynstaganden till regionalpolitiska mål från statliga verksamheter och att dessa i första hand beror på bristande styrning och uppföljning från regeringens sida”. Verket rekommenderar regeringen att förtydliga och konkretisera de regionalpoliti</w:t>
      </w:r>
      <w:r w:rsidRPr="00780485">
        <w:t>s</w:t>
      </w:r>
      <w:r w:rsidRPr="00780485">
        <w:t>ka målen för statens verksamheter. Statliga myndigheter och bolag bör ålä</w:t>
      </w:r>
      <w:r w:rsidRPr="00780485">
        <w:t>g</w:t>
      </w:r>
      <w:r w:rsidRPr="00780485">
        <w:t>gas att årligen redovisa hur de regionalpolitiska målen uppfyllts för den egna verksamheten. En slutsats som kan dras av Glesbygdsverkets rapport är att det är svårt att följa upp i vilken utsträckning olika statliga myndigheter och bolag tar regi</w:t>
      </w:r>
      <w:r w:rsidRPr="00780485">
        <w:t>o</w:t>
      </w:r>
      <w:r w:rsidRPr="00780485">
        <w:t xml:space="preserve">nalpolitisk hänsyn. </w:t>
      </w:r>
    </w:p>
    <w:p w:rsidR="007A6E3D" w:rsidRPr="00780485" w:rsidRDefault="007A6E3D">
      <w:pPr>
        <w:pStyle w:val="Rubrik3"/>
      </w:pPr>
      <w:bookmarkStart w:id="73" w:name="_Toc515097892"/>
      <w:bookmarkStart w:id="74" w:name="_Toc526845440"/>
      <w:bookmarkStart w:id="75" w:name="_Toc526845762"/>
      <w:r w:rsidRPr="00780485">
        <w:t>Kommuner och landsting</w:t>
      </w:r>
      <w:bookmarkEnd w:id="73"/>
      <w:bookmarkEnd w:id="74"/>
      <w:bookmarkEnd w:id="75"/>
    </w:p>
    <w:p w:rsidR="007A6E3D" w:rsidRPr="00780485" w:rsidRDefault="007A6E3D">
      <w:r w:rsidRPr="00780485">
        <w:t>Kommuner och landsting svarar för utbudet av många centrala vä</w:t>
      </w:r>
      <w:r w:rsidRPr="00780485">
        <w:t>l</w:t>
      </w:r>
      <w:r w:rsidRPr="00780485">
        <w:t>färdstjänster. Kortfattat kan den statliga styrningen av den regionala vä</w:t>
      </w:r>
      <w:r w:rsidRPr="00780485">
        <w:t>l</w:t>
      </w:r>
      <w:r w:rsidRPr="00780485">
        <w:t>färdspolitiken i förhållande till kommuner och landsting beskrivas som att riksdagen fastställer nationella mål inom respektive sektor. Kommuner och landsting svarar för att verksamheten inom respektive sektor lever upp till de mål som riksdagen fastställt. Respektive sektorsmyndighet följer upp ver</w:t>
      </w:r>
      <w:r w:rsidRPr="00780485">
        <w:t>k</w:t>
      </w:r>
      <w:r w:rsidRPr="00780485">
        <w:t>samhetens kvalitet och i vilken utsträckning målen nås. De kommunala u</w:t>
      </w:r>
      <w:r w:rsidRPr="00780485">
        <w:t>t</w:t>
      </w:r>
      <w:r w:rsidRPr="00780485">
        <w:t>jämningssystemen syftar till att ge kommuner och landsting likvär</w:t>
      </w:r>
      <w:r w:rsidRPr="00780485">
        <w:t>diga ek</w:t>
      </w:r>
      <w:r w:rsidRPr="00780485">
        <w:t>o</w:t>
      </w:r>
      <w:r w:rsidRPr="00780485">
        <w:t xml:space="preserve">nomiska förutsättningar. </w:t>
      </w:r>
    </w:p>
    <w:p w:rsidR="007A6E3D" w:rsidRPr="00780485" w:rsidRDefault="007A6E3D">
      <w:pPr>
        <w:pStyle w:val="e"/>
      </w:pPr>
      <w:r w:rsidRPr="00780485">
        <w:t>För att exemplifiera mål av regionalpolitisk betydelse som riksdagen fattat beslut om redovisas nedan övergripande mål hämtade från skollagen respe</w:t>
      </w:r>
      <w:r w:rsidRPr="00780485">
        <w:t>k</w:t>
      </w:r>
      <w:r w:rsidRPr="00780485">
        <w:t>tive hälso- och sjukvårdsl</w:t>
      </w:r>
      <w:r w:rsidRPr="00780485">
        <w:t>a</w:t>
      </w:r>
      <w:r w:rsidRPr="00780485">
        <w:t>gen.</w:t>
      </w:r>
    </w:p>
    <w:p w:rsidR="007A6E3D" w:rsidRPr="00780485" w:rsidRDefault="007A6E3D">
      <w:pPr>
        <w:pStyle w:val="Citat"/>
        <w:numPr>
          <w:ilvl w:val="0"/>
          <w:numId w:val="98"/>
        </w:numPr>
      </w:pPr>
      <w:r w:rsidRPr="00780485">
        <w:t>Alla barn och ungdomar ska, oberoende av kön, geografiskt hemvist samt sociala och ekonomiska förhållanden, ha lika tillgång till utbil</w:t>
      </w:r>
      <w:r w:rsidRPr="00780485">
        <w:t>d</w:t>
      </w:r>
      <w:r w:rsidRPr="00780485">
        <w:t>ning i det offentliga skolväsendet för barn och ungdom. Utbildningen ska inom varje skolform vara likvärdig, varhelst den anordnas i landet. (SFS 1982:763)</w:t>
      </w:r>
    </w:p>
    <w:p w:rsidR="007A6E3D" w:rsidRPr="00780485" w:rsidRDefault="007A6E3D">
      <w:pPr>
        <w:pStyle w:val="Citat"/>
        <w:numPr>
          <w:ilvl w:val="0"/>
          <w:numId w:val="111"/>
        </w:numPr>
      </w:pPr>
      <w:r w:rsidRPr="00780485">
        <w:t>Målet för hälso- och sjukvården är en god hälsa och en vård på lika villkor för hela befol</w:t>
      </w:r>
      <w:r w:rsidRPr="00780485">
        <w:t>k</w:t>
      </w:r>
      <w:r w:rsidRPr="00780485">
        <w:t>ningen. (SFS 1982:763).</w:t>
      </w:r>
    </w:p>
    <w:p w:rsidR="007A6E3D" w:rsidRPr="00780485" w:rsidRDefault="007A6E3D">
      <w:pPr>
        <w:pStyle w:val="Rubrik3"/>
      </w:pPr>
      <w:bookmarkStart w:id="76" w:name="_Toc515097893"/>
      <w:bookmarkStart w:id="77" w:name="_Toc526845441"/>
      <w:bookmarkStart w:id="78" w:name="_Toc526845763"/>
      <w:r w:rsidRPr="00780485">
        <w:t>Uppföljning</w:t>
      </w:r>
      <w:bookmarkEnd w:id="76"/>
      <w:bookmarkEnd w:id="77"/>
      <w:bookmarkEnd w:id="78"/>
      <w:r w:rsidRPr="00780485">
        <w:t xml:space="preserve"> </w:t>
      </w:r>
    </w:p>
    <w:p w:rsidR="007A6E3D" w:rsidRPr="00780485" w:rsidRDefault="007A6E3D">
      <w:r w:rsidRPr="00780485">
        <w:t>Den regionalpolitiska utvecklingen följs dels upp inom respektive sektor dels genom sektorsövergripande analyser. Den huvudsakliga uppföljningen bas</w:t>
      </w:r>
      <w:r w:rsidRPr="00780485">
        <w:t>e</w:t>
      </w:r>
      <w:r w:rsidRPr="00780485">
        <w:t>ras på uppgifter som ingår i den offentliga statistiken. Ansvaret för att ta fram den offentliga statistiken delas av Statistiska centralbyrån (SCB) och ett 25-tal sektorsmyndigheter med ett särskilt statistikansvar inom respektive sektor. SCB ansvarar för officiell statistik som griper över flera sektorer eller som saknar en entydig huvudanvändare eller där det påtagligt gagnar förtr</w:t>
      </w:r>
      <w:r w:rsidRPr="00780485">
        <w:t>o</w:t>
      </w:r>
      <w:r w:rsidRPr="00780485">
        <w:t>endet för statistiken (ekonomisk, fördelnings- och välfärdsstatistik). SCB ansvarar även för långsiktiga prognoser/analyser</w:t>
      </w:r>
      <w:r w:rsidRPr="00780485">
        <w:t xml:space="preserve"> om befolkning, utbildning och arbetsmarknad. Sektorsmyndigheterna ansvarar för att beställa sekto</w:t>
      </w:r>
      <w:r w:rsidRPr="00780485">
        <w:t>r</w:t>
      </w:r>
      <w:r w:rsidRPr="00780485">
        <w:t xml:space="preserve">bunden statistik inom sina fackområden (SOU 1999:96). </w:t>
      </w:r>
    </w:p>
    <w:p w:rsidR="007A6E3D" w:rsidRPr="00780485" w:rsidRDefault="007A6E3D">
      <w:pPr>
        <w:pStyle w:val="Rubrik5"/>
        <w:rPr>
          <w:i/>
        </w:rPr>
      </w:pPr>
      <w:r w:rsidRPr="00780485">
        <w:rPr>
          <w:i/>
        </w:rPr>
        <w:t>Sektorsvis uppföljning</w:t>
      </w:r>
    </w:p>
    <w:p w:rsidR="007A6E3D" w:rsidRPr="00780485" w:rsidRDefault="007A6E3D">
      <w:r w:rsidRPr="00780485">
        <w:t>Inom respektive sektor finns som regel system för att följa upp hur välfärd</w:t>
      </w:r>
      <w:r w:rsidRPr="00780485">
        <w:t>s</w:t>
      </w:r>
      <w:r w:rsidRPr="00780485">
        <w:t>nivån ser ut i olika delar av landet. En stor del av den statistik som produc</w:t>
      </w:r>
      <w:r w:rsidRPr="00780485">
        <w:t>e</w:t>
      </w:r>
      <w:r w:rsidRPr="00780485">
        <w:t>ras går att jämföra på kommunal nivå. Myndigheter som Skolverket och Socialstyrelsen har till uppgift att följa utvecklingen i respektive sektor samt främja utvecklingen genom att bl.a. producera och sprida kunskap. Myndi</w:t>
      </w:r>
      <w:r w:rsidRPr="00780485">
        <w:t>g</w:t>
      </w:r>
      <w:r w:rsidRPr="00780485">
        <w:t>heterna svarar även för tillsynsinsatser som syftar till att kontrollera att ver</w:t>
      </w:r>
      <w:r w:rsidRPr="00780485">
        <w:t>k</w:t>
      </w:r>
      <w:r w:rsidRPr="00780485">
        <w:t>samheten bedrivs i enlighet med gällande lagar och förordnin</w:t>
      </w:r>
      <w:r w:rsidRPr="00780485">
        <w:t>g</w:t>
      </w:r>
      <w:r w:rsidRPr="00780485">
        <w:t>ar.</w:t>
      </w:r>
    </w:p>
    <w:p w:rsidR="007A6E3D" w:rsidRPr="00780485" w:rsidRDefault="007A6E3D">
      <w:pPr>
        <w:pStyle w:val="Normaltindrag"/>
      </w:pPr>
      <w:r w:rsidRPr="00780485">
        <w:t>Av Skolverkets instruktioner framgår att myndigheten har till upp</w:t>
      </w:r>
      <w:r w:rsidRPr="00780485">
        <w:t>gift att verka för att de mål och riktlinjer som riksdag och regering fastställs fö</w:t>
      </w:r>
      <w:r w:rsidRPr="00780485">
        <w:t>r</w:t>
      </w:r>
      <w:r w:rsidRPr="00780485">
        <w:t>verkligas. Detta innebär bl.a. att verket ska följa upp och utvärdera skolv</w:t>
      </w:r>
      <w:r w:rsidRPr="00780485">
        <w:t>ä</w:t>
      </w:r>
      <w:r w:rsidRPr="00780485">
        <w:t>sendet och barnomsorgen. Vidare ska Skolverket bedriva tillsyn över skolv</w:t>
      </w:r>
      <w:r w:rsidRPr="00780485">
        <w:t>ä</w:t>
      </w:r>
      <w:r w:rsidRPr="00780485">
        <w:t>sendet och kommunernas skyldighet att se till att skolpliktiga barn får för</w:t>
      </w:r>
      <w:r w:rsidRPr="00780485">
        <w:t>e</w:t>
      </w:r>
      <w:r w:rsidRPr="00780485">
        <w:t>skriven utbildning (SFS 1991:1121).</w:t>
      </w:r>
    </w:p>
    <w:p w:rsidR="007A6E3D" w:rsidRPr="00780485" w:rsidRDefault="007A6E3D">
      <w:pPr>
        <w:pStyle w:val="Normaltindrag"/>
      </w:pPr>
      <w:r w:rsidRPr="00780485">
        <w:t>Socialstyrelsen är central förvaltningsmyndighet för verksamhet som rör socialtjänst, hälso- och sjukvård och annan medicinsk verksamhet, tandvård, hälsoskydd, smitts</w:t>
      </w:r>
      <w:r w:rsidRPr="00780485">
        <w:t xml:space="preserve">kydd, stöd och service till vissa funktionshindrade m.m. i den utsträckning det inte är en uppgift för någon annan statlig myndighet. </w:t>
      </w:r>
    </w:p>
    <w:p w:rsidR="007A6E3D" w:rsidRPr="00780485" w:rsidRDefault="007A6E3D">
      <w:pPr>
        <w:pStyle w:val="e"/>
      </w:pPr>
      <w:r w:rsidRPr="00780485">
        <w:t>Socialstyrelsen ska verka för god hälsa och social välfärd samt omsorg och vård av hög kvalitet på lika villkor för hela befolkningen. I detta uppdrag ligger bl.a. att följa utvecklingen inom och utvärdera verksamheterna och att vaka över verksamheterna vad gäller kvalitet och säkerhet samt den enski</w:t>
      </w:r>
      <w:r w:rsidRPr="00780485">
        <w:t>l</w:t>
      </w:r>
      <w:r w:rsidRPr="00780485">
        <w:t>des rättigheter (SFS 1996:570).</w:t>
      </w:r>
    </w:p>
    <w:p w:rsidR="007A6E3D" w:rsidRPr="00780485" w:rsidRDefault="007A6E3D">
      <w:pPr>
        <w:pStyle w:val="Rubrik5"/>
        <w:rPr>
          <w:i/>
        </w:rPr>
      </w:pPr>
      <w:r w:rsidRPr="00780485">
        <w:rPr>
          <w:i/>
        </w:rPr>
        <w:t>Sektorsövergripande uppföljning</w:t>
      </w:r>
    </w:p>
    <w:p w:rsidR="007A6E3D" w:rsidRPr="00780485" w:rsidRDefault="007A6E3D">
      <w:r w:rsidRPr="00780485">
        <w:t>Inom det tillväxtpolitiska området har Institutet för tillväxtpolitiska studier till uppgift att beskriva och analysera den ekonomiska utvecklingen i landets regioner. NUTEK har på regeringens uppdrag ansvarat för att utveckla ett analysverktyg för den regionala nivån som benämns RAPS (Regionalt An</w:t>
      </w:r>
      <w:r w:rsidRPr="00780485">
        <w:t>a</w:t>
      </w:r>
      <w:r w:rsidRPr="00780485">
        <w:t>lys- och Prognos System). Analysverktyget syftar till att ge beslutsrelevant information för länsstyrelsernas och övriga regionala/lokala aktörers regi</w:t>
      </w:r>
      <w:r w:rsidRPr="00780485">
        <w:t>o</w:t>
      </w:r>
      <w:r w:rsidRPr="00780485">
        <w:t>nala utvecklingsarbete. Systemet är uppbyggt för att det ska gå att göra n</w:t>
      </w:r>
      <w:r w:rsidRPr="00780485">
        <w:t>a</w:t>
      </w:r>
      <w:r w:rsidRPr="00780485">
        <w:t>tionella jämförelser mellan olika regioner och kommuner. På kommunnivå, lokala arbetsmarknadsområden, län och riket finns statistik i form av en databas för ämnesområdena befolkning, arbetsmarknad och regional ekon</w:t>
      </w:r>
      <w:r w:rsidRPr="00780485">
        <w:t>o</w:t>
      </w:r>
      <w:r w:rsidRPr="00780485">
        <w:t xml:space="preserve">mi. På kommunnivå finns kommuntabeller som innehåller statistik inom </w:t>
      </w:r>
      <w:r w:rsidRPr="00780485">
        <w:t>områdena befolkning, hushåll, tätorter, social omsorg, arbetsmarknad, i</w:t>
      </w:r>
      <w:r w:rsidRPr="00780485">
        <w:t>n</w:t>
      </w:r>
      <w:r w:rsidRPr="00780485">
        <w:t>dustrisektorn, tjänstesektorn, utbildning, inkomster, ekonomi och politik. Länsstyrelserna har möjlighet att via licens erhålla en databas som möjliggör olika modellb</w:t>
      </w:r>
      <w:r w:rsidRPr="00780485">
        <w:t>e</w:t>
      </w:r>
      <w:r w:rsidRPr="00780485">
        <w:t xml:space="preserve">räkningar. </w:t>
      </w:r>
    </w:p>
    <w:p w:rsidR="007A6E3D" w:rsidRPr="00780485" w:rsidRDefault="007A6E3D">
      <w:pPr>
        <w:pStyle w:val="Normaltindrag"/>
      </w:pPr>
      <w:r w:rsidRPr="00780485">
        <w:t>Den uppföljning som bedrivs av den regionala välfärdspolitiken är främst sektorsinriktad. Inom Regeringskansliet bedrivs sedan 1998 ett försök med att utveckla en kommunal databas för att förbättra uppföljning av målup</w:t>
      </w:r>
      <w:r w:rsidRPr="00780485">
        <w:t>p</w:t>
      </w:r>
      <w:r w:rsidRPr="00780485">
        <w:t>fyllelse och resursanvändning i kommuner och landsting. Mot bakgrund av det pågående försöket beslutade regeringen i oktober 2000 att tillkalla en utredare med uppdrag att hantera den fortsatta utvecklingen (dir. 2000:69). Enligt förslag från Regeringskansliets arbetsgrupp ska databasen fr.o.m. 2002 innehålla nyckeltal och mått som beskriver förskola, grund- och gy</w:t>
      </w:r>
      <w:r w:rsidRPr="00780485">
        <w:t>m</w:t>
      </w:r>
      <w:r w:rsidRPr="00780485">
        <w:t>nasieskola, skolbarnsomsorg, vuxenutbildning, individ- och familjeomsorg samt omsorg om äldre och funktionshindrade. Varje verksamhet ska enlig</w:t>
      </w:r>
      <w:r w:rsidRPr="00780485">
        <w:t>t förslaget kunna beskrivas med avseende på ekonomi, volymer och kvalitet. Databasen ska därefter kompletteras med uppgifter om landstingens ver</w:t>
      </w:r>
      <w:r w:rsidRPr="00780485">
        <w:t>k</w:t>
      </w:r>
      <w:r w:rsidRPr="00780485">
        <w:t>samhet (Ds 2000:48). Utredaren har redovisat ett förslag till en systemlö</w:t>
      </w:r>
      <w:r w:rsidRPr="00780485">
        <w:t>s</w:t>
      </w:r>
      <w:r w:rsidRPr="00780485">
        <w:t>ning för databasen i februari 2001. Slutredovisning av uppdraget ska ske i september 2001.</w:t>
      </w:r>
    </w:p>
    <w:p w:rsidR="007A6E3D" w:rsidRPr="00780485" w:rsidRDefault="007A6E3D">
      <w:pPr>
        <w:pStyle w:val="Rubrik1"/>
      </w:pPr>
      <w:r w:rsidRPr="00780485">
        <w:br w:type="page"/>
      </w:r>
      <w:bookmarkStart w:id="79" w:name="_Toc493052216"/>
      <w:bookmarkStart w:id="80" w:name="_Toc515097894"/>
      <w:bookmarkStart w:id="81" w:name="_Toc526845442"/>
      <w:bookmarkStart w:id="82" w:name="_Toc526845764"/>
      <w:r w:rsidRPr="00780485">
        <w:t>Glesbygdsverkets uppdrag och verksamhet</w:t>
      </w:r>
      <w:bookmarkEnd w:id="79"/>
      <w:bookmarkEnd w:id="80"/>
      <w:bookmarkEnd w:id="81"/>
      <w:bookmarkEnd w:id="82"/>
    </w:p>
    <w:p w:rsidR="007A6E3D" w:rsidRPr="00780485" w:rsidRDefault="007A6E3D">
      <w:r w:rsidRPr="00780485">
        <w:t>Riksdagen har ett ansvar för att följa upp hur regeringen och dess myndi</w:t>
      </w:r>
      <w:r w:rsidRPr="00780485">
        <w:t>g</w:t>
      </w:r>
      <w:r w:rsidRPr="00780485">
        <w:t>heter förvaltar de medel riksdagen beslutat om. Återkopplingen i den parl</w:t>
      </w:r>
      <w:r w:rsidRPr="00780485">
        <w:t>a</w:t>
      </w:r>
      <w:r w:rsidRPr="00780485">
        <w:t>mentariska styrnings- och ansvarskedjan sker genom att regeringen redovisar sitt och myndigheternas arbete med att uppfylla de av riksdagen fattade besluten. Den huvudsakliga redovisningen sker i budgetpropositionen. Red</w:t>
      </w:r>
      <w:r w:rsidRPr="00780485">
        <w:t>o</w:t>
      </w:r>
      <w:r w:rsidRPr="00780485">
        <w:t>visningen av myndigheternas verksamhet bygger i sin tur på myndigheternas årliga resultatredovisning i respektive myndighets årsredovi</w:t>
      </w:r>
      <w:r w:rsidRPr="00780485">
        <w:t>s</w:t>
      </w:r>
      <w:r w:rsidRPr="00780485">
        <w:t>ning.</w:t>
      </w:r>
    </w:p>
    <w:p w:rsidR="007A6E3D" w:rsidRPr="00780485" w:rsidRDefault="007A6E3D">
      <w:pPr>
        <w:pStyle w:val="e"/>
      </w:pPr>
      <w:r w:rsidRPr="00780485">
        <w:t>Med utgångspunkt i denna styrkedja beskrivs i detta kapitel regeringens sty</w:t>
      </w:r>
      <w:r w:rsidRPr="00780485">
        <w:t>rning av Glesbygdsverket och den återrapportering som sker av myndi</w:t>
      </w:r>
      <w:r w:rsidRPr="00780485">
        <w:t>g</w:t>
      </w:r>
      <w:r w:rsidRPr="00780485">
        <w:t xml:space="preserve">hetens resultat. </w:t>
      </w:r>
    </w:p>
    <w:p w:rsidR="007A6E3D" w:rsidRPr="00780485" w:rsidRDefault="007A6E3D">
      <w:pPr>
        <w:pStyle w:val="e"/>
      </w:pPr>
      <w:r w:rsidRPr="00780485">
        <w:t>Riksdagens beslut om inriktning av den statliga verksamheten har främst karaktären av övergripande mål och ramar. Detta gäller både finansiering och verksamhet. Regeringen ska förverkliga de politiska besluten och har my</w:t>
      </w:r>
      <w:r w:rsidRPr="00780485">
        <w:t>n</w:t>
      </w:r>
      <w:r w:rsidRPr="00780485">
        <w:t>digheterna till sitt förfogande. Arbetet med att precisera mål och medelsa</w:t>
      </w:r>
      <w:r w:rsidRPr="00780485">
        <w:t>n</w:t>
      </w:r>
      <w:r w:rsidRPr="00780485">
        <w:t>vändning delegeras i stor utsträckning till regerings- eller my</w:t>
      </w:r>
      <w:r w:rsidRPr="00780485">
        <w:t>n</w:t>
      </w:r>
      <w:r w:rsidRPr="00780485">
        <w:t xml:space="preserve">dighetsnivå. </w:t>
      </w:r>
    </w:p>
    <w:p w:rsidR="007A6E3D" w:rsidRPr="00780485" w:rsidRDefault="007A6E3D">
      <w:pPr>
        <w:pStyle w:val="Normaltindrag"/>
      </w:pPr>
      <w:r w:rsidRPr="00780485">
        <w:t>För den, i förhållande till riksdagen, mer detaljerade styrningen av my</w:t>
      </w:r>
      <w:r w:rsidRPr="00780485">
        <w:t>n</w:t>
      </w:r>
      <w:r w:rsidRPr="00780485">
        <w:t>digheterna har regeringen ett flertal typer av styrningsinstrument. Till de vanligaste hör budgetpropositionen, myndighetens regleringsbrev, förfat</w:t>
      </w:r>
      <w:r w:rsidRPr="00780485">
        <w:t>t</w:t>
      </w:r>
      <w:r w:rsidRPr="00780485">
        <w:t xml:space="preserve">ningar, utnämningsmakten, informella kontakter mellan myndighet och departement och särskilda regeringsbeslut. </w:t>
      </w:r>
    </w:p>
    <w:p w:rsidR="007A6E3D" w:rsidRPr="00780485" w:rsidRDefault="007A6E3D">
      <w:pPr>
        <w:pStyle w:val="Normaltindrag"/>
      </w:pPr>
      <w:r w:rsidRPr="00780485">
        <w:t>Lagen (1996:1059) om statsbudgeten föreskriver en allmän redovisning</w:t>
      </w:r>
      <w:r w:rsidRPr="00780485">
        <w:t>s</w:t>
      </w:r>
      <w:r w:rsidRPr="00780485">
        <w:t>skyldighet för regeringen. Budgetlagen ställer krav på att regeringen för riksdagen redovisar de mål som åsyftas och de resultat som har uppnåtts på olika verksamhetsområden (2 §). Bestämmelsen syftar enligt budgetlagspr</w:t>
      </w:r>
      <w:r w:rsidRPr="00780485">
        <w:t>o</w:t>
      </w:r>
      <w:r w:rsidRPr="00780485">
        <w:t>positionen till att slå fast betydelsen av mål- och resultatstyrning i statlig verksamhet. Regeringens redovisning ska ge ”en rättvisande bild” av ver</w:t>
      </w:r>
      <w:r w:rsidRPr="00780485">
        <w:t>k</w:t>
      </w:r>
      <w:r w:rsidRPr="00780485">
        <w:t xml:space="preserve">samheten, det ekonomiska resultatet och ställningen samt förvaltningen av statens medel och övriga tillgångar (45 §). </w:t>
      </w:r>
    </w:p>
    <w:p w:rsidR="007A6E3D" w:rsidRPr="00780485" w:rsidRDefault="007A6E3D">
      <w:pPr>
        <w:pStyle w:val="Rubrik2"/>
      </w:pPr>
      <w:bookmarkStart w:id="83" w:name="_Toc515097895"/>
      <w:bookmarkStart w:id="84" w:name="_Toc526845443"/>
      <w:bookmarkStart w:id="85" w:name="_Toc526845765"/>
      <w:r w:rsidRPr="00780485">
        <w:t>Övergripande mål</w:t>
      </w:r>
      <w:bookmarkEnd w:id="83"/>
      <w:bookmarkEnd w:id="84"/>
      <w:bookmarkEnd w:id="85"/>
    </w:p>
    <w:p w:rsidR="007A6E3D" w:rsidRPr="00780485" w:rsidRDefault="007A6E3D">
      <w:r w:rsidRPr="00780485">
        <w:t>Statsmakternas målformulering följer en given struktur som innebär att rik</w:t>
      </w:r>
      <w:r w:rsidRPr="00780485">
        <w:t>s</w:t>
      </w:r>
      <w:r w:rsidRPr="00780485">
        <w:t>dagen fastställer mål av övergripande natur och regeringen fastställer de mer detaljerade målen. Tidigare har riksdagen fattat beslut om övergripande mål för 27 olika utgiftsområden. Målen benämndes effek</w:t>
      </w:r>
      <w:r w:rsidRPr="00780485">
        <w:t>t</w:t>
      </w:r>
      <w:r w:rsidRPr="00780485">
        <w:t>mål.</w:t>
      </w:r>
    </w:p>
    <w:p w:rsidR="007A6E3D" w:rsidRPr="00780485" w:rsidRDefault="007A6E3D">
      <w:pPr>
        <w:pStyle w:val="Normaltindrag"/>
      </w:pPr>
      <w:r w:rsidRPr="00780485">
        <w:t xml:space="preserve">De effektmål som berört Glesbygdsverket fram till och med budgetåret 2000 återfanns i utgiftsområde 19 Regional utjämning och utveckling och utgiftsområde 24 Näringsliv. </w:t>
      </w:r>
    </w:p>
    <w:p w:rsidR="007A6E3D" w:rsidRPr="00780485" w:rsidRDefault="007A6E3D">
      <w:pPr>
        <w:pStyle w:val="Normaltindrag"/>
      </w:pPr>
      <w:r w:rsidRPr="00780485">
        <w:t>Uppdelningen i utgiftsområden är grov och det har ansetts svårt att få till stånd en tydlig koppling mellan mål, kostnader och resultat. Formerna för riksdagens målstyrning ändrades i och med budgetpropositionen för 2000/01. Nytt för budgetåret 2001 är att statsbudgeten delats i 47 olika politikområden för vilka mål formulerats. Övergripande mål formuleras inte längre på u</w:t>
      </w:r>
      <w:r w:rsidRPr="00780485">
        <w:t>t</w:t>
      </w:r>
      <w:r w:rsidRPr="00780485">
        <w:t>giftsområdesnivå. Politikområden kan ses som en underindelning av utgift</w:t>
      </w:r>
      <w:r w:rsidRPr="00780485">
        <w:t>s</w:t>
      </w:r>
      <w:r w:rsidRPr="00780485">
        <w:t xml:space="preserve">områdena. De kan utgöra en del av ett utgiftsområde men ett politikområde kan också bestå av anslag från flera utgiftsområden. </w:t>
      </w:r>
    </w:p>
    <w:p w:rsidR="007A6E3D" w:rsidRPr="00780485" w:rsidRDefault="007A6E3D">
      <w:pPr>
        <w:pStyle w:val="e"/>
      </w:pPr>
      <w:r w:rsidRPr="00780485">
        <w:t>För att uppnå de övergripande mål som riksdagen beslutat om krävs att dessa mål bryts ned på myndighetsnivå och att de styrmedel som regeringen har till sitt förfogande utnyttjas på ett ändamålsenligt sätt. I departement</w:t>
      </w:r>
      <w:r w:rsidRPr="00780485">
        <w:t>s</w:t>
      </w:r>
      <w:r w:rsidRPr="00780485">
        <w:t>skriften Vad kostar det att regera? rangordnas regeringens olika styrinstr</w:t>
      </w:r>
      <w:r w:rsidRPr="00780485">
        <w:t>u</w:t>
      </w:r>
      <w:r w:rsidRPr="00780485">
        <w:t>ment med avseende på vikt. Rangordningen baseras på en enkät ställd till myndighetschefer. Regleringsbrev samt budgetpropositionen/budgetbeslut uppfattades som de styrinstrument som har den avgjort största påverkan på myndighete</w:t>
      </w:r>
      <w:r w:rsidRPr="00780485">
        <w:t>r</w:t>
      </w:r>
      <w:r w:rsidRPr="00780485">
        <w:t>nas arbete (Ds 2000:27).</w:t>
      </w:r>
    </w:p>
    <w:p w:rsidR="007A6E3D" w:rsidRPr="00780485" w:rsidRDefault="007A6E3D">
      <w:pPr>
        <w:pStyle w:val="Normaltindrag"/>
      </w:pPr>
      <w:r w:rsidRPr="00780485">
        <w:t>Att ett styrinstrument har stor påverkansförmåga är inte det samma som att det fungerar bra. Tvärtom var det endast 60 % av de tillfrågade myndighet</w:t>
      </w:r>
      <w:r w:rsidRPr="00780485">
        <w:t>s</w:t>
      </w:r>
      <w:r w:rsidRPr="00780485">
        <w:t>cheferna som ansåg att regleringsbrevet respektive budgetpropositionen fungerade bra som styrinstrument. Kritiken mot regleringsbrevet som sty</w:t>
      </w:r>
      <w:r w:rsidRPr="00780485">
        <w:t>r</w:t>
      </w:r>
      <w:r w:rsidRPr="00780485">
        <w:t>medel handlade främst om målformulering, detaljeringsgrad i målformul</w:t>
      </w:r>
      <w:r w:rsidRPr="00780485">
        <w:t>e</w:t>
      </w:r>
      <w:r w:rsidRPr="00780485">
        <w:t>ring samt återrapporteringskraven. Denna kritik är inte ny. Förvaltningspol</w:t>
      </w:r>
      <w:r w:rsidRPr="00780485">
        <w:t>i</w:t>
      </w:r>
      <w:r w:rsidRPr="00780485">
        <w:t>tiska kommissionen pekade 1997 ut Regeringskansliet som den svaga länken i mål och resultatstyrningen. Kommissionen påpekade brister i både målfo</w:t>
      </w:r>
      <w:r w:rsidRPr="00780485">
        <w:t>r</w:t>
      </w:r>
      <w:r w:rsidRPr="00780485">
        <w:t>mulering och inform</w:t>
      </w:r>
      <w:r w:rsidRPr="00780485">
        <w:t>a</w:t>
      </w:r>
      <w:r w:rsidRPr="00780485">
        <w:t xml:space="preserve">tionshantering (SOU 1997:57). </w:t>
      </w:r>
    </w:p>
    <w:p w:rsidR="007A6E3D" w:rsidRPr="00780485" w:rsidRDefault="007A6E3D">
      <w:pPr>
        <w:pStyle w:val="Normaltindrag"/>
      </w:pPr>
      <w:r w:rsidRPr="00780485">
        <w:t>Finansutskottet har under</w:t>
      </w:r>
      <w:r w:rsidRPr="00780485">
        <w:t xml:space="preserve"> de senaste åren vid behandlingen av vårpropos</w:t>
      </w:r>
      <w:r w:rsidRPr="00780485">
        <w:t>i</w:t>
      </w:r>
      <w:r w:rsidRPr="00780485">
        <w:t>tionen tagit upp olika generella frågor om mål- och resultatstyrning sett ur riksdagens perspektiv. Utskottet har redovisat vissa riktlinjer för hur man anser att ett utvecklingsarbete bör bedrivas. Utskottet framhåller det ang</w:t>
      </w:r>
      <w:r w:rsidRPr="00780485">
        <w:t>e</w:t>
      </w:r>
      <w:r w:rsidRPr="00780485">
        <w:t>lägna i att målen görs mätbara och uppföljningsbara så att det blir mening</w:t>
      </w:r>
      <w:r w:rsidRPr="00780485">
        <w:t>s</w:t>
      </w:r>
      <w:r w:rsidRPr="00780485">
        <w:t xml:space="preserve">fullt att ställa dessa i relation till kostnaderna. Utskottet skriver vidare att det är av värde om målen uttrycks i sådana termer att de kan vara utgångspunkter </w:t>
      </w:r>
      <w:r w:rsidRPr="00780485">
        <w:t>för politiska prioriteringar och diskussioner. Målen bör, enligt utskottet, inte vara alltför vagt eller allmänt formulerade (1999/2000:FiU20).</w:t>
      </w:r>
    </w:p>
    <w:p w:rsidR="007A6E3D" w:rsidRPr="00780485" w:rsidRDefault="007A6E3D">
      <w:pPr>
        <w:pStyle w:val="Normaltindrag"/>
      </w:pPr>
      <w:r w:rsidRPr="00780485">
        <w:t>Som ett led i arbetet med att utveckla Regeringskansliets resultatstyrning ger Finansdepartementet ut en handledning för hur regleringsbrev och andra styrdokument bör utformas (Finansdepartementet 2000). I handledningen presenteras kriterier för mål av god kvalitet. Finansdepartementets kval</w:t>
      </w:r>
      <w:r w:rsidRPr="00780485">
        <w:t>i</w:t>
      </w:r>
      <w:r w:rsidRPr="00780485">
        <w:t>tetskriterier kan sammanfattas i förkortningen SMART. Förkortningen står för Specifika, Mätbara, Accepterade, Realistiska och Tidssatta. Enligt han</w:t>
      </w:r>
      <w:r w:rsidRPr="00780485">
        <w:t>d</w:t>
      </w:r>
      <w:r w:rsidRPr="00780485">
        <w:t>ledningen bör dessa kriterier ”kunna vara vägledande vid formulerandet av såväl mål för att styra verksamheten som mål för att styra myndigheterna”. Generellt sägs att dessa kriterier är enklare att uppfylla för mål på lägre nivå, t.ex. mål för verksamhetsgrenar än för mål för politikområden. Kvalitetskr</w:t>
      </w:r>
      <w:r w:rsidRPr="00780485">
        <w:t>i</w:t>
      </w:r>
      <w:r w:rsidRPr="00780485">
        <w:t>terierna beskrivs på följande sätt i Finansdepartementets</w:t>
      </w:r>
      <w:r w:rsidRPr="00780485">
        <w:t xml:space="preserve"> handledning:</w:t>
      </w:r>
    </w:p>
    <w:p w:rsidR="007A6E3D" w:rsidRPr="00780485" w:rsidRDefault="007A6E3D">
      <w:pPr>
        <w:pStyle w:val="Citat"/>
      </w:pPr>
      <w:r w:rsidRPr="00780485">
        <w:t>Strävan ska vara så specifika och tydliga mål som möjligt. Orsaken till detta är dels att målen ska kunna tjäna som ett styrinstrument, dels att öka föru</w:t>
      </w:r>
      <w:r w:rsidRPr="00780485">
        <w:t>t</w:t>
      </w:r>
      <w:r w:rsidRPr="00780485">
        <w:t>sättningarna för att kunna mäta och följa upp målen. Det är också angeläget att målen accepteras. Ett sätt att öka acceptansen är att sätta upp mål som uppfattas som realistiska och möjliga att nå. I vissa fall kan det vara lämpligt att ange när målet ska vara uppnått. Vissa mål kanske inte är tänkta att up</w:t>
      </w:r>
      <w:r w:rsidRPr="00780485">
        <w:t>p</w:t>
      </w:r>
      <w:r w:rsidRPr="00780485">
        <w:t>nås på ett års sikt. Uppföljning och utvärdering av måluppfyllelsen underlä</w:t>
      </w:r>
      <w:r w:rsidRPr="00780485">
        <w:t>t</w:t>
      </w:r>
      <w:r w:rsidRPr="00780485">
        <w:t>tas om målet är tidssatt. Om inte annat anges ska resultatet uppnås under det budgetår regleringsbrevet avser.</w:t>
      </w:r>
    </w:p>
    <w:p w:rsidR="007A6E3D" w:rsidRPr="00780485" w:rsidRDefault="007A6E3D">
      <w:pPr>
        <w:pStyle w:val="Rubrik2"/>
      </w:pPr>
      <w:bookmarkStart w:id="86" w:name="_Toc515097896"/>
      <w:bookmarkStart w:id="87" w:name="_Toc526845444"/>
      <w:bookmarkStart w:id="88" w:name="_Toc526845766"/>
      <w:r w:rsidRPr="00780485">
        <w:t>Regeringens mål</w:t>
      </w:r>
      <w:r w:rsidRPr="00780485">
        <w:t xml:space="preserve"> för Glesbygdsverket</w:t>
      </w:r>
      <w:bookmarkEnd w:id="86"/>
      <w:bookmarkEnd w:id="87"/>
      <w:bookmarkEnd w:id="88"/>
    </w:p>
    <w:p w:rsidR="007A6E3D" w:rsidRPr="00780485" w:rsidRDefault="007A6E3D">
      <w:r w:rsidRPr="00780485">
        <w:t>I Glesbygdsverkets instruktion (SFS 1990:1008) anges att verket har till uppgift att ”genom påverkan på olika samhällssektorer verka för goda le</w:t>
      </w:r>
      <w:r w:rsidRPr="00780485">
        <w:t>v</w:t>
      </w:r>
      <w:r w:rsidRPr="00780485">
        <w:t>nadsförhållanden och utvecklingsmöjligheter för glesbygds- och landsbygd</w:t>
      </w:r>
      <w:r w:rsidRPr="00780485">
        <w:t>s</w:t>
      </w:r>
      <w:r w:rsidRPr="00780485">
        <w:t>befolkningen i olika delar av landet med tyngdpunkten i skogslänens inre delar samt i skärgårdso</w:t>
      </w:r>
      <w:r w:rsidRPr="00780485">
        <w:t>m</w:t>
      </w:r>
      <w:r w:rsidRPr="00780485">
        <w:t>rådena”.</w:t>
      </w:r>
    </w:p>
    <w:p w:rsidR="007A6E3D" w:rsidRPr="00780485" w:rsidRDefault="007A6E3D">
      <w:pPr>
        <w:pStyle w:val="Normaltindrag"/>
      </w:pPr>
      <w:r w:rsidRPr="00780485">
        <w:t xml:space="preserve">Av instruktionen framgår vidare att verket särskilt ska: </w:t>
      </w:r>
    </w:p>
    <w:p w:rsidR="007A6E3D" w:rsidRPr="00780485" w:rsidRDefault="007A6E3D">
      <w:pPr>
        <w:pStyle w:val="Normaltindrag"/>
        <w:numPr>
          <w:ilvl w:val="0"/>
          <w:numId w:val="144"/>
        </w:numPr>
      </w:pPr>
      <w:r w:rsidRPr="00780485">
        <w:t>verka för sektorssamordning av centrala myndigheter och statliga bolag, främst inom områdena arbete, utbildning, service och kommunikati</w:t>
      </w:r>
      <w:r w:rsidRPr="00780485">
        <w:t>o</w:t>
      </w:r>
      <w:r w:rsidRPr="00780485">
        <w:t>ner,</w:t>
      </w:r>
    </w:p>
    <w:p w:rsidR="007A6E3D" w:rsidRPr="00780485" w:rsidRDefault="007A6E3D">
      <w:pPr>
        <w:pStyle w:val="Normaltindrag"/>
        <w:numPr>
          <w:ilvl w:val="0"/>
          <w:numId w:val="144"/>
        </w:numPr>
      </w:pPr>
      <w:r w:rsidRPr="00780485">
        <w:t>bedriva analys- och utredningsverksamhet samt genomföra central up</w:t>
      </w:r>
      <w:r w:rsidRPr="00780485">
        <w:t>p</w:t>
      </w:r>
      <w:r w:rsidRPr="00780485">
        <w:t>följning och utvärd</w:t>
      </w:r>
      <w:r w:rsidRPr="00780485">
        <w:t>e</w:t>
      </w:r>
      <w:r w:rsidRPr="00780485">
        <w:t xml:space="preserve">ring av glesbygdsinsatser, </w:t>
      </w:r>
    </w:p>
    <w:p w:rsidR="007A6E3D" w:rsidRPr="00780485" w:rsidRDefault="007A6E3D">
      <w:pPr>
        <w:pStyle w:val="Normaltindrag"/>
        <w:numPr>
          <w:ilvl w:val="0"/>
          <w:numId w:val="144"/>
        </w:numPr>
      </w:pPr>
      <w:r w:rsidRPr="00780485">
        <w:t>förmedla kunskap till främst länsstyrelser och i förekommande fall regionala självstyrelseorgan samt andra organ som har betydelse för gles- och landsbygdens u</w:t>
      </w:r>
      <w:r w:rsidRPr="00780485">
        <w:t>t</w:t>
      </w:r>
      <w:r w:rsidRPr="00780485">
        <w:t>veckling,</w:t>
      </w:r>
    </w:p>
    <w:p w:rsidR="007A6E3D" w:rsidRPr="00780485" w:rsidRDefault="007A6E3D">
      <w:pPr>
        <w:pStyle w:val="Normaltindrag"/>
        <w:numPr>
          <w:ilvl w:val="0"/>
          <w:numId w:val="144"/>
        </w:numPr>
      </w:pPr>
      <w:r w:rsidRPr="00780485">
        <w:t>vara förvaltningsmyndighet för gemenskapsinitiativet Leader+ samt svara för sekretariatsuppgifter åt övervakningskommittén för Le</w:t>
      </w:r>
      <w:r w:rsidRPr="00780485">
        <w:t>a</w:t>
      </w:r>
      <w:r w:rsidRPr="00780485">
        <w:t>der+.</w:t>
      </w:r>
    </w:p>
    <w:p w:rsidR="007A6E3D" w:rsidRPr="00780485" w:rsidRDefault="007A6E3D">
      <w:r w:rsidRPr="00780485">
        <w:t>I Regleringsbrev preciserar regeringens årligen myndighetens uppdrag. Där anges i huvudsak målen för verksamheten inför kommande budgetår, my</w:t>
      </w:r>
      <w:r w:rsidRPr="00780485">
        <w:t>n</w:t>
      </w:r>
      <w:r w:rsidRPr="00780485">
        <w:t>dighetens ekonomiska ramar och vilken information om prestationer och resultat som myndigheten ska rapportera till regeringen. Regleringsbreven utgör kärnan i mål- och resultatstyrningen. Otydlig målformulering och bristande återrapporteringskrav ger dåliga förutsättningar för ett effektivt utnyttjande av statliga medel.</w:t>
      </w:r>
    </w:p>
    <w:p w:rsidR="007A6E3D" w:rsidRPr="00780485" w:rsidRDefault="007A6E3D">
      <w:pPr>
        <w:pStyle w:val="Normaltindrag"/>
      </w:pPr>
      <w:r w:rsidRPr="00780485">
        <w:t>Enligt Glesbygdsverkets regleringsbrev för 2001 ska myndigheten verka inom politikområdet regionalpolitik. De tidigare effektmålen i utgiftsområde 19 Regional utjämning och utveckling över</w:t>
      </w:r>
      <w:r w:rsidRPr="00780485">
        <w:t>ensstämmer i allt väsentligt med de mål som formulerats för polit</w:t>
      </w:r>
      <w:r w:rsidRPr="00780485">
        <w:t>i</w:t>
      </w:r>
      <w:r w:rsidRPr="00780485">
        <w:t>kområdet regionalpolitik:</w:t>
      </w:r>
    </w:p>
    <w:p w:rsidR="007A6E3D" w:rsidRPr="00780485" w:rsidRDefault="007A6E3D">
      <w:pPr>
        <w:pStyle w:val="Normaltindrag"/>
        <w:numPr>
          <w:ilvl w:val="0"/>
          <w:numId w:val="145"/>
        </w:numPr>
      </w:pPr>
      <w:r w:rsidRPr="00780485">
        <w:t>att regionalpolitiken ska skapa förutsättningar för uthållig ekonomisk tillväxt, rättvisa och valfrihet så att likvärdiga levnadsvillkor skapas för me</w:t>
      </w:r>
      <w:r w:rsidRPr="00780485">
        <w:t>d</w:t>
      </w:r>
      <w:r w:rsidRPr="00780485">
        <w:t>borgarna i hela riket,</w:t>
      </w:r>
    </w:p>
    <w:p w:rsidR="007A6E3D" w:rsidRPr="00780485" w:rsidRDefault="007A6E3D">
      <w:pPr>
        <w:pStyle w:val="Normaltindrag"/>
        <w:numPr>
          <w:ilvl w:val="0"/>
          <w:numId w:val="145"/>
        </w:numPr>
      </w:pPr>
      <w:r w:rsidRPr="00780485">
        <w:t>att verksamheten inom den lilla regionalpolitiken främst ska underlätta för näringslivet i regionalpolitiskt prioriterade områden att utvecklas så att det bidrar till att uppfylla målen för r</w:t>
      </w:r>
      <w:r w:rsidRPr="00780485">
        <w:t>e</w:t>
      </w:r>
      <w:r w:rsidRPr="00780485">
        <w:t>gionalpolitiken.</w:t>
      </w:r>
    </w:p>
    <w:p w:rsidR="007A6E3D" w:rsidRPr="00780485" w:rsidRDefault="007A6E3D">
      <w:r w:rsidRPr="00780485">
        <w:t>I regleringsbrevet för 2001 hänvisas endast till politikområdet regionalpol</w:t>
      </w:r>
      <w:r w:rsidRPr="00780485">
        <w:t>i</w:t>
      </w:r>
      <w:r w:rsidRPr="00780485">
        <w:t>tik. I regleringsbrevet för 2000 angavs även att effektmålet under utgiftso</w:t>
      </w:r>
      <w:r w:rsidRPr="00780485">
        <w:t>m</w:t>
      </w:r>
      <w:r w:rsidRPr="00780485">
        <w:t>rådet 24 Näringsliv ”att utifrån de regionala förutsättningarna stimulera en hållbar ekonomisk tillväxt som kan bidra till fler och växande företag och därmed öka sysselsättningen för både män och kvinnor” berörde Glesbygd</w:t>
      </w:r>
      <w:r w:rsidRPr="00780485">
        <w:t>s</w:t>
      </w:r>
      <w:r w:rsidRPr="00780485">
        <w:t>verkets ver</w:t>
      </w:r>
      <w:r w:rsidRPr="00780485">
        <w:t>k</w:t>
      </w:r>
      <w:r w:rsidRPr="00780485">
        <w:t>samhet.</w:t>
      </w:r>
    </w:p>
    <w:p w:rsidR="007A6E3D" w:rsidRPr="00780485" w:rsidRDefault="007A6E3D">
      <w:pPr>
        <w:pStyle w:val="Normaltindrag"/>
      </w:pPr>
      <w:r w:rsidRPr="00780485">
        <w:t>Som Glesbygdsverkets del av effektmålen preciserades att ”främst genom påverkan på olika samhällssektorer verka för goda levnadsförhållanden och utvecklingsmöjligheter för glesbygds- och lands</w:t>
      </w:r>
      <w:r w:rsidRPr="00780485">
        <w:t>bygdsbefolkningen med tyngdpunkten i skogslänens inre delar samt i skärgården”. Detta mål motsv</w:t>
      </w:r>
      <w:r w:rsidRPr="00780485">
        <w:t>a</w:t>
      </w:r>
      <w:r w:rsidRPr="00780485">
        <w:t xml:space="preserve">rar Glesbygdsverkets instruktion. </w:t>
      </w:r>
    </w:p>
    <w:p w:rsidR="007A6E3D" w:rsidRPr="00780485" w:rsidRDefault="007A6E3D">
      <w:pPr>
        <w:pStyle w:val="e"/>
      </w:pPr>
      <w:r w:rsidRPr="00780485">
        <w:t xml:space="preserve">Den övergripande målsättningen för Glesbygdsverkets verksamhet </w:t>
      </w:r>
      <w:r w:rsidRPr="00780485">
        <w:noBreakHyphen/>
        <w:t xml:space="preserve"> att verka för goda levnadsförhållanden och utvecklingsmöjligheter för gle</w:t>
      </w:r>
      <w:r w:rsidRPr="00780485">
        <w:t>s</w:t>
      </w:r>
      <w:r w:rsidRPr="00780485">
        <w:t xml:space="preserve">bygds- och landsbygdsbefolkningen </w:t>
      </w:r>
      <w:r w:rsidRPr="00780485">
        <w:noBreakHyphen/>
        <w:t xml:space="preserve"> har varit densamma sedan myndigh</w:t>
      </w:r>
      <w:r w:rsidRPr="00780485">
        <w:t>e</w:t>
      </w:r>
      <w:r w:rsidRPr="00780485">
        <w:t xml:space="preserve">ten bildades. Inför budgetåret 1998 ändrades målformuleringen i verkets instruktion genom att regeringen angav att </w:t>
      </w:r>
      <w:r w:rsidRPr="00780485">
        <w:rPr>
          <w:i/>
        </w:rPr>
        <w:t>det är främst genom påverkan på olika samhällssektorer</w:t>
      </w:r>
      <w:r w:rsidRPr="00780485">
        <w:t xml:space="preserve"> som Glesbygdsverket ska verka för goda levnadsfö</w:t>
      </w:r>
      <w:r w:rsidRPr="00780485">
        <w:t>r</w:t>
      </w:r>
      <w:r w:rsidRPr="00780485">
        <w:t>hållanden och utveckling</w:t>
      </w:r>
      <w:r w:rsidRPr="00780485">
        <w:t>s</w:t>
      </w:r>
      <w:r w:rsidRPr="00780485">
        <w:t xml:space="preserve">möjligheter. </w:t>
      </w:r>
    </w:p>
    <w:p w:rsidR="007A6E3D" w:rsidRPr="00780485" w:rsidRDefault="007A6E3D">
      <w:pPr>
        <w:pStyle w:val="Normaltindrag"/>
      </w:pPr>
      <w:r w:rsidRPr="00780485">
        <w:t>De olika verksamhetsmålen som regeringen årligen formulerar i myndi</w:t>
      </w:r>
      <w:r w:rsidRPr="00780485">
        <w:t>g</w:t>
      </w:r>
      <w:r w:rsidRPr="00780485">
        <w:t>hetens regleringsbrev var tämligen stabila fram till och med 1998. Dessföri</w:t>
      </w:r>
      <w:r w:rsidRPr="00780485">
        <w:t>n</w:t>
      </w:r>
      <w:r w:rsidRPr="00780485">
        <w:t>nan var det främst EU-medlemskapet som innebar vissa förändringar i ver</w:t>
      </w:r>
      <w:r w:rsidRPr="00780485">
        <w:t>k</w:t>
      </w:r>
      <w:r w:rsidRPr="00780485">
        <w:t xml:space="preserve">samhetsmålen. Verksamhetens inriktning och dess förändring åskådliggörs i ekonomiska termer i tabell 3. </w:t>
      </w:r>
    </w:p>
    <w:p w:rsidR="007A6E3D" w:rsidRPr="00780485" w:rsidRDefault="007A6E3D">
      <w:pPr>
        <w:pStyle w:val="t"/>
      </w:pPr>
      <w:r w:rsidRPr="00780485">
        <w:t xml:space="preserve">Tabell 3. Glesbygdsverkets kostnader fördelade på verksamhetsmål </w:t>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2440"/>
        <w:gridCol w:w="910"/>
        <w:gridCol w:w="910"/>
        <w:gridCol w:w="813"/>
        <w:gridCol w:w="813"/>
      </w:tblGrid>
      <w:tr w:rsidR="00000000" w:rsidRPr="00780485">
        <w:tblPrEx>
          <w:tblCellMar>
            <w:top w:w="0" w:type="dxa"/>
            <w:bottom w:w="0" w:type="dxa"/>
          </w:tblCellMar>
        </w:tblPrEx>
        <w:trPr>
          <w:trHeight w:val="262"/>
        </w:trPr>
        <w:tc>
          <w:tcPr>
            <w:tcW w:w="2440" w:type="dxa"/>
            <w:tcBorders>
              <w:bottom w:val="single" w:sz="6" w:space="0" w:color="008000"/>
            </w:tcBorders>
          </w:tcPr>
          <w:p w:rsidR="007A6E3D" w:rsidRPr="00780485" w:rsidRDefault="007A6E3D">
            <w:pPr>
              <w:pStyle w:val="Tabell"/>
              <w:rPr>
                <w:snapToGrid w:val="0"/>
                <w:lang w:eastAsia="sv-SE"/>
              </w:rPr>
            </w:pPr>
          </w:p>
        </w:tc>
        <w:tc>
          <w:tcPr>
            <w:tcW w:w="910" w:type="dxa"/>
            <w:tcBorders>
              <w:bottom w:val="single" w:sz="6" w:space="0" w:color="008000"/>
            </w:tcBorders>
          </w:tcPr>
          <w:p w:rsidR="007A6E3D" w:rsidRPr="00780485" w:rsidRDefault="007A6E3D">
            <w:pPr>
              <w:pStyle w:val="Tabell"/>
              <w:rPr>
                <w:snapToGrid w:val="0"/>
                <w:lang w:eastAsia="sv-SE"/>
              </w:rPr>
            </w:pPr>
            <w:r w:rsidRPr="00780485">
              <w:rPr>
                <w:snapToGrid w:val="0"/>
                <w:lang w:eastAsia="sv-SE"/>
              </w:rPr>
              <w:t>1998</w:t>
            </w:r>
          </w:p>
        </w:tc>
        <w:tc>
          <w:tcPr>
            <w:tcW w:w="910" w:type="dxa"/>
            <w:tcBorders>
              <w:bottom w:val="single" w:sz="6" w:space="0" w:color="008000"/>
            </w:tcBorders>
          </w:tcPr>
          <w:p w:rsidR="007A6E3D" w:rsidRPr="00780485" w:rsidRDefault="007A6E3D">
            <w:pPr>
              <w:pStyle w:val="Tabell"/>
              <w:rPr>
                <w:snapToGrid w:val="0"/>
                <w:lang w:eastAsia="sv-SE"/>
              </w:rPr>
            </w:pPr>
            <w:r w:rsidRPr="00780485">
              <w:rPr>
                <w:snapToGrid w:val="0"/>
                <w:lang w:eastAsia="sv-SE"/>
              </w:rPr>
              <w:t>1999</w:t>
            </w:r>
          </w:p>
        </w:tc>
        <w:tc>
          <w:tcPr>
            <w:tcW w:w="813" w:type="dxa"/>
            <w:tcBorders>
              <w:bottom w:val="single" w:sz="6" w:space="0" w:color="008000"/>
            </w:tcBorders>
          </w:tcPr>
          <w:p w:rsidR="007A6E3D" w:rsidRPr="00780485" w:rsidRDefault="007A6E3D">
            <w:pPr>
              <w:pStyle w:val="Tabell"/>
              <w:rPr>
                <w:snapToGrid w:val="0"/>
                <w:lang w:eastAsia="sv-SE"/>
              </w:rPr>
            </w:pPr>
            <w:r w:rsidRPr="00780485">
              <w:rPr>
                <w:snapToGrid w:val="0"/>
                <w:lang w:eastAsia="sv-SE"/>
              </w:rPr>
              <w:t>2000</w:t>
            </w:r>
          </w:p>
        </w:tc>
        <w:tc>
          <w:tcPr>
            <w:tcW w:w="813" w:type="dxa"/>
            <w:tcBorders>
              <w:bottom w:val="single" w:sz="6" w:space="0" w:color="008000"/>
            </w:tcBorders>
          </w:tcPr>
          <w:p w:rsidR="007A6E3D" w:rsidRPr="00780485" w:rsidRDefault="007A6E3D">
            <w:pPr>
              <w:pStyle w:val="Tabell"/>
              <w:rPr>
                <w:snapToGrid w:val="0"/>
                <w:lang w:eastAsia="sv-SE"/>
              </w:rPr>
            </w:pPr>
            <w:r w:rsidRPr="00780485">
              <w:rPr>
                <w:snapToGrid w:val="0"/>
                <w:lang w:eastAsia="sv-SE"/>
              </w:rPr>
              <w:t>2000</w:t>
            </w:r>
          </w:p>
        </w:tc>
      </w:tr>
      <w:tr w:rsidR="00000000" w:rsidRPr="00780485">
        <w:tblPrEx>
          <w:tblCellMar>
            <w:top w:w="0" w:type="dxa"/>
            <w:bottom w:w="0" w:type="dxa"/>
          </w:tblCellMar>
        </w:tblPrEx>
        <w:trPr>
          <w:trHeight w:val="523"/>
        </w:trPr>
        <w:tc>
          <w:tcPr>
            <w:tcW w:w="2440" w:type="dxa"/>
            <w:tcBorders>
              <w:top w:val="nil"/>
            </w:tcBorders>
          </w:tcPr>
          <w:p w:rsidR="007A6E3D" w:rsidRPr="00780485" w:rsidRDefault="007A6E3D">
            <w:pPr>
              <w:pStyle w:val="Tabell"/>
              <w:rPr>
                <w:snapToGrid w:val="0"/>
                <w:lang w:eastAsia="sv-SE"/>
              </w:rPr>
            </w:pPr>
          </w:p>
          <w:p w:rsidR="007A6E3D" w:rsidRPr="00780485" w:rsidRDefault="007A6E3D">
            <w:pPr>
              <w:pStyle w:val="Tabell"/>
              <w:rPr>
                <w:snapToGrid w:val="0"/>
                <w:u w:val="single"/>
                <w:lang w:eastAsia="sv-SE"/>
              </w:rPr>
            </w:pPr>
            <w:r w:rsidRPr="00780485">
              <w:rPr>
                <w:snapToGrid w:val="0"/>
                <w:u w:val="single"/>
                <w:lang w:eastAsia="sv-SE"/>
              </w:rPr>
              <w:t>Verksamhetsmål</w:t>
            </w:r>
          </w:p>
        </w:tc>
        <w:tc>
          <w:tcPr>
            <w:tcW w:w="910" w:type="dxa"/>
            <w:tcBorders>
              <w:top w:val="nil"/>
            </w:tcBorders>
          </w:tcPr>
          <w:p w:rsidR="007A6E3D" w:rsidRPr="00780485" w:rsidRDefault="007A6E3D">
            <w:pPr>
              <w:pStyle w:val="Tabell"/>
              <w:rPr>
                <w:snapToGrid w:val="0"/>
                <w:lang w:eastAsia="sv-SE"/>
              </w:rPr>
            </w:pPr>
            <w:r w:rsidRPr="00780485">
              <w:rPr>
                <w:snapToGrid w:val="0"/>
                <w:lang w:eastAsia="sv-SE"/>
              </w:rPr>
              <w:t>Andel av kostn</w:t>
            </w:r>
            <w:r w:rsidRPr="00780485">
              <w:rPr>
                <w:snapToGrid w:val="0"/>
                <w:lang w:eastAsia="sv-SE"/>
              </w:rPr>
              <w:t>a</w:t>
            </w:r>
            <w:r w:rsidRPr="00780485">
              <w:rPr>
                <w:snapToGrid w:val="0"/>
                <w:lang w:eastAsia="sv-SE"/>
              </w:rPr>
              <w:t>der</w:t>
            </w:r>
          </w:p>
        </w:tc>
        <w:tc>
          <w:tcPr>
            <w:tcW w:w="910" w:type="dxa"/>
            <w:tcBorders>
              <w:top w:val="nil"/>
            </w:tcBorders>
          </w:tcPr>
          <w:p w:rsidR="007A6E3D" w:rsidRPr="00780485" w:rsidRDefault="007A6E3D">
            <w:pPr>
              <w:pStyle w:val="Tabell"/>
              <w:rPr>
                <w:snapToGrid w:val="0"/>
                <w:lang w:eastAsia="sv-SE"/>
              </w:rPr>
            </w:pPr>
            <w:r w:rsidRPr="00780485">
              <w:rPr>
                <w:snapToGrid w:val="0"/>
                <w:lang w:eastAsia="sv-SE"/>
              </w:rPr>
              <w:t>Andel av kostn</w:t>
            </w:r>
            <w:r w:rsidRPr="00780485">
              <w:rPr>
                <w:snapToGrid w:val="0"/>
                <w:lang w:eastAsia="sv-SE"/>
              </w:rPr>
              <w:t>a</w:t>
            </w:r>
            <w:r w:rsidRPr="00780485">
              <w:rPr>
                <w:snapToGrid w:val="0"/>
                <w:lang w:eastAsia="sv-SE"/>
              </w:rPr>
              <w:t>der</w:t>
            </w:r>
          </w:p>
        </w:tc>
        <w:tc>
          <w:tcPr>
            <w:tcW w:w="813" w:type="dxa"/>
            <w:tcBorders>
              <w:top w:val="nil"/>
            </w:tcBorders>
          </w:tcPr>
          <w:p w:rsidR="007A6E3D" w:rsidRPr="00780485" w:rsidRDefault="007A6E3D">
            <w:pPr>
              <w:pStyle w:val="Tabell"/>
              <w:rPr>
                <w:snapToGrid w:val="0"/>
                <w:lang w:eastAsia="sv-SE"/>
              </w:rPr>
            </w:pPr>
            <w:r w:rsidRPr="00780485">
              <w:rPr>
                <w:snapToGrid w:val="0"/>
                <w:lang w:eastAsia="sv-SE"/>
              </w:rPr>
              <w:t>Andel av kos</w:t>
            </w:r>
            <w:r w:rsidRPr="00780485">
              <w:rPr>
                <w:snapToGrid w:val="0"/>
                <w:lang w:eastAsia="sv-SE"/>
              </w:rPr>
              <w:t>t</w:t>
            </w:r>
            <w:r w:rsidRPr="00780485">
              <w:rPr>
                <w:snapToGrid w:val="0"/>
                <w:lang w:eastAsia="sv-SE"/>
              </w:rPr>
              <w:t>nader</w:t>
            </w:r>
          </w:p>
        </w:tc>
        <w:tc>
          <w:tcPr>
            <w:tcW w:w="813" w:type="dxa"/>
            <w:tcBorders>
              <w:top w:val="nil"/>
            </w:tcBorders>
          </w:tcPr>
          <w:p w:rsidR="007A6E3D" w:rsidRPr="00780485" w:rsidRDefault="007A6E3D">
            <w:pPr>
              <w:pStyle w:val="Tabell"/>
              <w:rPr>
                <w:snapToGrid w:val="0"/>
                <w:lang w:eastAsia="sv-SE"/>
              </w:rPr>
            </w:pPr>
            <w:r w:rsidRPr="00780485">
              <w:rPr>
                <w:snapToGrid w:val="0"/>
                <w:lang w:eastAsia="sv-SE"/>
              </w:rPr>
              <w:t>Kostnad (Mkr.)</w:t>
            </w:r>
          </w:p>
        </w:tc>
      </w:tr>
      <w:tr w:rsidR="00000000" w:rsidRPr="00780485">
        <w:tblPrEx>
          <w:tblCellMar>
            <w:top w:w="0" w:type="dxa"/>
            <w:bottom w:w="0" w:type="dxa"/>
          </w:tblCellMar>
        </w:tblPrEx>
        <w:trPr>
          <w:trHeight w:val="262"/>
        </w:trPr>
        <w:tc>
          <w:tcPr>
            <w:tcW w:w="2440" w:type="dxa"/>
          </w:tcPr>
          <w:p w:rsidR="007A6E3D" w:rsidRPr="00780485" w:rsidRDefault="007A6E3D">
            <w:pPr>
              <w:pStyle w:val="Tabell"/>
              <w:rPr>
                <w:snapToGrid w:val="0"/>
                <w:lang w:eastAsia="sv-SE"/>
              </w:rPr>
            </w:pPr>
            <w:r w:rsidRPr="00780485">
              <w:rPr>
                <w:snapToGrid w:val="0"/>
                <w:lang w:eastAsia="sv-SE"/>
              </w:rPr>
              <w:t>Sektorssamordning</w:t>
            </w:r>
          </w:p>
        </w:tc>
        <w:tc>
          <w:tcPr>
            <w:tcW w:w="910" w:type="dxa"/>
          </w:tcPr>
          <w:p w:rsidR="007A6E3D" w:rsidRPr="00780485" w:rsidRDefault="007A6E3D">
            <w:pPr>
              <w:pStyle w:val="Tabell"/>
              <w:rPr>
                <w:snapToGrid w:val="0"/>
                <w:lang w:eastAsia="sv-SE"/>
              </w:rPr>
            </w:pPr>
            <w:r w:rsidRPr="00780485">
              <w:rPr>
                <w:snapToGrid w:val="0"/>
                <w:lang w:eastAsia="sv-SE"/>
              </w:rPr>
              <w:t xml:space="preserve"> 16 %</w:t>
            </w:r>
          </w:p>
        </w:tc>
        <w:tc>
          <w:tcPr>
            <w:tcW w:w="910" w:type="dxa"/>
          </w:tcPr>
          <w:p w:rsidR="007A6E3D" w:rsidRPr="00780485" w:rsidRDefault="007A6E3D">
            <w:pPr>
              <w:pStyle w:val="Tabell"/>
              <w:rPr>
                <w:snapToGrid w:val="0"/>
                <w:lang w:eastAsia="sv-SE"/>
              </w:rPr>
            </w:pPr>
            <w:r w:rsidRPr="00780485">
              <w:rPr>
                <w:snapToGrid w:val="0"/>
                <w:lang w:eastAsia="sv-SE"/>
              </w:rPr>
              <w:t xml:space="preserve"> 19 %</w:t>
            </w:r>
          </w:p>
        </w:tc>
        <w:tc>
          <w:tcPr>
            <w:tcW w:w="813" w:type="dxa"/>
          </w:tcPr>
          <w:p w:rsidR="007A6E3D" w:rsidRPr="00780485" w:rsidRDefault="007A6E3D">
            <w:pPr>
              <w:pStyle w:val="Tabell"/>
              <w:rPr>
                <w:snapToGrid w:val="0"/>
                <w:lang w:eastAsia="sv-SE"/>
              </w:rPr>
            </w:pPr>
            <w:r w:rsidRPr="00780485">
              <w:rPr>
                <w:snapToGrid w:val="0"/>
                <w:lang w:eastAsia="sv-SE"/>
              </w:rPr>
              <w:t xml:space="preserve"> 19 %</w:t>
            </w:r>
          </w:p>
        </w:tc>
        <w:tc>
          <w:tcPr>
            <w:tcW w:w="813" w:type="dxa"/>
          </w:tcPr>
          <w:p w:rsidR="007A6E3D" w:rsidRPr="00780485" w:rsidRDefault="007A6E3D">
            <w:pPr>
              <w:pStyle w:val="Tabell"/>
              <w:rPr>
                <w:snapToGrid w:val="0"/>
                <w:lang w:eastAsia="sv-SE"/>
              </w:rPr>
            </w:pPr>
            <w:r w:rsidRPr="00780485">
              <w:rPr>
                <w:snapToGrid w:val="0"/>
                <w:lang w:eastAsia="sv-SE"/>
              </w:rPr>
              <w:t xml:space="preserve">  5 873</w:t>
            </w:r>
          </w:p>
        </w:tc>
      </w:tr>
      <w:tr w:rsidR="00000000" w:rsidRPr="00780485">
        <w:tblPrEx>
          <w:tblCellMar>
            <w:top w:w="0" w:type="dxa"/>
            <w:bottom w:w="0" w:type="dxa"/>
          </w:tblCellMar>
        </w:tblPrEx>
        <w:trPr>
          <w:trHeight w:val="262"/>
        </w:trPr>
        <w:tc>
          <w:tcPr>
            <w:tcW w:w="2440" w:type="dxa"/>
          </w:tcPr>
          <w:p w:rsidR="007A6E3D" w:rsidRPr="00780485" w:rsidRDefault="007A6E3D">
            <w:pPr>
              <w:pStyle w:val="Tabell"/>
              <w:rPr>
                <w:snapToGrid w:val="0"/>
                <w:lang w:eastAsia="sv-SE"/>
              </w:rPr>
            </w:pPr>
            <w:r w:rsidRPr="00780485">
              <w:rPr>
                <w:snapToGrid w:val="0"/>
                <w:lang w:eastAsia="sv-SE"/>
              </w:rPr>
              <w:t>Beslutsunderlag</w:t>
            </w:r>
          </w:p>
        </w:tc>
        <w:tc>
          <w:tcPr>
            <w:tcW w:w="910" w:type="dxa"/>
          </w:tcPr>
          <w:p w:rsidR="007A6E3D" w:rsidRPr="00780485" w:rsidRDefault="007A6E3D">
            <w:pPr>
              <w:pStyle w:val="Tabell"/>
              <w:rPr>
                <w:snapToGrid w:val="0"/>
                <w:lang w:eastAsia="sv-SE"/>
              </w:rPr>
            </w:pPr>
            <w:r w:rsidRPr="00780485">
              <w:rPr>
                <w:snapToGrid w:val="0"/>
                <w:lang w:eastAsia="sv-SE"/>
              </w:rPr>
              <w:t xml:space="preserve"> 16 %</w:t>
            </w:r>
          </w:p>
        </w:tc>
        <w:tc>
          <w:tcPr>
            <w:tcW w:w="910" w:type="dxa"/>
          </w:tcPr>
          <w:p w:rsidR="007A6E3D" w:rsidRPr="00780485" w:rsidRDefault="007A6E3D">
            <w:pPr>
              <w:pStyle w:val="Tabell"/>
              <w:rPr>
                <w:snapToGrid w:val="0"/>
                <w:lang w:eastAsia="sv-SE"/>
              </w:rPr>
            </w:pPr>
            <w:r w:rsidRPr="00780485">
              <w:rPr>
                <w:snapToGrid w:val="0"/>
                <w:lang w:eastAsia="sv-SE"/>
              </w:rPr>
              <w:t xml:space="preserve"> 22 %</w:t>
            </w:r>
          </w:p>
        </w:tc>
        <w:tc>
          <w:tcPr>
            <w:tcW w:w="813" w:type="dxa"/>
          </w:tcPr>
          <w:p w:rsidR="007A6E3D" w:rsidRPr="00780485" w:rsidRDefault="007A6E3D">
            <w:pPr>
              <w:pStyle w:val="Tabell"/>
              <w:rPr>
                <w:snapToGrid w:val="0"/>
                <w:lang w:eastAsia="sv-SE"/>
              </w:rPr>
            </w:pPr>
            <w:r w:rsidRPr="00780485">
              <w:rPr>
                <w:snapToGrid w:val="0"/>
                <w:lang w:eastAsia="sv-SE"/>
              </w:rPr>
              <w:t xml:space="preserve"> 21 %</w:t>
            </w:r>
          </w:p>
        </w:tc>
        <w:tc>
          <w:tcPr>
            <w:tcW w:w="813" w:type="dxa"/>
          </w:tcPr>
          <w:p w:rsidR="007A6E3D" w:rsidRPr="00780485" w:rsidRDefault="007A6E3D">
            <w:pPr>
              <w:pStyle w:val="Tabell"/>
              <w:rPr>
                <w:snapToGrid w:val="0"/>
                <w:lang w:eastAsia="sv-SE"/>
              </w:rPr>
            </w:pPr>
            <w:r w:rsidRPr="00780485">
              <w:rPr>
                <w:snapToGrid w:val="0"/>
                <w:lang w:eastAsia="sv-SE"/>
              </w:rPr>
              <w:t xml:space="preserve">  6 561</w:t>
            </w:r>
          </w:p>
        </w:tc>
      </w:tr>
      <w:tr w:rsidR="00000000" w:rsidRPr="00780485">
        <w:tblPrEx>
          <w:tblCellMar>
            <w:top w:w="0" w:type="dxa"/>
            <w:bottom w:w="0" w:type="dxa"/>
          </w:tblCellMar>
        </w:tblPrEx>
        <w:trPr>
          <w:trHeight w:val="262"/>
        </w:trPr>
        <w:tc>
          <w:tcPr>
            <w:tcW w:w="2440" w:type="dxa"/>
          </w:tcPr>
          <w:p w:rsidR="007A6E3D" w:rsidRPr="00780485" w:rsidRDefault="007A6E3D">
            <w:pPr>
              <w:pStyle w:val="Tabell"/>
              <w:rPr>
                <w:snapToGrid w:val="0"/>
                <w:lang w:eastAsia="sv-SE"/>
              </w:rPr>
            </w:pPr>
            <w:r w:rsidRPr="00780485">
              <w:rPr>
                <w:snapToGrid w:val="0"/>
                <w:lang w:eastAsia="sv-SE"/>
              </w:rPr>
              <w:t>Kunskapsunderlag</w:t>
            </w:r>
          </w:p>
        </w:tc>
        <w:tc>
          <w:tcPr>
            <w:tcW w:w="910" w:type="dxa"/>
          </w:tcPr>
          <w:p w:rsidR="007A6E3D" w:rsidRPr="00780485" w:rsidRDefault="007A6E3D">
            <w:pPr>
              <w:pStyle w:val="Tabell"/>
              <w:rPr>
                <w:snapToGrid w:val="0"/>
                <w:lang w:eastAsia="sv-SE"/>
              </w:rPr>
            </w:pPr>
            <w:r w:rsidRPr="00780485">
              <w:rPr>
                <w:snapToGrid w:val="0"/>
                <w:lang w:eastAsia="sv-SE"/>
              </w:rPr>
              <w:t xml:space="preserve"> 24 %</w:t>
            </w:r>
          </w:p>
        </w:tc>
        <w:tc>
          <w:tcPr>
            <w:tcW w:w="910" w:type="dxa"/>
          </w:tcPr>
          <w:p w:rsidR="007A6E3D" w:rsidRPr="00780485" w:rsidRDefault="007A6E3D">
            <w:pPr>
              <w:pStyle w:val="Tabell"/>
              <w:rPr>
                <w:snapToGrid w:val="0"/>
                <w:lang w:eastAsia="sv-SE"/>
              </w:rPr>
            </w:pPr>
            <w:r w:rsidRPr="00780485">
              <w:rPr>
                <w:snapToGrid w:val="0"/>
                <w:lang w:eastAsia="sv-SE"/>
              </w:rPr>
              <w:t xml:space="preserve"> 44 %</w:t>
            </w:r>
          </w:p>
        </w:tc>
        <w:tc>
          <w:tcPr>
            <w:tcW w:w="813" w:type="dxa"/>
          </w:tcPr>
          <w:p w:rsidR="007A6E3D" w:rsidRPr="00780485" w:rsidRDefault="007A6E3D">
            <w:pPr>
              <w:pStyle w:val="Tabell"/>
              <w:rPr>
                <w:snapToGrid w:val="0"/>
                <w:lang w:eastAsia="sv-SE"/>
              </w:rPr>
            </w:pPr>
            <w:r w:rsidRPr="00780485">
              <w:rPr>
                <w:snapToGrid w:val="0"/>
                <w:lang w:eastAsia="sv-SE"/>
              </w:rPr>
              <w:t xml:space="preserve"> 33 %</w:t>
            </w:r>
          </w:p>
        </w:tc>
        <w:tc>
          <w:tcPr>
            <w:tcW w:w="813" w:type="dxa"/>
          </w:tcPr>
          <w:p w:rsidR="007A6E3D" w:rsidRPr="00780485" w:rsidRDefault="007A6E3D">
            <w:pPr>
              <w:pStyle w:val="Tabell"/>
              <w:rPr>
                <w:snapToGrid w:val="0"/>
                <w:lang w:eastAsia="sv-SE"/>
              </w:rPr>
            </w:pPr>
            <w:r w:rsidRPr="00780485">
              <w:rPr>
                <w:snapToGrid w:val="0"/>
                <w:lang w:eastAsia="sv-SE"/>
              </w:rPr>
              <w:t>10 345</w:t>
            </w:r>
          </w:p>
        </w:tc>
      </w:tr>
      <w:tr w:rsidR="00000000" w:rsidRPr="00780485">
        <w:tblPrEx>
          <w:tblCellMar>
            <w:top w:w="0" w:type="dxa"/>
            <w:bottom w:w="0" w:type="dxa"/>
          </w:tblCellMar>
        </w:tblPrEx>
        <w:trPr>
          <w:trHeight w:val="262"/>
        </w:trPr>
        <w:tc>
          <w:tcPr>
            <w:tcW w:w="2440" w:type="dxa"/>
          </w:tcPr>
          <w:p w:rsidR="007A6E3D" w:rsidRPr="00780485" w:rsidRDefault="007A6E3D">
            <w:pPr>
              <w:pStyle w:val="Tabell"/>
              <w:rPr>
                <w:snapToGrid w:val="0"/>
                <w:lang w:eastAsia="sv-SE"/>
              </w:rPr>
            </w:pPr>
            <w:r w:rsidRPr="00780485">
              <w:rPr>
                <w:snapToGrid w:val="0"/>
                <w:lang w:eastAsia="sv-SE"/>
              </w:rPr>
              <w:t>EG:s strukturfonder</w:t>
            </w:r>
          </w:p>
        </w:tc>
        <w:tc>
          <w:tcPr>
            <w:tcW w:w="910" w:type="dxa"/>
          </w:tcPr>
          <w:p w:rsidR="007A6E3D" w:rsidRPr="00780485" w:rsidRDefault="007A6E3D">
            <w:pPr>
              <w:pStyle w:val="Tabell"/>
              <w:rPr>
                <w:snapToGrid w:val="0"/>
                <w:lang w:eastAsia="sv-SE"/>
              </w:rPr>
            </w:pPr>
            <w:r w:rsidRPr="00780485">
              <w:rPr>
                <w:snapToGrid w:val="0"/>
                <w:lang w:eastAsia="sv-SE"/>
              </w:rPr>
              <w:t xml:space="preserve"> 21 %</w:t>
            </w:r>
          </w:p>
        </w:tc>
        <w:tc>
          <w:tcPr>
            <w:tcW w:w="910" w:type="dxa"/>
          </w:tcPr>
          <w:p w:rsidR="007A6E3D" w:rsidRPr="00780485" w:rsidRDefault="007A6E3D">
            <w:pPr>
              <w:pStyle w:val="Tabell"/>
              <w:rPr>
                <w:snapToGrid w:val="0"/>
                <w:lang w:eastAsia="sv-SE"/>
              </w:rPr>
            </w:pPr>
            <w:r w:rsidRPr="00780485">
              <w:rPr>
                <w:snapToGrid w:val="0"/>
                <w:lang w:eastAsia="sv-SE"/>
              </w:rPr>
              <w:t xml:space="preserve"> 15 %</w:t>
            </w:r>
          </w:p>
        </w:tc>
        <w:tc>
          <w:tcPr>
            <w:tcW w:w="813" w:type="dxa"/>
          </w:tcPr>
          <w:p w:rsidR="007A6E3D" w:rsidRPr="00780485" w:rsidRDefault="007A6E3D">
            <w:pPr>
              <w:pStyle w:val="Tabell"/>
              <w:rPr>
                <w:snapToGrid w:val="0"/>
                <w:lang w:eastAsia="sv-SE"/>
              </w:rPr>
            </w:pPr>
            <w:r w:rsidRPr="00780485">
              <w:rPr>
                <w:snapToGrid w:val="0"/>
                <w:lang w:eastAsia="sv-SE"/>
              </w:rPr>
              <w:t xml:space="preserve"> 26 %</w:t>
            </w:r>
          </w:p>
        </w:tc>
        <w:tc>
          <w:tcPr>
            <w:tcW w:w="813" w:type="dxa"/>
          </w:tcPr>
          <w:p w:rsidR="007A6E3D" w:rsidRPr="00780485" w:rsidRDefault="007A6E3D">
            <w:pPr>
              <w:pStyle w:val="Tabell"/>
              <w:rPr>
                <w:snapToGrid w:val="0"/>
                <w:lang w:eastAsia="sv-SE"/>
              </w:rPr>
            </w:pPr>
            <w:r w:rsidRPr="00780485">
              <w:rPr>
                <w:snapToGrid w:val="0"/>
                <w:lang w:eastAsia="sv-SE"/>
              </w:rPr>
              <w:t xml:space="preserve">  8 130</w:t>
            </w:r>
          </w:p>
        </w:tc>
      </w:tr>
      <w:tr w:rsidR="00000000" w:rsidRPr="00780485">
        <w:tblPrEx>
          <w:tblCellMar>
            <w:top w:w="0" w:type="dxa"/>
            <w:bottom w:w="0" w:type="dxa"/>
          </w:tblCellMar>
        </w:tblPrEx>
        <w:trPr>
          <w:trHeight w:val="262"/>
        </w:trPr>
        <w:tc>
          <w:tcPr>
            <w:tcW w:w="2440" w:type="dxa"/>
          </w:tcPr>
          <w:p w:rsidR="007A6E3D" w:rsidRPr="00780485" w:rsidRDefault="007A6E3D">
            <w:pPr>
              <w:pStyle w:val="Tabell"/>
              <w:rPr>
                <w:snapToGrid w:val="0"/>
                <w:lang w:eastAsia="sv-SE"/>
              </w:rPr>
            </w:pPr>
            <w:r w:rsidRPr="00780485">
              <w:rPr>
                <w:snapToGrid w:val="0"/>
                <w:lang w:eastAsia="sv-SE"/>
              </w:rPr>
              <w:t>Pilotprojekt</w:t>
            </w:r>
          </w:p>
        </w:tc>
        <w:tc>
          <w:tcPr>
            <w:tcW w:w="910" w:type="dxa"/>
          </w:tcPr>
          <w:p w:rsidR="007A6E3D" w:rsidRPr="00780485" w:rsidRDefault="007A6E3D">
            <w:pPr>
              <w:pStyle w:val="Tabell"/>
              <w:rPr>
                <w:snapToGrid w:val="0"/>
                <w:lang w:eastAsia="sv-SE"/>
              </w:rPr>
            </w:pPr>
            <w:r w:rsidRPr="00780485">
              <w:rPr>
                <w:snapToGrid w:val="0"/>
                <w:lang w:eastAsia="sv-SE"/>
              </w:rPr>
              <w:t xml:space="preserve"> 22 %</w:t>
            </w:r>
          </w:p>
        </w:tc>
        <w:tc>
          <w:tcPr>
            <w:tcW w:w="910" w:type="dxa"/>
          </w:tcPr>
          <w:p w:rsidR="007A6E3D" w:rsidRPr="00780485" w:rsidRDefault="007A6E3D">
            <w:pPr>
              <w:pStyle w:val="Tabell"/>
              <w:rPr>
                <w:snapToGrid w:val="0"/>
                <w:lang w:eastAsia="sv-SE"/>
              </w:rPr>
            </w:pPr>
          </w:p>
        </w:tc>
        <w:tc>
          <w:tcPr>
            <w:tcW w:w="813" w:type="dxa"/>
          </w:tcPr>
          <w:p w:rsidR="007A6E3D" w:rsidRPr="00780485" w:rsidRDefault="007A6E3D">
            <w:pPr>
              <w:pStyle w:val="Tabell"/>
              <w:rPr>
                <w:snapToGrid w:val="0"/>
                <w:lang w:eastAsia="sv-SE"/>
              </w:rPr>
            </w:pPr>
          </w:p>
        </w:tc>
        <w:tc>
          <w:tcPr>
            <w:tcW w:w="813" w:type="dxa"/>
          </w:tcPr>
          <w:p w:rsidR="007A6E3D" w:rsidRPr="00780485" w:rsidRDefault="007A6E3D">
            <w:pPr>
              <w:pStyle w:val="Tabell"/>
              <w:rPr>
                <w:snapToGrid w:val="0"/>
                <w:lang w:eastAsia="sv-SE"/>
              </w:rPr>
            </w:pPr>
          </w:p>
        </w:tc>
      </w:tr>
      <w:tr w:rsidR="00000000" w:rsidRPr="00780485">
        <w:tblPrEx>
          <w:tblCellMar>
            <w:top w:w="0" w:type="dxa"/>
            <w:bottom w:w="0" w:type="dxa"/>
          </w:tblCellMar>
        </w:tblPrEx>
        <w:trPr>
          <w:trHeight w:val="262"/>
        </w:trPr>
        <w:tc>
          <w:tcPr>
            <w:tcW w:w="2440" w:type="dxa"/>
          </w:tcPr>
          <w:p w:rsidR="007A6E3D" w:rsidRPr="00780485" w:rsidRDefault="007A6E3D">
            <w:pPr>
              <w:pStyle w:val="Tabell"/>
              <w:rPr>
                <w:snapToGrid w:val="0"/>
                <w:lang w:eastAsia="sv-SE"/>
              </w:rPr>
            </w:pPr>
            <w:r w:rsidRPr="00780485">
              <w:rPr>
                <w:snapToGrid w:val="0"/>
                <w:lang w:eastAsia="sv-SE"/>
              </w:rPr>
              <w:t>Totalt</w:t>
            </w:r>
          </w:p>
        </w:tc>
        <w:tc>
          <w:tcPr>
            <w:tcW w:w="910" w:type="dxa"/>
          </w:tcPr>
          <w:p w:rsidR="007A6E3D" w:rsidRPr="00780485" w:rsidRDefault="007A6E3D">
            <w:pPr>
              <w:pStyle w:val="Tabell"/>
              <w:rPr>
                <w:snapToGrid w:val="0"/>
                <w:lang w:eastAsia="sv-SE"/>
              </w:rPr>
            </w:pPr>
            <w:r w:rsidRPr="00780485">
              <w:rPr>
                <w:snapToGrid w:val="0"/>
                <w:lang w:eastAsia="sv-SE"/>
              </w:rPr>
              <w:t>100 %</w:t>
            </w:r>
          </w:p>
        </w:tc>
        <w:tc>
          <w:tcPr>
            <w:tcW w:w="910" w:type="dxa"/>
          </w:tcPr>
          <w:p w:rsidR="007A6E3D" w:rsidRPr="00780485" w:rsidRDefault="007A6E3D">
            <w:pPr>
              <w:pStyle w:val="Tabell"/>
              <w:rPr>
                <w:snapToGrid w:val="0"/>
                <w:lang w:eastAsia="sv-SE"/>
              </w:rPr>
            </w:pPr>
            <w:r w:rsidRPr="00780485">
              <w:rPr>
                <w:snapToGrid w:val="0"/>
                <w:lang w:eastAsia="sv-SE"/>
              </w:rPr>
              <w:t>100 %</w:t>
            </w:r>
          </w:p>
        </w:tc>
        <w:tc>
          <w:tcPr>
            <w:tcW w:w="813" w:type="dxa"/>
          </w:tcPr>
          <w:p w:rsidR="007A6E3D" w:rsidRPr="00780485" w:rsidRDefault="007A6E3D">
            <w:pPr>
              <w:pStyle w:val="Tabell"/>
              <w:rPr>
                <w:snapToGrid w:val="0"/>
                <w:lang w:eastAsia="sv-SE"/>
              </w:rPr>
            </w:pPr>
            <w:r w:rsidRPr="00780485">
              <w:rPr>
                <w:snapToGrid w:val="0"/>
                <w:lang w:eastAsia="sv-SE"/>
              </w:rPr>
              <w:t>100 %</w:t>
            </w:r>
          </w:p>
        </w:tc>
        <w:tc>
          <w:tcPr>
            <w:tcW w:w="813" w:type="dxa"/>
          </w:tcPr>
          <w:p w:rsidR="007A6E3D" w:rsidRPr="00780485" w:rsidRDefault="007A6E3D">
            <w:pPr>
              <w:pStyle w:val="Tabell"/>
              <w:rPr>
                <w:snapToGrid w:val="0"/>
                <w:lang w:eastAsia="sv-SE"/>
              </w:rPr>
            </w:pPr>
            <w:r w:rsidRPr="00780485">
              <w:rPr>
                <w:snapToGrid w:val="0"/>
                <w:lang w:eastAsia="sv-SE"/>
              </w:rPr>
              <w:t>30 909</w:t>
            </w:r>
          </w:p>
        </w:tc>
      </w:tr>
    </w:tbl>
    <w:p w:rsidR="007A6E3D" w:rsidRPr="00780485" w:rsidRDefault="007A6E3D">
      <w:pPr>
        <w:pStyle w:val="Fotnotstext"/>
      </w:pPr>
      <w:r w:rsidRPr="00780485">
        <w:rPr>
          <w:b/>
        </w:rPr>
        <w:t>Källa:</w:t>
      </w:r>
      <w:r w:rsidRPr="00780485">
        <w:t xml:space="preserve"> Glesbygdsverket 2000.</w:t>
      </w:r>
    </w:p>
    <w:p w:rsidR="007A6E3D" w:rsidRPr="00780485" w:rsidRDefault="007A6E3D">
      <w:r w:rsidRPr="00780485">
        <w:t>Glesbygdsverket beskriver utvecklingen på följande sätt i sin årsredovisning för bu</w:t>
      </w:r>
      <w:r w:rsidRPr="00780485">
        <w:t>d</w:t>
      </w:r>
      <w:r w:rsidRPr="00780485">
        <w:t xml:space="preserve">getåret 1999: </w:t>
      </w:r>
    </w:p>
    <w:p w:rsidR="007A6E3D" w:rsidRPr="00780485" w:rsidRDefault="007A6E3D">
      <w:pPr>
        <w:pStyle w:val="Citat"/>
      </w:pPr>
      <w:r w:rsidRPr="00780485">
        <w:t>Glesbygdsverkets uppdrag har koncentrerats avseende såväl verksamhet</w:t>
      </w:r>
      <w:r w:rsidRPr="00780485">
        <w:t>s</w:t>
      </w:r>
      <w:r w:rsidRPr="00780485">
        <w:t>målen som sakområden. Redan 1998 upphörde verksamhetsmålet uppföl</w:t>
      </w:r>
      <w:r w:rsidRPr="00780485">
        <w:t>j</w:t>
      </w:r>
      <w:r w:rsidRPr="00780485">
        <w:t>ning och utvärdering och ingår till vissa delar i målet om beslutsunderlag. Arbetet med pilotprojekt upphörde 1998 och en tydligare inriktning mot insatser för att ta fram beslutsunderlag samt starkare betoning av myndi</w:t>
      </w:r>
      <w:r w:rsidRPr="00780485">
        <w:t>g</w:t>
      </w:r>
      <w:r w:rsidRPr="00780485">
        <w:t>hetsbevakningen angavs. Dessutom omformulerades målen om utredning och analys samt rådgivning till att numera utgöra delar av beslutsunderlag och kunskapsförmedling. Likaledes preciserades de sakområden som verket ska fokuser</w:t>
      </w:r>
      <w:r w:rsidRPr="00780485">
        <w:t>a. Dessa är arbetsmarknad, utbildning, infrastruktur och se</w:t>
      </w:r>
      <w:r w:rsidRPr="00780485">
        <w:t>r</w:t>
      </w:r>
      <w:r w:rsidRPr="00780485">
        <w:t>vice.</w:t>
      </w:r>
    </w:p>
    <w:p w:rsidR="007A6E3D" w:rsidRPr="00780485" w:rsidRDefault="007A6E3D">
      <w:pPr>
        <w:pStyle w:val="Rubrik2"/>
      </w:pPr>
      <w:bookmarkStart w:id="89" w:name="_Toc515097897"/>
      <w:bookmarkStart w:id="90" w:name="_Toc526845445"/>
      <w:bookmarkStart w:id="91" w:name="_Toc526845767"/>
      <w:r w:rsidRPr="00780485">
        <w:t>Glesbygdsverkets verksamhetsgrenar</w:t>
      </w:r>
      <w:bookmarkEnd w:id="89"/>
      <w:bookmarkEnd w:id="90"/>
      <w:bookmarkEnd w:id="91"/>
    </w:p>
    <w:p w:rsidR="007A6E3D" w:rsidRPr="00780485" w:rsidRDefault="007A6E3D">
      <w:r w:rsidRPr="00780485">
        <w:t>För budgetåren 1999 och 2000 formulerade regeringen fyra verksamhetsmål för Glesbygdsverket. Enligt dessa skulle målet för myndighetens verksamhet vara att:</w:t>
      </w:r>
    </w:p>
    <w:p w:rsidR="007A6E3D" w:rsidRPr="00780485" w:rsidRDefault="007A6E3D">
      <w:pPr>
        <w:pStyle w:val="Normaltindrag"/>
        <w:numPr>
          <w:ilvl w:val="0"/>
          <w:numId w:val="146"/>
        </w:numPr>
      </w:pPr>
      <w:r w:rsidRPr="00780485">
        <w:t xml:space="preserve">verka för </w:t>
      </w:r>
      <w:r w:rsidRPr="00780485">
        <w:rPr>
          <w:i/>
        </w:rPr>
        <w:t>sektorssamordning</w:t>
      </w:r>
      <w:r w:rsidRPr="00780485">
        <w:t xml:space="preserve"> av centrala myndigheter och statliga bolag, främst inom områdena arbete, utbildning, service och kommunikati</w:t>
      </w:r>
      <w:r w:rsidRPr="00780485">
        <w:t>o</w:t>
      </w:r>
      <w:r w:rsidRPr="00780485">
        <w:t>ner,</w:t>
      </w:r>
    </w:p>
    <w:p w:rsidR="007A6E3D" w:rsidRPr="00780485" w:rsidRDefault="007A6E3D">
      <w:pPr>
        <w:pStyle w:val="Normaltindrag"/>
        <w:numPr>
          <w:ilvl w:val="0"/>
          <w:numId w:val="146"/>
        </w:numPr>
      </w:pPr>
      <w:r w:rsidRPr="00780485">
        <w:t xml:space="preserve">i egenskap av expertorgan tillhandahålla regeringen </w:t>
      </w:r>
      <w:r w:rsidRPr="00780485">
        <w:rPr>
          <w:i/>
        </w:rPr>
        <w:t>beslutsunderlag</w:t>
      </w:r>
      <w:r w:rsidRPr="00780485">
        <w:t xml:space="preserve"> för gles- och landsbygdspolitik. Underlaget ska bestå av aktuella beskri</w:t>
      </w:r>
      <w:r w:rsidRPr="00780485">
        <w:t>v</w:t>
      </w:r>
      <w:r w:rsidRPr="00780485">
        <w:t>ningar över och analyser av utvecklingen i gles- och landsbygdsområden samt av uppföljning av effekterna av gles och landsbygdspolitiska insa</w:t>
      </w:r>
      <w:r w:rsidRPr="00780485">
        <w:t>t</w:t>
      </w:r>
      <w:r w:rsidRPr="00780485">
        <w:t>ser,</w:t>
      </w:r>
    </w:p>
    <w:p w:rsidR="007A6E3D" w:rsidRPr="00780485" w:rsidRDefault="007A6E3D">
      <w:pPr>
        <w:pStyle w:val="Normaltindrag"/>
        <w:numPr>
          <w:ilvl w:val="0"/>
          <w:numId w:val="146"/>
        </w:numPr>
      </w:pPr>
      <w:r w:rsidRPr="00780485">
        <w:t xml:space="preserve">genom </w:t>
      </w:r>
      <w:r w:rsidRPr="00780485">
        <w:rPr>
          <w:i/>
        </w:rPr>
        <w:t>kunskapsförmedling</w:t>
      </w:r>
      <w:r w:rsidRPr="00780485">
        <w:t xml:space="preserve"> stödja främst länsstyrelser och regionala självstyrelseorgan samt andra organ som har betydelse för gles- och landsbygdens utveckling så att dessa i sin tur på ett effektivt sätt kan fullgöra sina uppgifter beträffande gles- och landsbygdens utveckling samt </w:t>
      </w:r>
    </w:p>
    <w:p w:rsidR="007A6E3D" w:rsidRPr="00780485" w:rsidRDefault="007A6E3D">
      <w:pPr>
        <w:pStyle w:val="Normaltindrag"/>
        <w:numPr>
          <w:ilvl w:val="0"/>
          <w:numId w:val="146"/>
        </w:numPr>
      </w:pPr>
      <w:r w:rsidRPr="00780485">
        <w:t xml:space="preserve">fungera som </w:t>
      </w:r>
      <w:r w:rsidRPr="00780485">
        <w:rPr>
          <w:i/>
        </w:rPr>
        <w:t>förvaltningsmyndighet</w:t>
      </w:r>
      <w:r w:rsidRPr="00780485">
        <w:t xml:space="preserve"> för gemenskapsinitiativet Leader+ samt svara för sekretariatsuppgifter åt övervakningskommittén för Le</w:t>
      </w:r>
      <w:r w:rsidRPr="00780485">
        <w:t>a</w:t>
      </w:r>
      <w:r w:rsidRPr="00780485">
        <w:t>der+</w:t>
      </w:r>
      <w:r w:rsidRPr="00780485">
        <w:rPr>
          <w:rStyle w:val="Fotnotsreferens"/>
        </w:rPr>
        <w:footnoteReference w:id="3"/>
      </w:r>
      <w:r w:rsidRPr="00780485">
        <w:t xml:space="preserve">. </w:t>
      </w:r>
    </w:p>
    <w:p w:rsidR="007A6E3D" w:rsidRPr="00780485" w:rsidRDefault="007A6E3D">
      <w:r w:rsidRPr="00780485">
        <w:t>Den 1 april 2001 genomfördes en omorganisation av Glesbygdsverket. A</w:t>
      </w:r>
      <w:r w:rsidRPr="00780485">
        <w:t>n</w:t>
      </w:r>
      <w:r w:rsidRPr="00780485">
        <w:t>talet enheter minskade från 6 enheter till 4 enheter. Av årsredovisningen för 2001 framgår att knappt hälften av personalen arbetade vid administrations- och informationsenheterna vid slutet av 2000. Verksledningen redovisas som en del av administrationen. Antalet tjänster fördelade på olika enheter red</w:t>
      </w:r>
      <w:r w:rsidRPr="00780485">
        <w:t>o</w:t>
      </w:r>
      <w:r w:rsidRPr="00780485">
        <w:t xml:space="preserve">visas i tabell 4. </w:t>
      </w:r>
    </w:p>
    <w:p w:rsidR="007A6E3D" w:rsidRPr="00780485" w:rsidRDefault="007A6E3D">
      <w:pPr>
        <w:pStyle w:val="t"/>
      </w:pPr>
      <w:r w:rsidRPr="00780485">
        <w:t>Tabell 4. Antal tjänster fördelade på enheter 2000-12-31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012"/>
        <w:gridCol w:w="2099"/>
      </w:tblGrid>
      <w:tr w:rsidR="00000000" w:rsidRPr="00780485">
        <w:tblPrEx>
          <w:tblCellMar>
            <w:top w:w="0" w:type="dxa"/>
            <w:bottom w:w="0" w:type="dxa"/>
          </w:tblCellMar>
        </w:tblPrEx>
        <w:tc>
          <w:tcPr>
            <w:tcW w:w="2055" w:type="dxa"/>
          </w:tcPr>
          <w:p w:rsidR="007A6E3D" w:rsidRPr="00780485" w:rsidRDefault="007A6E3D">
            <w:pPr>
              <w:pStyle w:val="Tabellrubrik"/>
            </w:pPr>
            <w:r w:rsidRPr="00780485">
              <w:t>Enhet</w:t>
            </w:r>
          </w:p>
        </w:tc>
        <w:tc>
          <w:tcPr>
            <w:tcW w:w="2012" w:type="dxa"/>
          </w:tcPr>
          <w:p w:rsidR="007A6E3D" w:rsidRPr="00780485" w:rsidRDefault="007A6E3D">
            <w:pPr>
              <w:pStyle w:val="Tabellrubrik"/>
            </w:pPr>
            <w:r w:rsidRPr="00780485">
              <w:t>Antal tjänster 2000-12-31</w:t>
            </w:r>
          </w:p>
        </w:tc>
        <w:tc>
          <w:tcPr>
            <w:tcW w:w="2099" w:type="dxa"/>
          </w:tcPr>
          <w:p w:rsidR="007A6E3D" w:rsidRPr="00780485" w:rsidRDefault="007A6E3D">
            <w:pPr>
              <w:pStyle w:val="Tabellrubrik"/>
            </w:pPr>
            <w:r w:rsidRPr="00780485">
              <w:t>Andel tjänster 2000-12-31</w:t>
            </w:r>
          </w:p>
        </w:tc>
      </w:tr>
      <w:tr w:rsidR="00000000" w:rsidRPr="00780485">
        <w:tblPrEx>
          <w:tblCellMar>
            <w:top w:w="0" w:type="dxa"/>
            <w:bottom w:w="0" w:type="dxa"/>
          </w:tblCellMar>
        </w:tblPrEx>
        <w:tc>
          <w:tcPr>
            <w:tcW w:w="2055" w:type="dxa"/>
          </w:tcPr>
          <w:p w:rsidR="007A6E3D" w:rsidRPr="00780485" w:rsidRDefault="007A6E3D">
            <w:pPr>
              <w:pStyle w:val="Tabell"/>
            </w:pPr>
            <w:r w:rsidRPr="00780485">
              <w:t xml:space="preserve">Administration </w:t>
            </w:r>
          </w:p>
        </w:tc>
        <w:tc>
          <w:tcPr>
            <w:tcW w:w="2012" w:type="dxa"/>
          </w:tcPr>
          <w:p w:rsidR="007A6E3D" w:rsidRPr="00780485" w:rsidRDefault="007A6E3D">
            <w:pPr>
              <w:pStyle w:val="Tabell"/>
            </w:pPr>
            <w:r w:rsidRPr="00780485">
              <w:t>12,25</w:t>
            </w:r>
          </w:p>
        </w:tc>
        <w:tc>
          <w:tcPr>
            <w:tcW w:w="2099" w:type="dxa"/>
          </w:tcPr>
          <w:p w:rsidR="007A6E3D" w:rsidRPr="00780485" w:rsidRDefault="007A6E3D">
            <w:pPr>
              <w:pStyle w:val="Tabell"/>
            </w:pPr>
            <w:r w:rsidRPr="00780485">
              <w:t xml:space="preserve"> 35 %</w:t>
            </w:r>
          </w:p>
        </w:tc>
      </w:tr>
      <w:tr w:rsidR="00000000" w:rsidRPr="00780485">
        <w:tblPrEx>
          <w:tblCellMar>
            <w:top w:w="0" w:type="dxa"/>
            <w:bottom w:w="0" w:type="dxa"/>
          </w:tblCellMar>
        </w:tblPrEx>
        <w:tc>
          <w:tcPr>
            <w:tcW w:w="2055" w:type="dxa"/>
          </w:tcPr>
          <w:p w:rsidR="007A6E3D" w:rsidRPr="00780485" w:rsidRDefault="007A6E3D">
            <w:pPr>
              <w:pStyle w:val="Tabell"/>
            </w:pPr>
            <w:r w:rsidRPr="00780485">
              <w:t>Information</w:t>
            </w:r>
          </w:p>
        </w:tc>
        <w:tc>
          <w:tcPr>
            <w:tcW w:w="2012" w:type="dxa"/>
          </w:tcPr>
          <w:p w:rsidR="007A6E3D" w:rsidRPr="00780485" w:rsidRDefault="007A6E3D">
            <w:pPr>
              <w:pStyle w:val="Tabell"/>
            </w:pPr>
            <w:r w:rsidRPr="00780485">
              <w:t xml:space="preserve">  3,75</w:t>
            </w:r>
          </w:p>
        </w:tc>
        <w:tc>
          <w:tcPr>
            <w:tcW w:w="2099" w:type="dxa"/>
          </w:tcPr>
          <w:p w:rsidR="007A6E3D" w:rsidRPr="00780485" w:rsidRDefault="007A6E3D">
            <w:pPr>
              <w:pStyle w:val="Tabell"/>
            </w:pPr>
            <w:r w:rsidRPr="00780485">
              <w:t xml:space="preserve"> 11 %</w:t>
            </w:r>
          </w:p>
        </w:tc>
      </w:tr>
      <w:tr w:rsidR="00000000" w:rsidRPr="00780485">
        <w:tblPrEx>
          <w:tblCellMar>
            <w:top w:w="0" w:type="dxa"/>
            <w:bottom w:w="0" w:type="dxa"/>
          </w:tblCellMar>
        </w:tblPrEx>
        <w:tc>
          <w:tcPr>
            <w:tcW w:w="2055" w:type="dxa"/>
          </w:tcPr>
          <w:p w:rsidR="007A6E3D" w:rsidRPr="00780485" w:rsidRDefault="007A6E3D">
            <w:pPr>
              <w:pStyle w:val="Tabell"/>
            </w:pPr>
            <w:r w:rsidRPr="00780485">
              <w:t>Arbetsmar</w:t>
            </w:r>
            <w:r w:rsidRPr="00780485">
              <w:t>k</w:t>
            </w:r>
            <w:r w:rsidRPr="00780485">
              <w:t>nad/utbildning</w:t>
            </w:r>
          </w:p>
        </w:tc>
        <w:tc>
          <w:tcPr>
            <w:tcW w:w="2012" w:type="dxa"/>
          </w:tcPr>
          <w:p w:rsidR="007A6E3D" w:rsidRPr="00780485" w:rsidRDefault="007A6E3D">
            <w:pPr>
              <w:pStyle w:val="Tabell"/>
            </w:pPr>
            <w:r w:rsidRPr="00780485">
              <w:t xml:space="preserve">  6</w:t>
            </w:r>
          </w:p>
        </w:tc>
        <w:tc>
          <w:tcPr>
            <w:tcW w:w="2099" w:type="dxa"/>
          </w:tcPr>
          <w:p w:rsidR="007A6E3D" w:rsidRPr="00780485" w:rsidRDefault="007A6E3D">
            <w:pPr>
              <w:pStyle w:val="Tabell"/>
            </w:pPr>
            <w:r w:rsidRPr="00780485">
              <w:t xml:space="preserve"> 17 %</w:t>
            </w:r>
          </w:p>
        </w:tc>
      </w:tr>
      <w:tr w:rsidR="00000000" w:rsidRPr="00780485">
        <w:tblPrEx>
          <w:tblCellMar>
            <w:top w:w="0" w:type="dxa"/>
            <w:bottom w:w="0" w:type="dxa"/>
          </w:tblCellMar>
        </w:tblPrEx>
        <w:tc>
          <w:tcPr>
            <w:tcW w:w="2055" w:type="dxa"/>
          </w:tcPr>
          <w:p w:rsidR="007A6E3D" w:rsidRPr="00780485" w:rsidRDefault="007A6E3D">
            <w:pPr>
              <w:pStyle w:val="Tabell"/>
            </w:pPr>
            <w:r w:rsidRPr="00780485">
              <w:t>Infrastru</w:t>
            </w:r>
            <w:r w:rsidRPr="00780485">
              <w:t>k</w:t>
            </w:r>
            <w:r w:rsidRPr="00780485">
              <w:t>tur/service</w:t>
            </w:r>
          </w:p>
        </w:tc>
        <w:tc>
          <w:tcPr>
            <w:tcW w:w="2012" w:type="dxa"/>
          </w:tcPr>
          <w:p w:rsidR="007A6E3D" w:rsidRPr="00780485" w:rsidRDefault="007A6E3D">
            <w:pPr>
              <w:pStyle w:val="Tabell"/>
            </w:pPr>
            <w:r w:rsidRPr="00780485">
              <w:t xml:space="preserve">  4</w:t>
            </w:r>
          </w:p>
        </w:tc>
        <w:tc>
          <w:tcPr>
            <w:tcW w:w="2099" w:type="dxa"/>
          </w:tcPr>
          <w:p w:rsidR="007A6E3D" w:rsidRPr="00780485" w:rsidRDefault="007A6E3D">
            <w:pPr>
              <w:pStyle w:val="Tabell"/>
            </w:pPr>
            <w:r w:rsidRPr="00780485">
              <w:t xml:space="preserve"> 11 %</w:t>
            </w:r>
          </w:p>
        </w:tc>
      </w:tr>
      <w:tr w:rsidR="00000000" w:rsidRPr="00780485">
        <w:tblPrEx>
          <w:tblCellMar>
            <w:top w:w="0" w:type="dxa"/>
            <w:bottom w:w="0" w:type="dxa"/>
          </w:tblCellMar>
        </w:tblPrEx>
        <w:tc>
          <w:tcPr>
            <w:tcW w:w="2055" w:type="dxa"/>
          </w:tcPr>
          <w:p w:rsidR="007A6E3D" w:rsidRPr="00780485" w:rsidRDefault="007A6E3D">
            <w:pPr>
              <w:pStyle w:val="Tabell"/>
            </w:pPr>
            <w:r w:rsidRPr="00780485">
              <w:t>Strukturfonder</w:t>
            </w:r>
          </w:p>
        </w:tc>
        <w:tc>
          <w:tcPr>
            <w:tcW w:w="2012" w:type="dxa"/>
          </w:tcPr>
          <w:p w:rsidR="007A6E3D" w:rsidRPr="00780485" w:rsidRDefault="007A6E3D">
            <w:pPr>
              <w:pStyle w:val="Tabell"/>
            </w:pPr>
            <w:r w:rsidRPr="00780485">
              <w:t xml:space="preserve">  4</w:t>
            </w:r>
          </w:p>
        </w:tc>
        <w:tc>
          <w:tcPr>
            <w:tcW w:w="2099" w:type="dxa"/>
          </w:tcPr>
          <w:p w:rsidR="007A6E3D" w:rsidRPr="00780485" w:rsidRDefault="007A6E3D">
            <w:pPr>
              <w:pStyle w:val="Tabell"/>
            </w:pPr>
            <w:r w:rsidRPr="00780485">
              <w:t xml:space="preserve"> 11 %</w:t>
            </w:r>
          </w:p>
        </w:tc>
      </w:tr>
      <w:tr w:rsidR="00000000" w:rsidRPr="00780485">
        <w:tblPrEx>
          <w:tblCellMar>
            <w:top w:w="0" w:type="dxa"/>
            <w:bottom w:w="0" w:type="dxa"/>
          </w:tblCellMar>
        </w:tblPrEx>
        <w:tc>
          <w:tcPr>
            <w:tcW w:w="2055" w:type="dxa"/>
          </w:tcPr>
          <w:p w:rsidR="007A6E3D" w:rsidRPr="00780485" w:rsidRDefault="007A6E3D">
            <w:pPr>
              <w:pStyle w:val="Tabell"/>
            </w:pPr>
            <w:r w:rsidRPr="00780485">
              <w:t>Planering/analys</w:t>
            </w:r>
          </w:p>
        </w:tc>
        <w:tc>
          <w:tcPr>
            <w:tcW w:w="2012" w:type="dxa"/>
          </w:tcPr>
          <w:p w:rsidR="007A6E3D" w:rsidRPr="00780485" w:rsidRDefault="007A6E3D">
            <w:pPr>
              <w:pStyle w:val="Tabell"/>
            </w:pPr>
            <w:r w:rsidRPr="00780485">
              <w:t xml:space="preserve">  5,5</w:t>
            </w:r>
          </w:p>
        </w:tc>
        <w:tc>
          <w:tcPr>
            <w:tcW w:w="2099" w:type="dxa"/>
          </w:tcPr>
          <w:p w:rsidR="007A6E3D" w:rsidRPr="00780485" w:rsidRDefault="007A6E3D">
            <w:pPr>
              <w:pStyle w:val="Tabell"/>
            </w:pPr>
            <w:r w:rsidRPr="00780485">
              <w:t xml:space="preserve"> 15 %</w:t>
            </w:r>
          </w:p>
        </w:tc>
      </w:tr>
      <w:tr w:rsidR="00000000" w:rsidRPr="00780485">
        <w:tblPrEx>
          <w:tblCellMar>
            <w:top w:w="0" w:type="dxa"/>
            <w:bottom w:w="0" w:type="dxa"/>
          </w:tblCellMar>
        </w:tblPrEx>
        <w:tc>
          <w:tcPr>
            <w:tcW w:w="2055" w:type="dxa"/>
          </w:tcPr>
          <w:p w:rsidR="007A6E3D" w:rsidRPr="00780485" w:rsidRDefault="007A6E3D">
            <w:pPr>
              <w:pStyle w:val="Tabell"/>
            </w:pPr>
            <w:r w:rsidRPr="00780485">
              <w:t>Summa</w:t>
            </w:r>
          </w:p>
        </w:tc>
        <w:tc>
          <w:tcPr>
            <w:tcW w:w="2012" w:type="dxa"/>
          </w:tcPr>
          <w:p w:rsidR="007A6E3D" w:rsidRPr="00780485" w:rsidRDefault="007A6E3D">
            <w:pPr>
              <w:pStyle w:val="Tabell"/>
            </w:pPr>
            <w:r w:rsidRPr="00780485">
              <w:t>35,5</w:t>
            </w:r>
          </w:p>
        </w:tc>
        <w:tc>
          <w:tcPr>
            <w:tcW w:w="2099" w:type="dxa"/>
          </w:tcPr>
          <w:p w:rsidR="007A6E3D" w:rsidRPr="00780485" w:rsidRDefault="007A6E3D">
            <w:pPr>
              <w:pStyle w:val="Tabell"/>
            </w:pPr>
            <w:r w:rsidRPr="00780485">
              <w:t>100 %</w:t>
            </w:r>
          </w:p>
        </w:tc>
      </w:tr>
    </w:tbl>
    <w:p w:rsidR="007A6E3D" w:rsidRPr="00780485" w:rsidRDefault="007A6E3D">
      <w:pPr>
        <w:pStyle w:val="Fotnotstext"/>
      </w:pPr>
      <w:r w:rsidRPr="00780485">
        <w:t>Källa: Glesbygdsverket 2001b</w:t>
      </w:r>
    </w:p>
    <w:p w:rsidR="007A6E3D" w:rsidRPr="00780485" w:rsidRDefault="007A6E3D">
      <w:r w:rsidRPr="00780485">
        <w:t>För att översiktligt beskriva den verksamhet som myndigheten bedriver är det lämpligt att utgå från de fyra verksamhetsmål som regeringen formulerat i verkets regleringsbrev för budgetåren 1999 och 2000. Verksamhetsbeskri</w:t>
      </w:r>
      <w:r w:rsidRPr="00780485">
        <w:t>v</w:t>
      </w:r>
      <w:r w:rsidRPr="00780485">
        <w:t>ningen är i huvudsak hämtad från Glesbygdsverkets årsredovisningar för budgetåren 1999 och 2000.</w:t>
      </w:r>
    </w:p>
    <w:p w:rsidR="007A6E3D" w:rsidRPr="00780485" w:rsidRDefault="007A6E3D">
      <w:pPr>
        <w:pStyle w:val="Rubrik3"/>
      </w:pPr>
      <w:bookmarkStart w:id="92" w:name="_Toc515097898"/>
      <w:bookmarkStart w:id="93" w:name="_Toc526845446"/>
      <w:bookmarkStart w:id="94" w:name="_Toc526845768"/>
      <w:r w:rsidRPr="00780485">
        <w:t>Sektorssamordning</w:t>
      </w:r>
      <w:bookmarkEnd w:id="92"/>
      <w:bookmarkEnd w:id="93"/>
      <w:bookmarkEnd w:id="94"/>
    </w:p>
    <w:p w:rsidR="007A6E3D" w:rsidRPr="00780485" w:rsidRDefault="007A6E3D">
      <w:pPr>
        <w:pBdr>
          <w:top w:val="single" w:sz="4" w:space="1" w:color="auto"/>
          <w:left w:val="single" w:sz="4" w:space="4" w:color="auto"/>
          <w:bottom w:val="single" w:sz="4" w:space="1" w:color="auto"/>
          <w:right w:val="single" w:sz="4" w:space="4" w:color="auto"/>
        </w:pBdr>
      </w:pPr>
      <w:r w:rsidRPr="00780485">
        <w:t>Målet är att verka för samordning av glesbygds- och landsbygdsinsatser, främst inom områdena arbete, utbildning, service och infrastruktur. Gle</w:t>
      </w:r>
      <w:r w:rsidRPr="00780485">
        <w:t>s</w:t>
      </w:r>
      <w:r w:rsidRPr="00780485">
        <w:t>bygdsverket ska informera centrala statliga myndigheter och statliga bolag om gles- och landsbygdens behov samt följa i vilken utsträckning som de centrala myndigheterna och de statliga bolagen tar hänsyn till gles- och landsbygdens behov (Statsliggaren för år 2000).</w:t>
      </w:r>
    </w:p>
    <w:p w:rsidR="007A6E3D" w:rsidRPr="00780485" w:rsidRDefault="007A6E3D">
      <w:r w:rsidRPr="00780485">
        <w:t>Verksamheten består framför allt i att delta i och initiera möten med centrala myndigheter och andra aktörer vars verksamhet har inflytande på levnad</w:t>
      </w:r>
      <w:r w:rsidRPr="00780485">
        <w:t>s</w:t>
      </w:r>
      <w:r w:rsidRPr="00780485">
        <w:t>förhållanden och utvecklingsmöjligheter för dem som bor på lands- och glesbygd. I årsredovisningen för 2000 redovisar Glesbygdsverket att verket genom överläggningar och möten informerat och följt 24 centrala statliga myndigheter, 6 affärsverk och statliga bolag, 10 högskolor och ytterligare 8 centrala nationella organisationer. Därutöver har Glesbygdsverket remissb</w:t>
      </w:r>
      <w:r w:rsidRPr="00780485">
        <w:t>e</w:t>
      </w:r>
      <w:r w:rsidRPr="00780485">
        <w:t>handlat 9 utredningar till myndigheter, bolag och organisationer under bu</w:t>
      </w:r>
      <w:r w:rsidRPr="00780485">
        <w:t>d</w:t>
      </w:r>
      <w:r w:rsidRPr="00780485">
        <w:t>getåret 2000.</w:t>
      </w:r>
    </w:p>
    <w:p w:rsidR="007A6E3D" w:rsidRPr="00780485" w:rsidRDefault="007A6E3D">
      <w:pPr>
        <w:pStyle w:val="e"/>
      </w:pPr>
      <w:r w:rsidRPr="00780485">
        <w:t>Myndighetskontakterna har skett både på verksledningsn</w:t>
      </w:r>
      <w:r w:rsidRPr="00780485">
        <w:t>ivå och mellan handläggare. På handläggarnivå försöker Glesbygdsverket delta i och följa planerings- och utvecklingsprocesser i myndigheterna. Det förekommer även att utvecklingsarbete eller kunskapsuppbyggnad sker i samverkan mellan Glesbygdsverket och andra myndigheter. Av årsredovisningen framgår vid</w:t>
      </w:r>
      <w:r w:rsidRPr="00780485">
        <w:t>a</w:t>
      </w:r>
      <w:r w:rsidRPr="00780485">
        <w:t>re att verket även försöker att arbeta reaktivt på aktuella händelser. Som exempel nämns bl.a. kontakter med Energimyndigheten rörande de driftstö</w:t>
      </w:r>
      <w:r w:rsidRPr="00780485">
        <w:t>r</w:t>
      </w:r>
      <w:r w:rsidRPr="00780485">
        <w:t>ningar som up</w:t>
      </w:r>
      <w:r w:rsidRPr="00780485">
        <w:t>p</w:t>
      </w:r>
      <w:r w:rsidRPr="00780485">
        <w:t>stod i elförsörjningen under vintern 2000/01.</w:t>
      </w:r>
    </w:p>
    <w:p w:rsidR="007A6E3D" w:rsidRPr="00780485" w:rsidRDefault="007A6E3D">
      <w:pPr>
        <w:pStyle w:val="Normaltindrag"/>
      </w:pPr>
      <w:r w:rsidRPr="00780485">
        <w:t>I en sammantagen bedömning av resultatet av verkets sektorssamor</w:t>
      </w:r>
      <w:r w:rsidRPr="00780485">
        <w:t>d</w:t>
      </w:r>
      <w:r w:rsidRPr="00780485">
        <w:t>ningsinsatser under 2000 skriver verket följande:</w:t>
      </w:r>
    </w:p>
    <w:p w:rsidR="007A6E3D" w:rsidRPr="00780485" w:rsidRDefault="007A6E3D">
      <w:pPr>
        <w:pStyle w:val="Citat"/>
      </w:pPr>
      <w:r w:rsidRPr="00780485">
        <w:t>Att uppnå ökat hänsynstagande till gles- och landsbygdens behov bland centrala myndigheter och bolag, handlar om en långsiktig informationspr</w:t>
      </w:r>
      <w:r w:rsidRPr="00780485">
        <w:t>o</w:t>
      </w:r>
      <w:r w:rsidRPr="00780485">
        <w:t>cess med utgångspunkt från trovärdiga faktaunderlag samt ett nätverksby</w:t>
      </w:r>
      <w:r w:rsidRPr="00780485">
        <w:t>g</w:t>
      </w:r>
      <w:r w:rsidRPr="00780485">
        <w:t>gande för att skapa förtroende för verkets kunskapsunderlag. Eftersom må</w:t>
      </w:r>
      <w:r w:rsidRPr="00780485">
        <w:t>l</w:t>
      </w:r>
      <w:r w:rsidRPr="00780485">
        <w:t>sättningen är att skapa ett ökat hänsynstagande hos de myndigheter verket har kontakt med kommer också ett lyckat resultat att framstå som en effekt av denna myndighets arbete, varvid det är svårt att spåra orsakssamband med Glesbygdsverkets insatser.</w:t>
      </w:r>
    </w:p>
    <w:p w:rsidR="007A6E3D" w:rsidRPr="00780485" w:rsidRDefault="007A6E3D">
      <w:r w:rsidRPr="00780485">
        <w:t>I årsredovisningen för 1999 redovisades bl.a. kunskapsuppbyggnad, att kvi</w:t>
      </w:r>
      <w:r w:rsidRPr="00780485">
        <w:t>n</w:t>
      </w:r>
      <w:r w:rsidRPr="00780485">
        <w:t>nornas situation lyfts fram mer i tillväxtavtalen</w:t>
      </w:r>
      <w:r w:rsidRPr="00780485">
        <w:rPr>
          <w:i/>
        </w:rPr>
        <w:t xml:space="preserve"> </w:t>
      </w:r>
      <w:r w:rsidRPr="00780485">
        <w:t>och att glesbygdens villkor och behov tas upp i rapporter från olika myndigheter som en effekt av se</w:t>
      </w:r>
      <w:r w:rsidRPr="00780485">
        <w:t>k</w:t>
      </w:r>
      <w:r w:rsidRPr="00780485">
        <w:t>torssamordningsverksamh</w:t>
      </w:r>
      <w:r w:rsidRPr="00780485">
        <w:t>e</w:t>
      </w:r>
      <w:r w:rsidRPr="00780485">
        <w:t>ten.</w:t>
      </w:r>
    </w:p>
    <w:p w:rsidR="007A6E3D" w:rsidRPr="00780485" w:rsidRDefault="007A6E3D">
      <w:pPr>
        <w:pStyle w:val="Rubrik3"/>
      </w:pPr>
      <w:bookmarkStart w:id="95" w:name="_Toc515097899"/>
      <w:bookmarkStart w:id="96" w:name="_Toc526845447"/>
      <w:bookmarkStart w:id="97" w:name="_Toc526845769"/>
      <w:r w:rsidRPr="00780485">
        <w:t>Beslutsunderlag till regeringen</w:t>
      </w:r>
      <w:bookmarkEnd w:id="95"/>
      <w:bookmarkEnd w:id="96"/>
      <w:bookmarkEnd w:id="97"/>
    </w:p>
    <w:p w:rsidR="007A6E3D" w:rsidRPr="00780485" w:rsidRDefault="007A6E3D">
      <w:pPr>
        <w:pBdr>
          <w:top w:val="single" w:sz="4" w:space="1" w:color="auto"/>
          <w:left w:val="single" w:sz="4" w:space="4" w:color="auto"/>
          <w:bottom w:val="single" w:sz="4" w:space="1" w:color="auto"/>
          <w:right w:val="single" w:sz="4" w:space="4" w:color="auto"/>
        </w:pBdr>
      </w:pPr>
      <w:r w:rsidRPr="00780485">
        <w:t>Målet är att i egenskap av expertorgan tillhandahålla regeringen beslutsu</w:t>
      </w:r>
      <w:r w:rsidRPr="00780485">
        <w:t>n</w:t>
      </w:r>
      <w:r w:rsidRPr="00780485">
        <w:t>derlag för gles- och landsbygdspolitik. Underlaget ska bestå av aktuella beskrivningar över och analyser av utvecklingen i gles- och landsbygdso</w:t>
      </w:r>
      <w:r w:rsidRPr="00780485">
        <w:t>m</w:t>
      </w:r>
      <w:r w:rsidRPr="00780485">
        <w:t>råden samt av uppföljning av effekterna av gles- och landsbygdspolitiska insatser (Statsliggaren för år 2000).</w:t>
      </w:r>
    </w:p>
    <w:p w:rsidR="007A6E3D" w:rsidRPr="00780485" w:rsidRDefault="007A6E3D">
      <w:r w:rsidRPr="00780485">
        <w:t>Glesbygdsverket redovisar i årsredovisningen för 2000 att verket under bu</w:t>
      </w:r>
      <w:r w:rsidRPr="00780485">
        <w:t>d</w:t>
      </w:r>
      <w:r w:rsidRPr="00780485">
        <w:t>getåret remissbehandlat sammanlagt 35 statliga utredningar, departement</w:t>
      </w:r>
      <w:r w:rsidRPr="00780485">
        <w:t>s</w:t>
      </w:r>
      <w:r w:rsidRPr="00780485">
        <w:t>skrivelser eller jämförbara utredningar där Regeringskansliet begärt sy</w:t>
      </w:r>
      <w:r w:rsidRPr="00780485">
        <w:t>n</w:t>
      </w:r>
      <w:r w:rsidRPr="00780485">
        <w:t>punkter. Glesbygdsverket har vidare medverkat med en expert i Regionalp</w:t>
      </w:r>
      <w:r w:rsidRPr="00780485">
        <w:t>o</w:t>
      </w:r>
      <w:r w:rsidRPr="00780485">
        <w:t>litiska utredningen samt bistått Regeringskansliet och Bredbandsutredningen med underlag. Dessutom har myndigheten medverkat i OECD:s arbetsgrupp för landsbygdsutvec</w:t>
      </w:r>
      <w:r w:rsidRPr="00780485">
        <w:t>k</w:t>
      </w:r>
      <w:r w:rsidRPr="00780485">
        <w:t xml:space="preserve">ling. </w:t>
      </w:r>
    </w:p>
    <w:p w:rsidR="007A6E3D" w:rsidRPr="00780485" w:rsidRDefault="007A6E3D">
      <w:pPr>
        <w:pStyle w:val="Normaltindrag"/>
      </w:pPr>
      <w:r w:rsidRPr="00780485">
        <w:t>Den allmänna utvecklingen i gles- och landsbygden beskrivs både i en år</w:t>
      </w:r>
      <w:r w:rsidRPr="00780485">
        <w:t>s</w:t>
      </w:r>
      <w:r w:rsidRPr="00780485">
        <w:t>rapport till regeringen och i en årsbok. Årsboken bygger på årsrapporten men innehåller även vissa fördjupningsstudier. Mer avgränsade analyser geno</w:t>
      </w:r>
      <w:r w:rsidRPr="00780485">
        <w:t>m</w:t>
      </w:r>
      <w:r w:rsidRPr="00780485">
        <w:t xml:space="preserve">förs och redovisas i separata rapporter. I kapitel 6 beskrivs Glesbygdsverkets kunskapsproduktion utförligare med utgångspunkt i den analys av remisser och rapporter som genomförts inom ramen för denna granskning. </w:t>
      </w:r>
    </w:p>
    <w:p w:rsidR="007A6E3D" w:rsidRPr="00780485" w:rsidRDefault="007A6E3D">
      <w:pPr>
        <w:pStyle w:val="Normaltindrag"/>
      </w:pPr>
      <w:r w:rsidRPr="00780485">
        <w:t>I april 1998 gav regeringen Konsumentverket ett uppdrag att tillsammans med Glesbygdsverket utveckla och upprätthålla en databas med uppgifter om h</w:t>
      </w:r>
      <w:r w:rsidRPr="00780485">
        <w:t xml:space="preserve">ushållens tillgång till service. Både Glesbygdsverket och Konsumentverket har regeringens uppdrag att redovisa utvecklingen av kommersiell service. Konsumentverket har dessutom i uppdrag att redovisa vilka </w:t>
      </w:r>
      <w:r w:rsidRPr="00780485">
        <w:rPr>
          <w:i/>
        </w:rPr>
        <w:t>effekter</w:t>
      </w:r>
      <w:r w:rsidRPr="00780485">
        <w:t xml:space="preserve"> det statliga stödet till kommersiell service har haft på hushållens varuförsör</w:t>
      </w:r>
      <w:r w:rsidRPr="00780485">
        <w:t>j</w:t>
      </w:r>
      <w:r w:rsidRPr="00780485">
        <w:t>ningssituation. NUTEK har regeringens uppdrag att ”sammanställa en ek</w:t>
      </w:r>
      <w:r w:rsidRPr="00780485">
        <w:t>o</w:t>
      </w:r>
      <w:r w:rsidRPr="00780485">
        <w:t>nomisk uppföljning av länsstyrelserna och självstyrelseorganens fattade beslut om stöd till kommersiell service”.</w:t>
      </w:r>
    </w:p>
    <w:p w:rsidR="007A6E3D" w:rsidRPr="00780485" w:rsidRDefault="007A6E3D">
      <w:pPr>
        <w:pStyle w:val="Normaltindrag"/>
      </w:pPr>
      <w:r w:rsidRPr="00780485">
        <w:t>En första version av databasen ber</w:t>
      </w:r>
      <w:r w:rsidRPr="00780485">
        <w:t>äknas bli klar för externa användare u</w:t>
      </w:r>
      <w:r w:rsidRPr="00780485">
        <w:t>n</w:t>
      </w:r>
      <w:r w:rsidRPr="00780485">
        <w:t>der 2001. Inledningsvis kommer basen att innehålla de fem servicetyperna; dagligvaror, post, bank, systembolag och apotek. Parallellt med detta up</w:t>
      </w:r>
      <w:r w:rsidRPr="00780485">
        <w:t>p</w:t>
      </w:r>
      <w:r w:rsidRPr="00780485">
        <w:t>drag har Glesbygdsverket på eget initiativ börjat lägga in uppgifter om viss offentlig service; skolor, sjukhus, vårdcentraler och ambulansstationer i databasen. Syftet med databasen är enligt up</w:t>
      </w:r>
      <w:r w:rsidRPr="00780485">
        <w:t>p</w:t>
      </w:r>
      <w:r w:rsidRPr="00780485">
        <w:t>draget</w:t>
      </w:r>
    </w:p>
    <w:p w:rsidR="007A6E3D" w:rsidRPr="00780485" w:rsidRDefault="007A6E3D">
      <w:pPr>
        <w:pStyle w:val="Normaltindrag"/>
        <w:numPr>
          <w:ilvl w:val="0"/>
          <w:numId w:val="147"/>
        </w:numPr>
      </w:pPr>
      <w:r w:rsidRPr="00780485">
        <w:t>att ge underlag för en årlig redovisning till regeringen om hushållens tillgång till service och hur den utvecklas,</w:t>
      </w:r>
    </w:p>
    <w:p w:rsidR="007A6E3D" w:rsidRPr="00780485" w:rsidRDefault="007A6E3D">
      <w:pPr>
        <w:pStyle w:val="Normaltindrag"/>
        <w:numPr>
          <w:ilvl w:val="0"/>
          <w:numId w:val="147"/>
        </w:numPr>
      </w:pPr>
      <w:r w:rsidRPr="00780485">
        <w:t>att ge underlag för att följa upp hur väl de avtal om servicenivåer som ingås mellan staten och servicegivarna efterlevs i praktiken,</w:t>
      </w:r>
    </w:p>
    <w:p w:rsidR="007A6E3D" w:rsidRPr="00780485" w:rsidRDefault="007A6E3D">
      <w:pPr>
        <w:pStyle w:val="Normaltindrag"/>
        <w:numPr>
          <w:ilvl w:val="0"/>
          <w:numId w:val="147"/>
        </w:numPr>
      </w:pPr>
      <w:r w:rsidRPr="00780485">
        <w:t>att ge underlag för länsstyrelsernas, de regionala självstyrelseorganens och kommunernas arbete med att utveckla breda samförståndslösningar och samordnade servicestrategier samt</w:t>
      </w:r>
    </w:p>
    <w:p w:rsidR="007A6E3D" w:rsidRPr="00780485" w:rsidRDefault="007A6E3D">
      <w:pPr>
        <w:pStyle w:val="Normaltindrag"/>
        <w:numPr>
          <w:ilvl w:val="0"/>
          <w:numId w:val="147"/>
        </w:numPr>
      </w:pPr>
      <w:r w:rsidRPr="00780485">
        <w:t>att med hjälp av de bakgrundsfakta som kan sammanställas från datab</w:t>
      </w:r>
      <w:r w:rsidRPr="00780485">
        <w:t>a</w:t>
      </w:r>
      <w:r w:rsidRPr="00780485">
        <w:t>sen effektivisera länsstyrelsernas och kommunernas arbete med stöd till ko</w:t>
      </w:r>
      <w:r w:rsidRPr="00780485">
        <w:t>m</w:t>
      </w:r>
      <w:r w:rsidRPr="00780485">
        <w:t>mersiell service.</w:t>
      </w:r>
    </w:p>
    <w:p w:rsidR="007A6E3D" w:rsidRPr="00780485" w:rsidRDefault="007A6E3D">
      <w:r w:rsidRPr="00780485">
        <w:t>I årsredovisningarna för 1999 och 2000 redovisas inga genomförda uppföl</w:t>
      </w:r>
      <w:r w:rsidRPr="00780485">
        <w:t>j</w:t>
      </w:r>
      <w:r w:rsidRPr="00780485">
        <w:t>ningar av gles- och landsbygdspolitiska insatser. Vid diskussioner med Gle</w:t>
      </w:r>
      <w:r w:rsidRPr="00780485">
        <w:t>s</w:t>
      </w:r>
      <w:r w:rsidRPr="00780485">
        <w:t>bygdsverket har framkommit att verket ser på sitt utvärderingsuppdrag som att uppdragsgivaren har en beställningsmöjlighet vad gäller utvärdering. Glesbygdsverket ska vara förberett på att få och utföra ett utvärderingsup</w:t>
      </w:r>
      <w:r w:rsidRPr="00780485">
        <w:t>p</w:t>
      </w:r>
      <w:r w:rsidRPr="00780485">
        <w:t>drag. Några egna initiativ till central utvärdering av gles- och landsbygdsp</w:t>
      </w:r>
      <w:r w:rsidRPr="00780485">
        <w:t>o</w:t>
      </w:r>
      <w:r w:rsidRPr="00780485">
        <w:t>litiska insatser har inte tagits de senaste åren. Enskilda utvecklingsprojekt som finansieras via regionalt utvecklingsbidrag, landsbygds</w:t>
      </w:r>
      <w:r w:rsidRPr="00780485">
        <w:t>stöd, småför</w:t>
      </w:r>
      <w:r w:rsidRPr="00780485">
        <w:t>e</w:t>
      </w:r>
      <w:r w:rsidRPr="00780485">
        <w:t>tagsutveckling etc. kan benämnas gles- och landsbygdsinsatser i kraft av att de riktas mot gles- och landsbygdsområden. Enligt Glesbygdsverket utvärd</w:t>
      </w:r>
      <w:r w:rsidRPr="00780485">
        <w:t>e</w:t>
      </w:r>
      <w:r w:rsidRPr="00780485">
        <w:t>rar de inte effekterna av lokala projekt. Orsaken är att de bedömer att de lokala förutsättningarna och villkoren kan vara mycket olika. De arbetar snarare med att sprida erfarenheter av projekt mellan regionala och lokala aktörer.</w:t>
      </w:r>
    </w:p>
    <w:p w:rsidR="007A6E3D" w:rsidRPr="00780485" w:rsidRDefault="007A6E3D">
      <w:pPr>
        <w:pStyle w:val="Normaltindrag"/>
      </w:pPr>
      <w:r w:rsidRPr="00780485">
        <w:t>I en sammantagen bedömning av resultatet av verkets insatser för att til</w:t>
      </w:r>
      <w:r w:rsidRPr="00780485">
        <w:t>l</w:t>
      </w:r>
      <w:r w:rsidRPr="00780485">
        <w:t>handahålla regeringen beslutsunderlag för gles- och landsbygdspolitiken under 2000 skriver verket följande:</w:t>
      </w:r>
    </w:p>
    <w:p w:rsidR="007A6E3D" w:rsidRPr="00780485" w:rsidRDefault="007A6E3D">
      <w:pPr>
        <w:pStyle w:val="Citat"/>
      </w:pPr>
      <w:r w:rsidRPr="00780485">
        <w:t>Målet är att tillhandahålla regeringen underlag för gles- och landsbygdspol</w:t>
      </w:r>
      <w:r w:rsidRPr="00780485">
        <w:t>i</w:t>
      </w:r>
      <w:r w:rsidRPr="00780485">
        <w:t>tiken, vilket också skett i betydande omfattning. Glesbygdsverket har tillha</w:t>
      </w:r>
      <w:r w:rsidRPr="00780485">
        <w:t>n</w:t>
      </w:r>
      <w:r w:rsidRPr="00780485">
        <w:t>dahållit regeringen underlag i ca 45 under året aktuella ärenden. Inriktningen på de underlag som efterfrågats speglar verkets kunskapsuppbyggnad sedan ett antal år tillbaka och gäller ett brett pe</w:t>
      </w:r>
      <w:r w:rsidRPr="00780485">
        <w:t>r</w:t>
      </w:r>
      <w:r w:rsidRPr="00780485">
        <w:t xml:space="preserve">spektiv av frågor. </w:t>
      </w:r>
    </w:p>
    <w:p w:rsidR="007A6E3D" w:rsidRPr="00780485" w:rsidRDefault="007A6E3D">
      <w:pPr>
        <w:pStyle w:val="CitatIndrag"/>
      </w:pPr>
      <w:r w:rsidRPr="00780485">
        <w:t>Verket märker en ökad efterfrågan på den specialkunskap som finns i verksamheten, framför allt vad gäller möjligheten att anlägga ett tvärsektor</w:t>
      </w:r>
      <w:r w:rsidRPr="00780485">
        <w:t>i</w:t>
      </w:r>
      <w:r w:rsidRPr="00780485">
        <w:t>ellt perspektiv på frågor samt att analysera tillgänglighetsaspekter och andra geografiska dimensioner. Detta märks dels på den ökande strömmen av remisser, dels på önskemål och förfrågningar om att ingå i utredningar och andra processer (Glesbygdsverket 2001b).</w:t>
      </w:r>
    </w:p>
    <w:p w:rsidR="007A6E3D" w:rsidRPr="00780485" w:rsidRDefault="007A6E3D">
      <w:pPr>
        <w:pStyle w:val="Rubrik3"/>
      </w:pPr>
      <w:bookmarkStart w:id="98" w:name="_Toc515097900"/>
      <w:bookmarkStart w:id="99" w:name="_Toc526845448"/>
      <w:bookmarkStart w:id="100" w:name="_Toc526845770"/>
      <w:r w:rsidRPr="00780485">
        <w:t>Kunskapsförmedling</w:t>
      </w:r>
      <w:bookmarkEnd w:id="98"/>
      <w:bookmarkEnd w:id="99"/>
      <w:bookmarkEnd w:id="100"/>
    </w:p>
    <w:p w:rsidR="007A6E3D" w:rsidRPr="00780485" w:rsidRDefault="007A6E3D">
      <w:pPr>
        <w:pBdr>
          <w:top w:val="single" w:sz="4" w:space="1" w:color="auto"/>
          <w:left w:val="single" w:sz="4" w:space="4" w:color="auto"/>
          <w:bottom w:val="single" w:sz="4" w:space="1" w:color="auto"/>
          <w:right w:val="single" w:sz="4" w:space="4" w:color="auto"/>
        </w:pBdr>
      </w:pPr>
      <w:r w:rsidRPr="00780485">
        <w:t>Målet är att genom kunskapsförmedling stödja främst länsstyrelser och reg</w:t>
      </w:r>
      <w:r w:rsidRPr="00780485">
        <w:t>i</w:t>
      </w:r>
      <w:r w:rsidRPr="00780485">
        <w:t>onala självstyrelseorgan men även andra organ som är strategiska för u</w:t>
      </w:r>
      <w:r w:rsidRPr="00780485">
        <w:t>t</w:t>
      </w:r>
      <w:r w:rsidRPr="00780485">
        <w:t>vecklingen av gles- och landsbygden så att dessa i sin tur på ett effektivt sätt kan fullgöra sina uppgifter beträffande gles- och landsbygdens utveckling. Målet är också att Glesbygdsverket ska öka sitt deltagande i pågående regi</w:t>
      </w:r>
      <w:r w:rsidRPr="00780485">
        <w:t>o</w:t>
      </w:r>
      <w:r w:rsidRPr="00780485">
        <w:t>nala processer genom insatser i myndighetens kompetensområde och därmed vara en part i genomförandet av de regionala tillväxtavtalen (Statsliggaren för år 2000).</w:t>
      </w:r>
    </w:p>
    <w:p w:rsidR="007A6E3D" w:rsidRPr="00780485" w:rsidRDefault="007A6E3D">
      <w:r w:rsidRPr="00780485">
        <w:t>Verkets prestationer beskrivs till stor del bes</w:t>
      </w:r>
      <w:r w:rsidRPr="00780485">
        <w:t>tå av kontakter med länsstyre</w:t>
      </w:r>
      <w:r w:rsidRPr="00780485">
        <w:t>l</w:t>
      </w:r>
      <w:r w:rsidRPr="00780485">
        <w:t>ser, självstyrelseorgan och andra regionala och lokala organ. Under 2000 genomfördes nio länsbesök och 30 kommunbesök samt 4 regionala konf</w:t>
      </w:r>
      <w:r w:rsidRPr="00780485">
        <w:t>e</w:t>
      </w:r>
      <w:r w:rsidRPr="00780485">
        <w:t>renser. Till de regionala konferenserna inbjuds bl.a. länsstyrelser, länsarbet</w:t>
      </w:r>
      <w:r w:rsidRPr="00780485">
        <w:t>s</w:t>
      </w:r>
      <w:r w:rsidRPr="00780485">
        <w:t>nämnder, landsting, samt högskolor och universitet. En fortlöpande ku</w:t>
      </w:r>
      <w:r w:rsidRPr="00780485">
        <w:t>n</w:t>
      </w:r>
      <w:r w:rsidRPr="00780485">
        <w:t>skapsförmedling sker genom att verket besvarar förfrågningar om statistik och analysresultat från olika aktörer. Verkets hemsida utnyttjas flitigt. En ökning har skett från 100 besökare per dag</w:t>
      </w:r>
      <w:r w:rsidRPr="00780485">
        <w:t xml:space="preserve"> under 1999 till toppnoteringen 180 per dag under oktober 2000.</w:t>
      </w:r>
    </w:p>
    <w:p w:rsidR="007A6E3D" w:rsidRPr="00780485" w:rsidRDefault="007A6E3D">
      <w:pPr>
        <w:pStyle w:val="Normaltindrag"/>
        <w:shd w:val="clear" w:color="auto" w:fill="FFFFFF"/>
      </w:pPr>
      <w:r w:rsidRPr="00780485">
        <w:rPr>
          <w:shd w:val="clear" w:color="auto" w:fill="FFFFFF"/>
        </w:rPr>
        <w:t>Glesbygdsverket har endast i liten utsträckning medverkat som aktör i g</w:t>
      </w:r>
      <w:r w:rsidRPr="00780485">
        <w:rPr>
          <w:shd w:val="clear" w:color="auto" w:fill="FFFFFF"/>
        </w:rPr>
        <w:t>e</w:t>
      </w:r>
      <w:r w:rsidRPr="00780485">
        <w:rPr>
          <w:shd w:val="clear" w:color="auto" w:fill="FFFFFF"/>
        </w:rPr>
        <w:t>nomförandet av tillväxtavtalen. I en analys av Glesbygdsverkets roll i til</w:t>
      </w:r>
      <w:r w:rsidRPr="00780485">
        <w:rPr>
          <w:shd w:val="clear" w:color="auto" w:fill="FFFFFF"/>
        </w:rPr>
        <w:t>l</w:t>
      </w:r>
      <w:r w:rsidRPr="00780485">
        <w:rPr>
          <w:shd w:val="clear" w:color="auto" w:fill="FFFFFF"/>
        </w:rPr>
        <w:t>växtavtalen skriver verket att de, i likhet med de flesta andra berörda my</w:t>
      </w:r>
      <w:r w:rsidRPr="00780485">
        <w:rPr>
          <w:shd w:val="clear" w:color="auto" w:fill="FFFFFF"/>
        </w:rPr>
        <w:t>n</w:t>
      </w:r>
      <w:r w:rsidRPr="00780485">
        <w:rPr>
          <w:shd w:val="clear" w:color="auto" w:fill="FFFFFF"/>
        </w:rPr>
        <w:t>digheter inte blivit efterfrågade i någon större utsträckning. Den troliga ors</w:t>
      </w:r>
      <w:r w:rsidRPr="00780485">
        <w:rPr>
          <w:shd w:val="clear" w:color="auto" w:fill="FFFFFF"/>
        </w:rPr>
        <w:t>a</w:t>
      </w:r>
      <w:r w:rsidRPr="00780485">
        <w:rPr>
          <w:shd w:val="clear" w:color="auto" w:fill="FFFFFF"/>
        </w:rPr>
        <w:t>ken anser verket är – förutom att Glesbygdsverket inte är medfinansiär – att tillväxtavtalen är ”regionernas spelplan och att nationella myndigheter inte ska lägga sig i det operativa arbetet” (Glesbygdsverket 2000). Den största insatsen beskrivs som att verket deltagit i Näringsde</w:t>
      </w:r>
      <w:r w:rsidRPr="00780485">
        <w:rPr>
          <w:shd w:val="clear" w:color="auto" w:fill="FFFFFF"/>
        </w:rPr>
        <w:t>partementets arbetsgrupp som analyserat gles- och landsbygdsaspekter i avtalen. I vissa län har verket även medverkat direkt i programskrivningsprocessen med analysunderlag. Under perioden maj 1998 till september 2000 uppskattar verket att det totalt lagt ner 0,4 årsarbetskrafter på til</w:t>
      </w:r>
      <w:r w:rsidRPr="00780485">
        <w:rPr>
          <w:shd w:val="clear" w:color="auto" w:fill="FFFFFF"/>
        </w:rPr>
        <w:t>l</w:t>
      </w:r>
      <w:r w:rsidRPr="00780485">
        <w:rPr>
          <w:shd w:val="clear" w:color="auto" w:fill="FFFFFF"/>
        </w:rPr>
        <w:t xml:space="preserve">växtavtalen. </w:t>
      </w:r>
    </w:p>
    <w:p w:rsidR="007A6E3D" w:rsidRPr="00780485" w:rsidRDefault="007A6E3D">
      <w:pPr>
        <w:pStyle w:val="e"/>
      </w:pPr>
      <w:r w:rsidRPr="00780485">
        <w:t>Vad gäller effekterna av Glesbygdsverkets insatser inom verksamhetsgr</w:t>
      </w:r>
      <w:r w:rsidRPr="00780485">
        <w:t>e</w:t>
      </w:r>
      <w:r w:rsidRPr="00780485">
        <w:t>nen kunskapsförmedling hänvisas till en undersökning som undersökningsf</w:t>
      </w:r>
      <w:r w:rsidRPr="00780485">
        <w:t>ö</w:t>
      </w:r>
      <w:r w:rsidRPr="00780485">
        <w:t>retaget SKOP genomfört av hur målgruppen för Glesbygdsverkets inform</w:t>
      </w:r>
      <w:r w:rsidRPr="00780485">
        <w:t>a</w:t>
      </w:r>
      <w:r w:rsidRPr="00780485">
        <w:t>tionsverksamhet uppfattar verkets insatser. Resultatet från denna undersö</w:t>
      </w:r>
      <w:r w:rsidRPr="00780485">
        <w:t>k</w:t>
      </w:r>
      <w:r w:rsidRPr="00780485">
        <w:t>ning redovisas i kapitel 6.</w:t>
      </w:r>
    </w:p>
    <w:p w:rsidR="007A6E3D" w:rsidRPr="00780485" w:rsidRDefault="007A6E3D">
      <w:pPr>
        <w:pStyle w:val="Rubrik3"/>
      </w:pPr>
      <w:bookmarkStart w:id="101" w:name="_Toc515097901"/>
      <w:bookmarkStart w:id="102" w:name="_Toc526845449"/>
      <w:bookmarkStart w:id="103" w:name="_Toc526845771"/>
      <w:r w:rsidRPr="00780485">
        <w:t>Förvaltningsmyndighet gemenskapsinitiativet LEADER+</w:t>
      </w:r>
      <w:bookmarkEnd w:id="101"/>
      <w:bookmarkEnd w:id="102"/>
      <w:bookmarkEnd w:id="103"/>
    </w:p>
    <w:p w:rsidR="007A6E3D" w:rsidRPr="00780485" w:rsidRDefault="007A6E3D">
      <w:pPr>
        <w:pBdr>
          <w:top w:val="single" w:sz="4" w:space="1" w:color="auto"/>
          <w:left w:val="single" w:sz="4" w:space="4" w:color="auto"/>
          <w:bottom w:val="single" w:sz="4" w:space="1" w:color="auto"/>
          <w:right w:val="single" w:sz="4" w:space="4" w:color="auto"/>
        </w:pBdr>
      </w:pPr>
      <w:r w:rsidRPr="00780485">
        <w:t>Målet är att avslutningen av EG:s strukturfondsprogram för Mål 5b och gemenskapsinitiativet LEADER II samt genomförandet av det nya geme</w:t>
      </w:r>
      <w:r w:rsidRPr="00780485">
        <w:t>n</w:t>
      </w:r>
      <w:r w:rsidRPr="00780485">
        <w:t>skapsinitiativet LEADER+ blir effektivt och i överensstämmelse med nati</w:t>
      </w:r>
      <w:r w:rsidRPr="00780485">
        <w:t>o</w:t>
      </w:r>
      <w:r w:rsidRPr="00780485">
        <w:t>nella regionalpolitiska mål. Glesbygdsverket ska utföra uppgiften som fö</w:t>
      </w:r>
      <w:r w:rsidRPr="00780485">
        <w:t>r</w:t>
      </w:r>
      <w:r w:rsidRPr="00780485">
        <w:t>valtningsmyndighet för LEADER+ på ett sådant sätt att genomförandet av programmet underlättas och att återflödet av medel från EG:s strukturfonder påskyndas (Statsliggaren för år 2000).</w:t>
      </w:r>
    </w:p>
    <w:p w:rsidR="007A6E3D" w:rsidRPr="00780485" w:rsidRDefault="007A6E3D">
      <w:r w:rsidRPr="00780485">
        <w:t>Det övergripande målet för mål 5b har varit att skapa sysselsättning på landsbygden genom att framför allt utveckla småföretagen. Huvudsakligen handlar det om att stödja nyföretaga</w:t>
      </w:r>
      <w:r w:rsidRPr="00780485">
        <w:t>nde och förstärka kompetensen för ökad konkurrenskraft. Fem geografiska områden har berörts: västra, norra, sydös</w:t>
      </w:r>
      <w:r w:rsidRPr="00780485">
        <w:t>t</w:t>
      </w:r>
      <w:r w:rsidRPr="00780485">
        <w:t>ra Sverige samt Gotland och skärgården.</w:t>
      </w:r>
    </w:p>
    <w:p w:rsidR="007A6E3D" w:rsidRPr="00780485" w:rsidRDefault="007A6E3D">
      <w:pPr>
        <w:pStyle w:val="Normaltindrag"/>
      </w:pPr>
      <w:r w:rsidRPr="00780485">
        <w:t>I varje område finns en regional beslutsgrupp (för norra regionen finns två), som fattar beslut om enskilda projekt. I beslutsgruppen finns företrädare för kommuner, länsstyrelse och länsarbetsnämnd. Länsstyrelsen är sekretariat åt beslutsgrupperna.</w:t>
      </w:r>
    </w:p>
    <w:p w:rsidR="007A6E3D" w:rsidRPr="00780485" w:rsidRDefault="007A6E3D">
      <w:pPr>
        <w:pStyle w:val="Normaltindrag"/>
      </w:pPr>
      <w:r w:rsidRPr="00780485">
        <w:t>För varje område finns dessutom en övervakningskommitté med företräd</w:t>
      </w:r>
      <w:r w:rsidRPr="00780485">
        <w:t>a</w:t>
      </w:r>
      <w:r w:rsidRPr="00780485">
        <w:t>re från EU-kommissionen, berörda departement, branschorganisationer, fackliga organisationer, kommuner, m.fl. Dess huvudsakliga uppgift är sty</w:t>
      </w:r>
      <w:r w:rsidRPr="00780485">
        <w:t>r</w:t>
      </w:r>
      <w:r w:rsidRPr="00780485">
        <w:t>ning och uppföljning av 5b-projekten. Glesbygdsverkets uppgift har varit att ansvara för central samordning av mål 5b-insatserna. Inför programperioden 2000</w:t>
      </w:r>
      <w:r w:rsidRPr="00780485">
        <w:noBreakHyphen/>
        <w:t>2006 har mål 5b upphört och ersatts av nya mål 2. Glesbygdsverket har inget motsvarande centralt samordningsuppdrag under den kommande pr</w:t>
      </w:r>
      <w:r w:rsidRPr="00780485">
        <w:t>o</w:t>
      </w:r>
      <w:r w:rsidRPr="00780485">
        <w:t>gramperioden.</w:t>
      </w:r>
    </w:p>
    <w:p w:rsidR="007A6E3D" w:rsidRPr="00780485" w:rsidRDefault="007A6E3D">
      <w:pPr>
        <w:pStyle w:val="e"/>
      </w:pPr>
      <w:r w:rsidRPr="00780485">
        <w:t>Syftet med gemensamhetsinitiativet LEADER+ är att stödja hi</w:t>
      </w:r>
      <w:r w:rsidRPr="00780485">
        <w:t>ttills opr</w:t>
      </w:r>
      <w:r w:rsidRPr="00780485">
        <w:t>ö</w:t>
      </w:r>
      <w:r w:rsidRPr="00780485">
        <w:t xml:space="preserve">vade och innovativa utvecklingsstrategier som rör landsbygdens utveckling. Enligt regeringsbeslut är mål 1-området (Norrland och de södra skogslänen) undantaget från den kommande LEADER-verksamheten i Sverige. Som skäl för detta anges att LEADER+ liknande verksamhet kan bedrivas inom ramen för mål 1. </w:t>
      </w:r>
    </w:p>
    <w:p w:rsidR="007A6E3D" w:rsidRPr="00780485" w:rsidRDefault="007A6E3D">
      <w:pPr>
        <w:pStyle w:val="e"/>
      </w:pPr>
      <w:r w:rsidRPr="00780485">
        <w:t>Glesbygdsverket har fått i uppdrag att fungera som förvaltningsmyndighet för LEADER+. Jordbruksverket är utbetalande myndighet</w:t>
      </w:r>
      <w:r w:rsidRPr="00780485">
        <w:rPr>
          <w:rStyle w:val="Fotnotsreferens"/>
        </w:rPr>
        <w:footnoteReference w:id="4"/>
      </w:r>
      <w:r w:rsidRPr="00780485">
        <w:t>. Sverige beräknas få 323 miljoner kronor under programperioden 2000</w:t>
      </w:r>
      <w:r w:rsidRPr="00780485">
        <w:noBreakHyphen/>
        <w:t>2006 vilket innebär ett krav på medfinansiering i motsvarande omfattning från svenska staten eller andra offentliga aktörer. Till detta kommer även ett krav på privat finansi</w:t>
      </w:r>
      <w:r w:rsidRPr="00780485">
        <w:t>e</w:t>
      </w:r>
      <w:r w:rsidRPr="00780485">
        <w:t>ring på i genomsnitt 30 % av den samlade projektkostnaden i form av ko</w:t>
      </w:r>
      <w:r w:rsidRPr="00780485">
        <w:t>n</w:t>
      </w:r>
      <w:r w:rsidRPr="00780485">
        <w:t>tantinsatser eller ideella arbetsinsatser. Detta innebär att Glesbygdsverket i egenskap av förvaltningsmyndighet kommer att utöva inflytande över pr</w:t>
      </w:r>
      <w:r w:rsidRPr="00780485">
        <w:t>o</w:t>
      </w:r>
      <w:r w:rsidRPr="00780485">
        <w:t xml:space="preserve">jektmedel motsvarande ungefär en miljard kronor </w:t>
      </w:r>
      <w:r w:rsidRPr="00780485">
        <w:t>under projektperioden (ca 170 milj</w:t>
      </w:r>
      <w:r w:rsidRPr="00780485">
        <w:t>o</w:t>
      </w:r>
      <w:r w:rsidRPr="00780485">
        <w:t xml:space="preserve">ner kronor per år). </w:t>
      </w:r>
    </w:p>
    <w:p w:rsidR="007A6E3D" w:rsidRPr="00780485" w:rsidRDefault="007A6E3D">
      <w:pPr>
        <w:pStyle w:val="Normaltindrag"/>
      </w:pPr>
      <w:r w:rsidRPr="00780485">
        <w:t>Enligt förordningen (1999:1424) med förvaltning av EG:s strukturfonder är förvaltningsmyndighetens uppgift att gentemot EG-kommissionen ansvara för att förvaltningen och genomförandet av de olika programmen sker effe</w:t>
      </w:r>
      <w:r w:rsidRPr="00780485">
        <w:t>k</w:t>
      </w:r>
      <w:r w:rsidRPr="00780485">
        <w:t>tivt och korrekt. Dessutom ska myndigheten inom ramen för programdok</w:t>
      </w:r>
      <w:r w:rsidRPr="00780485">
        <w:t>u</w:t>
      </w:r>
      <w:r w:rsidRPr="00780485">
        <w:t xml:space="preserve">mentet aktivt verka för att programmet genomförs och att de mål som anges i dokumentet uppnås. </w:t>
      </w:r>
    </w:p>
    <w:p w:rsidR="007A6E3D" w:rsidRPr="00780485" w:rsidRDefault="007A6E3D">
      <w:pPr>
        <w:pStyle w:val="e"/>
      </w:pPr>
      <w:r w:rsidRPr="00780485">
        <w:t>Inför den kommande programperioden 2000</w:t>
      </w:r>
      <w:r w:rsidRPr="00780485">
        <w:noBreakHyphen/>
        <w:t>2006 har Glesbygdsverket utarbetat det nationella Leader+ programmet. Under hösten 2000 och våren 2001 har det svenska programmet beretts av kommissionen och formella förhandlingar har genomförts vid flera tillfällen. Programmet är dock ännu inte fastställt av kommi</w:t>
      </w:r>
      <w:r w:rsidRPr="00780485">
        <w:t>s</w:t>
      </w:r>
      <w:r w:rsidRPr="00780485">
        <w:t>sionen.</w:t>
      </w:r>
    </w:p>
    <w:p w:rsidR="007A6E3D" w:rsidRPr="00780485" w:rsidRDefault="007A6E3D">
      <w:pPr>
        <w:pStyle w:val="e"/>
      </w:pPr>
      <w:r w:rsidRPr="00780485">
        <w:t>Godkänns det svenska programmet kommer medlen att betalas ut till 12 LAG-grupper (Local Action Group) som utgörs av ett lokalt förankrat par</w:t>
      </w:r>
      <w:r w:rsidRPr="00780485">
        <w:t>t</w:t>
      </w:r>
      <w:r w:rsidRPr="00780485">
        <w:t xml:space="preserve">nerskap som består av representanter från lokalbefolkning, näringsliv och offentliga aktörer i den södra delen av Sverige. </w:t>
      </w:r>
    </w:p>
    <w:p w:rsidR="007A6E3D" w:rsidRPr="00780485" w:rsidRDefault="007A6E3D">
      <w:pPr>
        <w:pStyle w:val="e"/>
      </w:pPr>
      <w:r w:rsidRPr="00780485">
        <w:t>Glesbygdsverkets arbete inom strukturfondsprogrammen har under bu</w:t>
      </w:r>
      <w:r w:rsidRPr="00780485">
        <w:t>d</w:t>
      </w:r>
      <w:r w:rsidRPr="00780485">
        <w:t>getåren 1999 och 2000 präglats av att dessa befinner sig i en brytningsperiod mellan två programperioder. Detta har inneburit en stor arbetsbelastning för Glesbygdsverket i och med att arbetet med att avsluta en programperiod bedrivits parallellt med förberedelsearbetet inför den nya perioden. Långsi</w:t>
      </w:r>
      <w:r w:rsidRPr="00780485">
        <w:t>k</w:t>
      </w:r>
      <w:r w:rsidRPr="00780485">
        <w:t>tigt kommer endast Glesbygdsverkets uppgift som förvaltningsmyndighet för LEADER+ att kvarstå under progra</w:t>
      </w:r>
      <w:r w:rsidRPr="00780485">
        <w:t>m</w:t>
      </w:r>
      <w:r w:rsidRPr="00780485">
        <w:t>perioden 2000</w:t>
      </w:r>
      <w:r w:rsidRPr="00780485">
        <w:noBreakHyphen/>
        <w:t>2006.</w:t>
      </w:r>
    </w:p>
    <w:p w:rsidR="007A6E3D" w:rsidRPr="00780485" w:rsidRDefault="007A6E3D">
      <w:pPr>
        <w:pStyle w:val="e"/>
      </w:pPr>
      <w:r w:rsidRPr="00780485">
        <w:t>Av årsredovisningen för 2000 framgår att arbetsuppgifterna sammanh</w:t>
      </w:r>
      <w:r w:rsidRPr="00780485">
        <w:t>ö</w:t>
      </w:r>
      <w:r w:rsidRPr="00780485">
        <w:t>rande med den föregående strukturfondsperioden främst bestått i att stödja genomförandeorganisationerna inom mål 5b och LEADER 2 i avslutningsf</w:t>
      </w:r>
      <w:r w:rsidRPr="00780485">
        <w:t>a</w:t>
      </w:r>
      <w:r w:rsidRPr="00780485">
        <w:t>sen av projektverksamheten. Sju olika årsrapporter har producerats av Gle</w:t>
      </w:r>
      <w:r w:rsidRPr="00780485">
        <w:t>s</w:t>
      </w:r>
      <w:r w:rsidRPr="00780485">
        <w:t xml:space="preserve">bygdsverket och överlämnats till kommissionen. Vidare har verket arbetat med att sätta i gång de utvärderingsuppdrag som upphandlats under 1999. Utvärderarna har producerat de första delrapporterna. Glesbygdsverket har kvalitetsgranskat dessa och överlämnat dem till kommissionen. </w:t>
      </w:r>
    </w:p>
    <w:p w:rsidR="007A6E3D" w:rsidRPr="00780485" w:rsidRDefault="007A6E3D">
      <w:pPr>
        <w:pStyle w:val="Normaltindrag"/>
      </w:pPr>
      <w:r w:rsidRPr="00780485">
        <w:t xml:space="preserve">Under 2000 </w:t>
      </w:r>
      <w:r w:rsidRPr="00780485">
        <w:t>har Glesbygdsverket haft i uppdrag att vara sekretariat för programskrivningen för mål 2 öarna och har tillsammans med förvaltnin</w:t>
      </w:r>
      <w:r w:rsidRPr="00780485">
        <w:t>g</w:t>
      </w:r>
      <w:r w:rsidRPr="00780485">
        <w:t>smyndigheten (Länsstyrelsen i Jönköpings län) utarbetat ett nationellt pr</w:t>
      </w:r>
      <w:r w:rsidRPr="00780485">
        <w:t>o</w:t>
      </w:r>
      <w:r w:rsidRPr="00780485">
        <w:t>gramdokument. På uppdrag av länsstyrelsen har Glesbygdsverket även uta</w:t>
      </w:r>
      <w:r w:rsidRPr="00780485">
        <w:t>r</w:t>
      </w:r>
      <w:r w:rsidRPr="00780485">
        <w:t xml:space="preserve">betat ett programkomplement, dvs. det operativa dokument som innehåller en mer detaljerad beskrivning av vilka insatser som kan stödjas samt övriga förutsättningar för programmets genomförande. </w:t>
      </w:r>
    </w:p>
    <w:p w:rsidR="007A6E3D" w:rsidRPr="00780485" w:rsidRDefault="007A6E3D">
      <w:pPr>
        <w:pStyle w:val="Normaltindrag"/>
      </w:pPr>
      <w:r w:rsidRPr="00780485">
        <w:t>Glesbygdsverket är representerat av ledamö</w:t>
      </w:r>
      <w:r w:rsidRPr="00780485">
        <w:t>ter i övervakningskommittée</w:t>
      </w:r>
      <w:r w:rsidRPr="00780485">
        <w:t>r</w:t>
      </w:r>
      <w:r w:rsidRPr="00780485">
        <w:t>na för mål 1 södra skogslänen, mål 1 norra Norrland samt för mål 2 öarna.</w:t>
      </w:r>
    </w:p>
    <w:p w:rsidR="007A6E3D" w:rsidRPr="00780485" w:rsidRDefault="007A6E3D">
      <w:pPr>
        <w:pStyle w:val="Rubrik2"/>
      </w:pPr>
      <w:bookmarkStart w:id="104" w:name="_Toc515097902"/>
      <w:bookmarkStart w:id="105" w:name="_Toc526845450"/>
      <w:bookmarkStart w:id="106" w:name="_Toc526845772"/>
      <w:r w:rsidRPr="00780485">
        <w:t>Regeringens återrapportering till riksdagen</w:t>
      </w:r>
      <w:bookmarkEnd w:id="104"/>
      <w:bookmarkEnd w:id="105"/>
      <w:bookmarkEnd w:id="106"/>
    </w:p>
    <w:p w:rsidR="007A6E3D" w:rsidRPr="00780485" w:rsidRDefault="007A6E3D">
      <w:r w:rsidRPr="00780485">
        <w:t>Regeringens återrapportering till riksdagen rörande effekter av Glesbygd</w:t>
      </w:r>
      <w:r w:rsidRPr="00780485">
        <w:t>s</w:t>
      </w:r>
      <w:r w:rsidRPr="00780485">
        <w:t>verkets prestationer sker årligen i budgetpropositionen. Återrapporteringen är i regel kortfattad. I budgetpropositionen för 2001 redovisas resultatbedö</w:t>
      </w:r>
      <w:r w:rsidRPr="00780485">
        <w:t>m</w:t>
      </w:r>
      <w:r w:rsidRPr="00780485">
        <w:t>ningen för Glesbygdsverket samlat med Statens institut för regionalfors</w:t>
      </w:r>
      <w:r w:rsidRPr="00780485">
        <w:t>k</w:t>
      </w:r>
      <w:r w:rsidRPr="00780485">
        <w:t>ning. Regeringen skriver att:</w:t>
      </w:r>
    </w:p>
    <w:p w:rsidR="007A6E3D" w:rsidRPr="00780485" w:rsidRDefault="007A6E3D">
      <w:pPr>
        <w:pStyle w:val="Citat"/>
      </w:pPr>
      <w:r w:rsidRPr="00780485">
        <w:t>SIR och Glesbygdsverket har enligt regeringens bedömning uppfyllt målen för verksamheterna. Såväl SIR som Glesbygdsverket har stärkt sina roller som expertmyndigheter under året och bidragit till att gles- och landsbygd</w:t>
      </w:r>
      <w:r w:rsidRPr="00780485">
        <w:t>s</w:t>
      </w:r>
      <w:r w:rsidRPr="00780485">
        <w:t>frågor samt regionala frågor uppmärksammats i samhällsdebatten. Bägge myndigheterna har vidare bidragit med relevanta underlag för regionalpol</w:t>
      </w:r>
      <w:r w:rsidRPr="00780485">
        <w:t>i</w:t>
      </w:r>
      <w:r w:rsidRPr="00780485">
        <w:t xml:space="preserve">tiska beslut. </w:t>
      </w:r>
    </w:p>
    <w:p w:rsidR="007A6E3D" w:rsidRPr="00780485" w:rsidRDefault="007A6E3D">
      <w:pPr>
        <w:pStyle w:val="Rubrik2"/>
      </w:pPr>
      <w:bookmarkStart w:id="107" w:name="_Toc515097903"/>
      <w:bookmarkStart w:id="108" w:name="_Toc526845451"/>
      <w:bookmarkStart w:id="109" w:name="_Toc526845773"/>
      <w:r w:rsidRPr="00780485">
        <w:t>Ny verksamhetsgrensindelning 2001</w:t>
      </w:r>
      <w:bookmarkEnd w:id="107"/>
      <w:bookmarkEnd w:id="108"/>
      <w:bookmarkEnd w:id="109"/>
    </w:p>
    <w:p w:rsidR="007A6E3D" w:rsidRPr="00780485" w:rsidRDefault="007A6E3D">
      <w:r w:rsidRPr="00780485">
        <w:t>Inför budgetåret 2001 ändrades Glesbygdsverkets verksamhetsgrensinde</w:t>
      </w:r>
      <w:r w:rsidRPr="00780485">
        <w:t>l</w:t>
      </w:r>
      <w:r w:rsidRPr="00780485">
        <w:t>ning. My</w:t>
      </w:r>
      <w:r w:rsidRPr="00780485">
        <w:t>n</w:t>
      </w:r>
      <w:r w:rsidRPr="00780485">
        <w:t xml:space="preserve">digheten har numera följande verksamhetsgrenar: </w:t>
      </w:r>
    </w:p>
    <w:p w:rsidR="007A6E3D" w:rsidRPr="00780485" w:rsidRDefault="007A6E3D">
      <w:pPr>
        <w:pStyle w:val="Normaltindrag"/>
        <w:numPr>
          <w:ilvl w:val="0"/>
          <w:numId w:val="120"/>
        </w:numPr>
      </w:pPr>
      <w:r w:rsidRPr="00780485">
        <w:rPr>
          <w:i/>
        </w:rPr>
        <w:t>Sektorssamordning av centrala statliga organ.</w:t>
      </w:r>
      <w:r w:rsidRPr="00780485">
        <w:t xml:space="preserve"> Målet är att verka för samordning av gles- och landsbygdsinsatser, främst inom områdena a</w:t>
      </w:r>
      <w:r w:rsidRPr="00780485">
        <w:t>r</w:t>
      </w:r>
      <w:r w:rsidRPr="00780485">
        <w:t>bete, utbildning, service och i</w:t>
      </w:r>
      <w:r w:rsidRPr="00780485">
        <w:t>n</w:t>
      </w:r>
      <w:r w:rsidRPr="00780485">
        <w:t xml:space="preserve">frastruktur. </w:t>
      </w:r>
    </w:p>
    <w:p w:rsidR="007A6E3D" w:rsidRPr="00780485" w:rsidRDefault="007A6E3D">
      <w:pPr>
        <w:pStyle w:val="Normaltindrag"/>
        <w:numPr>
          <w:ilvl w:val="0"/>
          <w:numId w:val="120"/>
        </w:numPr>
      </w:pPr>
      <w:r w:rsidRPr="00780485">
        <w:rPr>
          <w:i/>
        </w:rPr>
        <w:t xml:space="preserve">Kunskapsförmedling. </w:t>
      </w:r>
      <w:r w:rsidRPr="00780485">
        <w:t>För verksamhetsgrenen finns delmålen ”Analys och uppföljning” samt att ”stödja och informera organ som har betyde</w:t>
      </w:r>
      <w:r w:rsidRPr="00780485">
        <w:t>l</w:t>
      </w:r>
      <w:r w:rsidRPr="00780485">
        <w:t>se för gles- och landsbygdens utveckling så att dessa på ett effektivt sätt kan fullgöra sina uppgi</w:t>
      </w:r>
      <w:r w:rsidRPr="00780485">
        <w:t>f</w:t>
      </w:r>
      <w:r w:rsidRPr="00780485">
        <w:t>ter”.</w:t>
      </w:r>
    </w:p>
    <w:p w:rsidR="007A6E3D" w:rsidRPr="00780485" w:rsidRDefault="007A6E3D">
      <w:pPr>
        <w:pStyle w:val="Normaltindrag"/>
        <w:numPr>
          <w:ilvl w:val="0"/>
          <w:numId w:val="120"/>
        </w:numPr>
      </w:pPr>
      <w:r w:rsidRPr="00780485">
        <w:rPr>
          <w:i/>
        </w:rPr>
        <w:t>Stöd till program och processer.</w:t>
      </w:r>
      <w:r w:rsidRPr="00780485">
        <w:t xml:space="preserve"> För verksamhetsgrenen finns delmålen: 1. Att avslutningen av EG:s strukturfondsprogram för mål 5b och g</w:t>
      </w:r>
      <w:r w:rsidRPr="00780485">
        <w:t>e</w:t>
      </w:r>
      <w:r w:rsidRPr="00780485">
        <w:t>menskapsinitiativet LEADER II samt genomförandet av det nya geme</w:t>
      </w:r>
      <w:r w:rsidRPr="00780485">
        <w:t>n</w:t>
      </w:r>
      <w:r w:rsidRPr="00780485">
        <w:t>skapsinitiativet LEADER+ blir effektivt och i överensstämmelse med nationella regionalpolitiska mål. 2. Glesbygdsverket ska deltaga som rådgivare och informatör i pågående regionala processer genom insatser inom sitt kompetensområde och därmed vara en aktiv part i genomf</w:t>
      </w:r>
      <w:r w:rsidRPr="00780485">
        <w:t>ö</w:t>
      </w:r>
      <w:r w:rsidRPr="00780485">
        <w:t>randet av regionala tillvä</w:t>
      </w:r>
      <w:r w:rsidRPr="00780485">
        <w:t>x</w:t>
      </w:r>
      <w:r w:rsidRPr="00780485">
        <w:t>tavtal.</w:t>
      </w:r>
    </w:p>
    <w:p w:rsidR="007A6E3D" w:rsidRPr="00780485" w:rsidRDefault="007A6E3D">
      <w:r w:rsidRPr="00780485">
        <w:t>Vid samtal med Näringsdepartementet</w:t>
      </w:r>
      <w:r w:rsidRPr="00780485">
        <w:t xml:space="preserve"> har framkommit att förändringen av verksamhetsgrensindelningen främst var av teknisk karaktär och inte var ämnad att ändra på inriktningen av Glesbygdsverkets ver</w:t>
      </w:r>
      <w:r w:rsidRPr="00780485">
        <w:t>k</w:t>
      </w:r>
      <w:r w:rsidRPr="00780485">
        <w:t>samhet.</w:t>
      </w:r>
    </w:p>
    <w:p w:rsidR="007A6E3D" w:rsidRPr="00780485" w:rsidRDefault="007A6E3D">
      <w:pPr>
        <w:pStyle w:val="Rubrik1"/>
      </w:pPr>
      <w:r w:rsidRPr="00780485">
        <w:br w:type="page"/>
      </w:r>
      <w:bookmarkStart w:id="110" w:name="_Toc493052221"/>
      <w:bookmarkStart w:id="111" w:name="_Toc515097904"/>
      <w:bookmarkStart w:id="112" w:name="_Toc526845452"/>
      <w:bookmarkStart w:id="113" w:name="_Toc526845774"/>
      <w:r w:rsidRPr="00780485">
        <w:t>Regionalpolitikens organisation</w:t>
      </w:r>
      <w:bookmarkEnd w:id="110"/>
      <w:bookmarkEnd w:id="111"/>
      <w:bookmarkEnd w:id="112"/>
      <w:bookmarkEnd w:id="113"/>
    </w:p>
    <w:p w:rsidR="007A6E3D" w:rsidRPr="00780485" w:rsidRDefault="007A6E3D">
      <w:r w:rsidRPr="00780485">
        <w:t>De myndigheter och organ som är verksamma inom det regionalpolitiska området är förutom Glesbygdsverket främst länsstyrelserna, de regionala självstyrelseorganen i vissa län och de från den 1 januari 2001 nya myndi</w:t>
      </w:r>
      <w:r w:rsidRPr="00780485">
        <w:t>g</w:t>
      </w:r>
      <w:r w:rsidRPr="00780485">
        <w:t>heterna Verket för näringslivsutveckling (NUTEK) och Institutet för tillväx</w:t>
      </w:r>
      <w:r w:rsidRPr="00780485">
        <w:t>t</w:t>
      </w:r>
      <w:r w:rsidRPr="00780485">
        <w:t>politiska studier (ITPS). Ansvaret för att genomföra och administrera de olika regionalpolitiska åtgärderna på regional nivå vilar i huvudsak på län</w:t>
      </w:r>
      <w:r w:rsidRPr="00780485">
        <w:t>s</w:t>
      </w:r>
      <w:r w:rsidRPr="00780485">
        <w:t>styrelserna eller i förekommande fall de regionala självstyrelseorganen, medan Verket för näringslivsutveckling (NUTEK) har det övergripande ansvaret på nationellt nivå. NUTEK ska dessutom följa upp regionala u</w:t>
      </w:r>
      <w:r w:rsidRPr="00780485">
        <w:t>t</w:t>
      </w:r>
      <w:r w:rsidRPr="00780485">
        <w:t xml:space="preserve">vecklingsinsatser och stödja de regionala aktörerna i deras arbete. </w:t>
      </w:r>
    </w:p>
    <w:p w:rsidR="007A6E3D" w:rsidRPr="00780485" w:rsidRDefault="007A6E3D">
      <w:pPr>
        <w:pStyle w:val="Normaltindrag"/>
      </w:pPr>
      <w:r w:rsidRPr="00780485">
        <w:t>Glesby</w:t>
      </w:r>
      <w:r w:rsidRPr="00780485">
        <w:t>gdsverket och ITPS har främst uppgiften att producera och sprida kunskap inom politikområdet för att främja en effektiv användning av o</w:t>
      </w:r>
      <w:r w:rsidRPr="00780485">
        <w:t>f</w:t>
      </w:r>
      <w:r w:rsidRPr="00780485">
        <w:t>fentliga medel samt för att uppnå eftersträvade e</w:t>
      </w:r>
      <w:r w:rsidRPr="00780485">
        <w:t>f</w:t>
      </w:r>
      <w:r w:rsidRPr="00780485">
        <w:t xml:space="preserve">fekter. </w:t>
      </w:r>
    </w:p>
    <w:p w:rsidR="007A6E3D" w:rsidRPr="00780485" w:rsidRDefault="007A6E3D">
      <w:pPr>
        <w:pStyle w:val="Normaltindrag"/>
      </w:pPr>
      <w:r w:rsidRPr="00780485">
        <w:t>Regionalpolitikens två övergripande mål är tillväxt och fördelning. Inn</w:t>
      </w:r>
      <w:r w:rsidRPr="00780485">
        <w:t>e</w:t>
      </w:r>
      <w:r w:rsidRPr="00780485">
        <w:t>hållet i regionalpolitiken kan beskrivas utifrån åtgärder som syftar till att skapa förutsättningar för tillväxt i alla regioner och åtgärder som syftar till att åstadkomma en rimlig fördelning av välståndet mellan olika regioner. Som redovisats ovan kan medlen för att nå de regionalpolitiska målen delas in i tre delar: regional stimulanspolitik, regional välfärdspolitik och regional stru</w:t>
      </w:r>
      <w:r w:rsidRPr="00780485">
        <w:t>k</w:t>
      </w:r>
      <w:r w:rsidRPr="00780485">
        <w:t>turpolitik.</w:t>
      </w:r>
    </w:p>
    <w:p w:rsidR="007A6E3D" w:rsidRPr="00780485" w:rsidRDefault="007A6E3D">
      <w:pPr>
        <w:pStyle w:val="t"/>
      </w:pPr>
      <w:r w:rsidRPr="00780485">
        <w:t>Figur 1. Regionalpolitiken indelad efter delmål och medel</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2012"/>
        <w:gridCol w:w="1006"/>
        <w:gridCol w:w="1006"/>
        <w:gridCol w:w="2142"/>
      </w:tblGrid>
      <w:tr w:rsidR="00000000" w:rsidRPr="00780485">
        <w:tblPrEx>
          <w:tblCellMar>
            <w:top w:w="0" w:type="dxa"/>
            <w:bottom w:w="0" w:type="dxa"/>
          </w:tblCellMar>
        </w:tblPrEx>
        <w:tc>
          <w:tcPr>
            <w:tcW w:w="3018" w:type="dxa"/>
            <w:gridSpan w:val="2"/>
          </w:tcPr>
          <w:p w:rsidR="007A6E3D" w:rsidRPr="00780485" w:rsidRDefault="007A6E3D">
            <w:pPr>
              <w:pStyle w:val="Tabell"/>
            </w:pPr>
            <w:r w:rsidRPr="00780485">
              <w:t>Fördelning</w:t>
            </w:r>
          </w:p>
        </w:tc>
        <w:tc>
          <w:tcPr>
            <w:tcW w:w="3148" w:type="dxa"/>
            <w:gridSpan w:val="2"/>
          </w:tcPr>
          <w:p w:rsidR="007A6E3D" w:rsidRPr="00780485" w:rsidRDefault="007A6E3D">
            <w:pPr>
              <w:pStyle w:val="Tabell"/>
            </w:pPr>
            <w:r w:rsidRPr="00780485">
              <w:t>Tillväxt</w:t>
            </w:r>
          </w:p>
        </w:tc>
      </w:tr>
      <w:tr w:rsidR="00000000" w:rsidRPr="00780485">
        <w:tblPrEx>
          <w:tblCellMar>
            <w:top w:w="0" w:type="dxa"/>
            <w:bottom w:w="0" w:type="dxa"/>
          </w:tblCellMar>
        </w:tblPrEx>
        <w:tc>
          <w:tcPr>
            <w:tcW w:w="2012" w:type="dxa"/>
          </w:tcPr>
          <w:p w:rsidR="007A6E3D" w:rsidRPr="00780485" w:rsidRDefault="007A6E3D">
            <w:pPr>
              <w:pStyle w:val="Tabell"/>
            </w:pPr>
            <w:r w:rsidRPr="00780485">
              <w:t>Välfärdspolitik</w:t>
            </w:r>
          </w:p>
        </w:tc>
        <w:tc>
          <w:tcPr>
            <w:tcW w:w="2012" w:type="dxa"/>
            <w:gridSpan w:val="2"/>
          </w:tcPr>
          <w:p w:rsidR="007A6E3D" w:rsidRPr="00780485" w:rsidRDefault="007A6E3D">
            <w:pPr>
              <w:pStyle w:val="Tabell"/>
            </w:pPr>
            <w:r w:rsidRPr="00780485">
              <w:t>Strukturpolitik</w:t>
            </w:r>
          </w:p>
        </w:tc>
        <w:tc>
          <w:tcPr>
            <w:tcW w:w="2142" w:type="dxa"/>
          </w:tcPr>
          <w:p w:rsidR="007A6E3D" w:rsidRPr="00780485" w:rsidRDefault="007A6E3D">
            <w:pPr>
              <w:pStyle w:val="Tabell"/>
            </w:pPr>
            <w:r w:rsidRPr="00780485">
              <w:t>Stimulanspol</w:t>
            </w:r>
            <w:r w:rsidRPr="00780485">
              <w:t>i</w:t>
            </w:r>
            <w:r w:rsidRPr="00780485">
              <w:t>tik</w:t>
            </w:r>
          </w:p>
        </w:tc>
      </w:tr>
    </w:tbl>
    <w:p w:rsidR="007A6E3D" w:rsidRPr="00780485" w:rsidRDefault="007A6E3D">
      <w:r w:rsidRPr="00780485">
        <w:t xml:space="preserve">Det finns inga tydliga gränser mellan dessa regionalpolitiska medel. Många åtgärder kan ha betydelse för en rad olika mål och kan därmed ses ur olika perspektiv. En satsning på vägnätet kan t.ex. gynna näringslivet och resultera i högre tillväxt samtidigt som den också kan leda till ökad välfärd i form av ökad tillgänglighet till service. </w:t>
      </w:r>
    </w:p>
    <w:p w:rsidR="007A6E3D" w:rsidRPr="00780485" w:rsidRDefault="007A6E3D">
      <w:pPr>
        <w:pStyle w:val="e"/>
      </w:pPr>
      <w:r w:rsidRPr="00780485">
        <w:t>Syftet med ovanstående indelning av regionalpolitiken är att den ska tjäna som en modell för att beskriva hur ansvarsfördelningen ser ut mellan Gle</w:t>
      </w:r>
      <w:r w:rsidRPr="00780485">
        <w:t>s</w:t>
      </w:r>
      <w:r w:rsidRPr="00780485">
        <w:t>bygdsverket och övriga statliga aktörer inom sektorn. För att kunna analysera de olika aktörernas ansvarsområden i förhållande till Glesbygdsverkets ver</w:t>
      </w:r>
      <w:r w:rsidRPr="00780485">
        <w:t>k</w:t>
      </w:r>
      <w:r w:rsidRPr="00780485">
        <w:t xml:space="preserve">samhet krävs dock att </w:t>
      </w:r>
      <w:r w:rsidRPr="00780485">
        <w:rPr>
          <w:i/>
        </w:rPr>
        <w:t>medlen</w:t>
      </w:r>
      <w:r w:rsidRPr="00780485">
        <w:t xml:space="preserve"> för att nå de regionalpolitiska målen preciseras ytterl</w:t>
      </w:r>
      <w:r w:rsidRPr="00780485">
        <w:t>i</w:t>
      </w:r>
      <w:r w:rsidRPr="00780485">
        <w:t xml:space="preserve">gare. Man bör skilja på </w:t>
      </w:r>
    </w:p>
    <w:p w:rsidR="007A6E3D" w:rsidRPr="00780485" w:rsidRDefault="007A6E3D">
      <w:pPr>
        <w:pStyle w:val="Normaltindrag"/>
        <w:numPr>
          <w:ilvl w:val="0"/>
          <w:numId w:val="148"/>
        </w:numPr>
      </w:pPr>
      <w:r w:rsidRPr="00780485">
        <w:t>genomförandet av regionalpolitiska insatser, dvs. finansiering, adminis</w:t>
      </w:r>
      <w:r w:rsidRPr="00780485">
        <w:t>t</w:t>
      </w:r>
      <w:r w:rsidRPr="00780485">
        <w:t>ration eller ansvar för att driva regionalpolitiska åtgärder (u</w:t>
      </w:r>
      <w:r w:rsidRPr="00780485">
        <w:t>t</w:t>
      </w:r>
      <w:r w:rsidRPr="00780485">
        <w:t>föra),</w:t>
      </w:r>
    </w:p>
    <w:p w:rsidR="007A6E3D" w:rsidRPr="00780485" w:rsidRDefault="007A6E3D">
      <w:pPr>
        <w:pStyle w:val="Normaltindrag"/>
        <w:numPr>
          <w:ilvl w:val="0"/>
          <w:numId w:val="148"/>
        </w:numPr>
      </w:pPr>
      <w:r w:rsidRPr="00780485">
        <w:t>att producera kunskap om olika regionalpolitiska medel i främjande syfte, dvs. vad som kan beskrivas som att effektivisera regionalpolitiska insatser (främja) samt</w:t>
      </w:r>
    </w:p>
    <w:p w:rsidR="007A6E3D" w:rsidRPr="00780485" w:rsidRDefault="007A6E3D">
      <w:pPr>
        <w:pStyle w:val="Normaltindrag"/>
        <w:numPr>
          <w:ilvl w:val="0"/>
          <w:numId w:val="148"/>
        </w:numPr>
      </w:pPr>
      <w:r w:rsidRPr="00780485">
        <w:t>uppgiften att följa utvecklingen inom olika sektorer och regioner ur ett regionalpolitiskt perspe</w:t>
      </w:r>
      <w:r w:rsidRPr="00780485">
        <w:t>k</w:t>
      </w:r>
      <w:r w:rsidRPr="00780485">
        <w:t xml:space="preserve">tiv (följa). </w:t>
      </w:r>
    </w:p>
    <w:p w:rsidR="007A6E3D" w:rsidRPr="00780485" w:rsidRDefault="007A6E3D">
      <w:r w:rsidRPr="00780485">
        <w:br w:type="page"/>
        <w:t>I figur 2 åskådliggörs regionalpolitiken schematiskt indelad efter delmål, medel och regionalpolitiska uppgifter.</w:t>
      </w:r>
    </w:p>
    <w:p w:rsidR="007A6E3D" w:rsidRPr="00780485" w:rsidRDefault="007A6E3D">
      <w:pPr>
        <w:pStyle w:val="t"/>
      </w:pPr>
      <w:r w:rsidRPr="00780485">
        <w:t>Figur 2. Regionalpolitiken indelad efter delmål, medel och uppgifter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1630"/>
        <w:gridCol w:w="1559"/>
        <w:gridCol w:w="992"/>
        <w:gridCol w:w="425"/>
        <w:gridCol w:w="1701"/>
      </w:tblGrid>
      <w:tr w:rsidR="00000000" w:rsidRPr="00780485">
        <w:tblPrEx>
          <w:tblCellMar>
            <w:top w:w="0" w:type="dxa"/>
            <w:bottom w:w="0" w:type="dxa"/>
          </w:tblCellMar>
        </w:tblPrEx>
        <w:tc>
          <w:tcPr>
            <w:tcW w:w="1630" w:type="dxa"/>
          </w:tcPr>
          <w:p w:rsidR="007A6E3D" w:rsidRPr="00780485" w:rsidRDefault="007A6E3D">
            <w:pPr>
              <w:pStyle w:val="Tabell"/>
            </w:pPr>
          </w:p>
        </w:tc>
        <w:tc>
          <w:tcPr>
            <w:tcW w:w="2551" w:type="dxa"/>
            <w:gridSpan w:val="2"/>
          </w:tcPr>
          <w:p w:rsidR="007A6E3D" w:rsidRPr="00780485" w:rsidRDefault="007A6E3D">
            <w:pPr>
              <w:pStyle w:val="Tabell"/>
            </w:pPr>
            <w:r w:rsidRPr="00780485">
              <w:t>Fördelning</w:t>
            </w:r>
          </w:p>
        </w:tc>
        <w:tc>
          <w:tcPr>
            <w:tcW w:w="2126" w:type="dxa"/>
            <w:gridSpan w:val="2"/>
          </w:tcPr>
          <w:p w:rsidR="007A6E3D" w:rsidRPr="00780485" w:rsidRDefault="007A6E3D">
            <w:pPr>
              <w:pStyle w:val="Tabell"/>
            </w:pPr>
            <w:r w:rsidRPr="00780485">
              <w:t>Tillväxt</w:t>
            </w:r>
          </w:p>
        </w:tc>
      </w:tr>
      <w:tr w:rsidR="00000000" w:rsidRPr="00780485">
        <w:tblPrEx>
          <w:tblCellMar>
            <w:top w:w="0" w:type="dxa"/>
            <w:bottom w:w="0" w:type="dxa"/>
          </w:tblCellMar>
        </w:tblPrEx>
        <w:tc>
          <w:tcPr>
            <w:tcW w:w="1630" w:type="dxa"/>
          </w:tcPr>
          <w:p w:rsidR="007A6E3D" w:rsidRPr="00780485" w:rsidRDefault="007A6E3D">
            <w:pPr>
              <w:pStyle w:val="Tabell"/>
            </w:pPr>
          </w:p>
        </w:tc>
        <w:tc>
          <w:tcPr>
            <w:tcW w:w="1559" w:type="dxa"/>
          </w:tcPr>
          <w:p w:rsidR="007A6E3D" w:rsidRPr="00780485" w:rsidRDefault="007A6E3D">
            <w:pPr>
              <w:pStyle w:val="Tabell"/>
            </w:pPr>
            <w:r w:rsidRPr="00780485">
              <w:t>Välfärd</w:t>
            </w:r>
            <w:r w:rsidRPr="00780485">
              <w:t>s</w:t>
            </w:r>
            <w:r w:rsidRPr="00780485">
              <w:t>politik</w:t>
            </w:r>
          </w:p>
        </w:tc>
        <w:tc>
          <w:tcPr>
            <w:tcW w:w="1417" w:type="dxa"/>
            <w:gridSpan w:val="2"/>
          </w:tcPr>
          <w:p w:rsidR="007A6E3D" w:rsidRPr="00780485" w:rsidRDefault="007A6E3D">
            <w:pPr>
              <w:pStyle w:val="Tabell"/>
            </w:pPr>
            <w:r w:rsidRPr="00780485">
              <w:t>Strukturpol</w:t>
            </w:r>
            <w:r w:rsidRPr="00780485">
              <w:t>i</w:t>
            </w:r>
            <w:r w:rsidRPr="00780485">
              <w:t>tik</w:t>
            </w:r>
          </w:p>
        </w:tc>
        <w:tc>
          <w:tcPr>
            <w:tcW w:w="1701" w:type="dxa"/>
          </w:tcPr>
          <w:p w:rsidR="007A6E3D" w:rsidRPr="00780485" w:rsidRDefault="007A6E3D">
            <w:pPr>
              <w:pStyle w:val="Tabell"/>
            </w:pPr>
            <w:r w:rsidRPr="00780485">
              <w:t>Stimulanspol</w:t>
            </w:r>
            <w:r w:rsidRPr="00780485">
              <w:t>i</w:t>
            </w:r>
            <w:r w:rsidRPr="00780485">
              <w:t>tik</w:t>
            </w:r>
          </w:p>
        </w:tc>
      </w:tr>
      <w:tr w:rsidR="00000000" w:rsidRPr="00780485">
        <w:tblPrEx>
          <w:tblCellMar>
            <w:top w:w="0" w:type="dxa"/>
            <w:bottom w:w="0" w:type="dxa"/>
          </w:tblCellMar>
        </w:tblPrEx>
        <w:tc>
          <w:tcPr>
            <w:tcW w:w="1630" w:type="dxa"/>
          </w:tcPr>
          <w:p w:rsidR="007A6E3D" w:rsidRPr="00780485" w:rsidRDefault="007A6E3D">
            <w:pPr>
              <w:pStyle w:val="Tabell"/>
            </w:pPr>
            <w:r w:rsidRPr="00780485">
              <w:t>Utföra regionalpol</w:t>
            </w:r>
            <w:r w:rsidRPr="00780485">
              <w:t>i</w:t>
            </w:r>
            <w:r w:rsidRPr="00780485">
              <w:t>tiska insatser</w:t>
            </w:r>
          </w:p>
        </w:tc>
        <w:tc>
          <w:tcPr>
            <w:tcW w:w="1559" w:type="dxa"/>
          </w:tcPr>
          <w:p w:rsidR="007A6E3D" w:rsidRPr="00780485" w:rsidRDefault="007A6E3D">
            <w:pPr>
              <w:pStyle w:val="Tabell"/>
            </w:pPr>
          </w:p>
        </w:tc>
        <w:tc>
          <w:tcPr>
            <w:tcW w:w="1417" w:type="dxa"/>
            <w:gridSpan w:val="2"/>
          </w:tcPr>
          <w:p w:rsidR="007A6E3D" w:rsidRPr="00780485" w:rsidRDefault="007A6E3D">
            <w:pPr>
              <w:pStyle w:val="Tabell"/>
            </w:pPr>
          </w:p>
        </w:tc>
        <w:tc>
          <w:tcPr>
            <w:tcW w:w="1701" w:type="dxa"/>
          </w:tcPr>
          <w:p w:rsidR="007A6E3D" w:rsidRPr="00780485" w:rsidRDefault="007A6E3D">
            <w:pPr>
              <w:pStyle w:val="Tabell"/>
            </w:pPr>
          </w:p>
        </w:tc>
      </w:tr>
      <w:tr w:rsidR="00000000" w:rsidRPr="00780485">
        <w:tblPrEx>
          <w:tblCellMar>
            <w:top w:w="0" w:type="dxa"/>
            <w:bottom w:w="0" w:type="dxa"/>
          </w:tblCellMar>
        </w:tblPrEx>
        <w:tc>
          <w:tcPr>
            <w:tcW w:w="1630" w:type="dxa"/>
          </w:tcPr>
          <w:p w:rsidR="007A6E3D" w:rsidRPr="00780485" w:rsidRDefault="007A6E3D">
            <w:pPr>
              <w:pStyle w:val="Tabell"/>
            </w:pPr>
            <w:r w:rsidRPr="00780485">
              <w:t>Främja</w:t>
            </w:r>
          </w:p>
        </w:tc>
        <w:tc>
          <w:tcPr>
            <w:tcW w:w="1559" w:type="dxa"/>
          </w:tcPr>
          <w:p w:rsidR="007A6E3D" w:rsidRPr="00780485" w:rsidRDefault="007A6E3D">
            <w:pPr>
              <w:pStyle w:val="Tabell"/>
            </w:pPr>
          </w:p>
        </w:tc>
        <w:tc>
          <w:tcPr>
            <w:tcW w:w="1417" w:type="dxa"/>
            <w:gridSpan w:val="2"/>
          </w:tcPr>
          <w:p w:rsidR="007A6E3D" w:rsidRPr="00780485" w:rsidRDefault="007A6E3D">
            <w:pPr>
              <w:pStyle w:val="Tabell"/>
            </w:pPr>
          </w:p>
        </w:tc>
        <w:tc>
          <w:tcPr>
            <w:tcW w:w="1701" w:type="dxa"/>
          </w:tcPr>
          <w:p w:rsidR="007A6E3D" w:rsidRPr="00780485" w:rsidRDefault="007A6E3D">
            <w:pPr>
              <w:pStyle w:val="Tabell"/>
            </w:pPr>
          </w:p>
        </w:tc>
      </w:tr>
      <w:tr w:rsidR="00000000" w:rsidRPr="00780485">
        <w:tblPrEx>
          <w:tblCellMar>
            <w:top w:w="0" w:type="dxa"/>
            <w:bottom w:w="0" w:type="dxa"/>
          </w:tblCellMar>
        </w:tblPrEx>
        <w:tc>
          <w:tcPr>
            <w:tcW w:w="1630" w:type="dxa"/>
          </w:tcPr>
          <w:p w:rsidR="007A6E3D" w:rsidRPr="00780485" w:rsidRDefault="007A6E3D">
            <w:pPr>
              <w:pStyle w:val="Tabell"/>
            </w:pPr>
            <w:r w:rsidRPr="00780485">
              <w:t>Följa</w:t>
            </w:r>
          </w:p>
        </w:tc>
        <w:tc>
          <w:tcPr>
            <w:tcW w:w="1559" w:type="dxa"/>
          </w:tcPr>
          <w:p w:rsidR="007A6E3D" w:rsidRPr="00780485" w:rsidRDefault="007A6E3D">
            <w:pPr>
              <w:pStyle w:val="Tabell"/>
            </w:pPr>
          </w:p>
        </w:tc>
        <w:tc>
          <w:tcPr>
            <w:tcW w:w="1417" w:type="dxa"/>
            <w:gridSpan w:val="2"/>
          </w:tcPr>
          <w:p w:rsidR="007A6E3D" w:rsidRPr="00780485" w:rsidRDefault="007A6E3D">
            <w:pPr>
              <w:pStyle w:val="Tabell"/>
            </w:pPr>
          </w:p>
        </w:tc>
        <w:tc>
          <w:tcPr>
            <w:tcW w:w="1701" w:type="dxa"/>
          </w:tcPr>
          <w:p w:rsidR="007A6E3D" w:rsidRPr="00780485" w:rsidRDefault="007A6E3D">
            <w:pPr>
              <w:pStyle w:val="Tabell"/>
            </w:pPr>
          </w:p>
        </w:tc>
      </w:tr>
    </w:tbl>
    <w:p w:rsidR="007A6E3D" w:rsidRPr="00780485" w:rsidRDefault="007A6E3D">
      <w:pPr>
        <w:pStyle w:val="Rubrik2"/>
      </w:pPr>
      <w:bookmarkStart w:id="114" w:name="_Toc515097905"/>
      <w:bookmarkStart w:id="115" w:name="_Toc526845453"/>
      <w:bookmarkStart w:id="116" w:name="_Toc526845775"/>
      <w:r w:rsidRPr="00780485">
        <w:t>Omorganisation av regionalpolitikens myndighetsstruktur</w:t>
      </w:r>
      <w:bookmarkEnd w:id="114"/>
      <w:bookmarkEnd w:id="115"/>
      <w:bookmarkEnd w:id="116"/>
    </w:p>
    <w:p w:rsidR="007A6E3D" w:rsidRPr="00780485" w:rsidRDefault="007A6E3D">
      <w:r w:rsidRPr="00780485">
        <w:t>Den 1 januari 2001 genomfördes en stor omorganisation av den centrala myndighetsstrukturen på det närings- och regionalpolitiska området. Tre nya myndigheter bildades: en nationell myndighet för företagsutveckling (Verket för näringslivsutveckling), en myndighet för analyser, omvärldsbevakning och utvärdering (Institutet för tillväxtpolitiska studier) samt en myndighet för forskning och utveckling (Verket för innovationssy</w:t>
      </w:r>
      <w:r w:rsidRPr="00780485">
        <w:t>s</w:t>
      </w:r>
      <w:r w:rsidRPr="00780485">
        <w:t xml:space="preserve">tem). </w:t>
      </w:r>
    </w:p>
    <w:p w:rsidR="007A6E3D" w:rsidRPr="00780485" w:rsidRDefault="007A6E3D">
      <w:pPr>
        <w:pStyle w:val="Normaltindrag"/>
      </w:pPr>
      <w:r w:rsidRPr="00780485">
        <w:t>Bildandet av de tre nya myndigheterna innebär att Närings- och tekniku</w:t>
      </w:r>
      <w:r w:rsidRPr="00780485">
        <w:t>t</w:t>
      </w:r>
      <w:r w:rsidRPr="00780485">
        <w:t>vecklingsverket (gamla NUTEK) delats i tre delar till vilka verksamhet som tidigare bedrivits av Statens institut för regionalforskning (SIR), Sveriges Tekniska attachéer (STATT), Kommunikationsforskningsberedningen (KFB) och delar av Rådet för arbetslivsforskning (RALF) förts. Inom det regiona</w:t>
      </w:r>
      <w:r w:rsidRPr="00780485">
        <w:t>l</w:t>
      </w:r>
      <w:r w:rsidRPr="00780485">
        <w:t>politiska området innebar detta en tydligare uppdelning mellan utförandet av de regionalpolitiska insatserna och utvärderingen av insa</w:t>
      </w:r>
      <w:r w:rsidRPr="00780485">
        <w:t>t</w:t>
      </w:r>
      <w:r w:rsidRPr="00780485">
        <w:t>serna.</w:t>
      </w:r>
    </w:p>
    <w:p w:rsidR="007A6E3D" w:rsidRPr="00780485" w:rsidRDefault="007A6E3D">
      <w:pPr>
        <w:pStyle w:val="Normaltindrag"/>
      </w:pPr>
      <w:r w:rsidRPr="00780485">
        <w:t>Riksdagen har ställt sig bakom bildandet av Verket för näringslivsutvec</w:t>
      </w:r>
      <w:r w:rsidRPr="00780485">
        <w:t>k</w:t>
      </w:r>
      <w:r w:rsidRPr="00780485">
        <w:t>ling och Institutet för tillväxtpolitiska studier i enlighet med de riktlinje som redovisades i proposition 1999/2000:71 om vissa organisationsfrågor inom näringspolitiken (bet. 1999/2000:NU17, rskr. 1999/2000:258). Under våren 2000 ställde sig riksdagen även bakom bildandet av Verket för innovation</w:t>
      </w:r>
      <w:r w:rsidRPr="00780485">
        <w:t>s</w:t>
      </w:r>
      <w:r w:rsidRPr="00780485">
        <w:t xml:space="preserve">system genom beslut i enlighet med förslaget i proposition 1999/2000:81 om forskning för framtiden – en ny organisation för forskningsfinansiering (bet. 1999/2000:UbU17, rskr. 1999/2000:257). </w:t>
      </w:r>
    </w:p>
    <w:p w:rsidR="007A6E3D" w:rsidRPr="00780485" w:rsidRDefault="007A6E3D">
      <w:pPr>
        <w:pStyle w:val="Normaltindrag"/>
        <w:shd w:val="clear" w:color="auto" w:fill="FFFFFF"/>
      </w:pPr>
      <w:r w:rsidRPr="00780485">
        <w:t>Under hösten 1999</w:t>
      </w:r>
      <w:r w:rsidRPr="00780485">
        <w:t xml:space="preserve"> och 2000 har näringsutskottet behandlat flera motioner som rör Glesbygdsverkets uppdrag. Förslag har väckts om att föra över N</w:t>
      </w:r>
      <w:r w:rsidRPr="00780485">
        <w:t>U</w:t>
      </w:r>
      <w:r w:rsidRPr="00780485">
        <w:t>TEK:s regionalpolitiska verksamhet till Glesbygdsverket och om inrättandet av en glesbygdsombudsman. Dessutom har förslag väckts om att Glesbygd</w:t>
      </w:r>
      <w:r w:rsidRPr="00780485">
        <w:t>s</w:t>
      </w:r>
      <w:r w:rsidRPr="00780485">
        <w:t>verket bör ges i uppdrag att utreda situationen för homo- och bisexuella i landsbygd och glesbygd. Utskottet har valt att a</w:t>
      </w:r>
      <w:r w:rsidRPr="00780485">
        <w:t>v</w:t>
      </w:r>
      <w:r w:rsidRPr="00780485">
        <w:t xml:space="preserve">styrka samtliga motioner. </w:t>
      </w:r>
    </w:p>
    <w:p w:rsidR="007A6E3D" w:rsidRPr="00780485" w:rsidRDefault="007A6E3D">
      <w:pPr>
        <w:pStyle w:val="Normaltindrag"/>
        <w:shd w:val="clear" w:color="auto" w:fill="FFFFFF"/>
      </w:pPr>
      <w:r w:rsidRPr="00780485">
        <w:t>Med anledning av motionerna om den regionalpolitiska myndighetsorgan</w:t>
      </w:r>
      <w:r w:rsidRPr="00780485">
        <w:t>i</w:t>
      </w:r>
      <w:r w:rsidRPr="00780485">
        <w:t>sationen uttalade utskottet under hösten 1999 att man ansåg att det är av stor vikt att myndighetsorganisationen på det regionalpolitiska området fungerar effektivt. Utskottet pekade på att behovet av samordning och samsyn i regi</w:t>
      </w:r>
      <w:r w:rsidRPr="00780485">
        <w:t>o</w:t>
      </w:r>
      <w:r w:rsidRPr="00780485">
        <w:t>nalpolitiska frågor kan lösas genom ett ökat och mera fast organiserat sama</w:t>
      </w:r>
      <w:r w:rsidRPr="00780485">
        <w:t>r</w:t>
      </w:r>
      <w:r w:rsidRPr="00780485">
        <w:t>bete mellan de myndigheter som har regionalpolitiska uppgifter. Vidare hänvisades till det då pågående utredningsarbetet angående myndighetsorg</w:t>
      </w:r>
      <w:r w:rsidRPr="00780485">
        <w:t>a</w:t>
      </w:r>
      <w:r w:rsidRPr="00780485">
        <w:t>nisationen inom det närings- och regionalpolitiska området (b</w:t>
      </w:r>
      <w:r w:rsidRPr="00780485">
        <w:t>et. 1999/2000:NU2). Under hösten 2000 avstyrktes motionerna med hänvisning till den regionalpolitiska proposition som regeringen förväntas lägga fram för riksdagens b</w:t>
      </w:r>
      <w:r w:rsidRPr="00780485">
        <w:t>e</w:t>
      </w:r>
      <w:r w:rsidRPr="00780485">
        <w:t xml:space="preserve">handling under hösten 2001 (bet. 2000/01:NU2). </w:t>
      </w:r>
    </w:p>
    <w:p w:rsidR="007A6E3D" w:rsidRPr="00780485" w:rsidRDefault="007A6E3D">
      <w:pPr>
        <w:pStyle w:val="Rubrik2"/>
      </w:pPr>
      <w:bookmarkStart w:id="117" w:name="_Toc515097906"/>
      <w:bookmarkStart w:id="118" w:name="_Toc526845454"/>
      <w:bookmarkStart w:id="119" w:name="_Toc526845776"/>
      <w:r w:rsidRPr="00780485">
        <w:t>Verket för innovationssystem</w:t>
      </w:r>
      <w:bookmarkEnd w:id="117"/>
      <w:bookmarkEnd w:id="118"/>
      <w:bookmarkEnd w:id="119"/>
    </w:p>
    <w:p w:rsidR="007A6E3D" w:rsidRPr="00780485" w:rsidRDefault="007A6E3D">
      <w:r w:rsidRPr="00780485">
        <w:t>Av Verket för innovationssystems instruktion framgår att verket ska främja utvecklingen av effektiva svenska innovationssystem inom verksamhetso</w:t>
      </w:r>
      <w:r w:rsidRPr="00780485">
        <w:t>m</w:t>
      </w:r>
      <w:r w:rsidRPr="00780485">
        <w:t>rådena teknik, transport, kommunikation och arbetsliv. Med inn</w:t>
      </w:r>
      <w:r w:rsidRPr="00780485">
        <w:t>o</w:t>
      </w:r>
      <w:r w:rsidRPr="00780485">
        <w:t>vations-system avses nätverk av offentliga och privata aktörer där ny teknik och kunskap produceras, sprids och a</w:t>
      </w:r>
      <w:r w:rsidRPr="00780485">
        <w:t>n</w:t>
      </w:r>
      <w:r w:rsidRPr="00780485">
        <w:t>vänds.</w:t>
      </w:r>
    </w:p>
    <w:p w:rsidR="007A6E3D" w:rsidRPr="00780485" w:rsidRDefault="007A6E3D">
      <w:pPr>
        <w:pStyle w:val="Normaltindrag"/>
      </w:pPr>
      <w:r w:rsidRPr="00780485">
        <w:t>Verket har även till uppgift att kartlägga kunskapsbehov, initiera och f</w:t>
      </w:r>
      <w:r w:rsidRPr="00780485">
        <w:t>i</w:t>
      </w:r>
      <w:r w:rsidRPr="00780485">
        <w:t>nansiera behovsmotiverade forsknings-, utvecklings- och demonstration</w:t>
      </w:r>
      <w:r w:rsidRPr="00780485">
        <w:t>s</w:t>
      </w:r>
      <w:r w:rsidRPr="00780485">
        <w:t>projekt, liksom att verka för att kunskaper sprids och nyttiggörs.</w:t>
      </w:r>
    </w:p>
    <w:p w:rsidR="007A6E3D" w:rsidRPr="00780485" w:rsidRDefault="007A6E3D">
      <w:pPr>
        <w:pStyle w:val="Normaltindrag"/>
      </w:pPr>
      <w:r w:rsidRPr="00780485">
        <w:t>Verket ska, enligt instruktionen, samverka med berörda regionala, nati</w:t>
      </w:r>
      <w:r w:rsidRPr="00780485">
        <w:t>o</w:t>
      </w:r>
      <w:r w:rsidRPr="00780485">
        <w:t xml:space="preserve">nella och internationella aktörer. Särskilt ska samverkan ske med Verket för näringslivsutveckling och Institutet för tillväxtpolitiska studier (SFS 2000:1132). </w:t>
      </w:r>
    </w:p>
    <w:p w:rsidR="007A6E3D" w:rsidRPr="00780485" w:rsidRDefault="007A6E3D">
      <w:pPr>
        <w:pStyle w:val="Rubrik2"/>
      </w:pPr>
      <w:bookmarkStart w:id="120" w:name="_Toc515097907"/>
      <w:bookmarkStart w:id="121" w:name="_Toc526845455"/>
      <w:bookmarkStart w:id="122" w:name="_Toc526845777"/>
      <w:r w:rsidRPr="00780485">
        <w:t>Verket för näringslivsutveckling</w:t>
      </w:r>
      <w:bookmarkEnd w:id="120"/>
      <w:bookmarkEnd w:id="121"/>
      <w:bookmarkEnd w:id="122"/>
    </w:p>
    <w:p w:rsidR="007A6E3D" w:rsidRPr="00780485" w:rsidRDefault="007A6E3D">
      <w:r w:rsidRPr="00780485">
        <w:t>Verket för näringslivsutveckling (NUTEK) arbetar med utgångspunkt i de regionalpolitiska och näringspolitiska mål som riksdagen fastställt. Verket ska i så stor utsträckning som det är möjligt integrera arbetet mellan dessa båda politikområden i verksamheten (Statsliggaren 2001). Verket ska särskilt samverka med Verket för innovationssystem och Institutet för tillväxtpoliti</w:t>
      </w:r>
      <w:r w:rsidRPr="00780485">
        <w:t>s</w:t>
      </w:r>
      <w:r w:rsidRPr="00780485">
        <w:t>ka st</w:t>
      </w:r>
      <w:r w:rsidRPr="00780485">
        <w:t>u</w:t>
      </w:r>
      <w:r w:rsidRPr="00780485">
        <w:t>dier (SFS 2000:1178).</w:t>
      </w:r>
    </w:p>
    <w:p w:rsidR="007A6E3D" w:rsidRPr="00780485" w:rsidRDefault="007A6E3D">
      <w:pPr>
        <w:pStyle w:val="Normaltindrag"/>
      </w:pPr>
      <w:r w:rsidRPr="00780485">
        <w:t>Verket för näringslivsutveckling har övertagit Närings- och teknikutvec</w:t>
      </w:r>
      <w:r w:rsidRPr="00780485">
        <w:t>k</w:t>
      </w:r>
      <w:r w:rsidRPr="00780485">
        <w:t>lingsverkets uppgifter inom regionalpolitiken inklusive EG:s strukturfonder (prop. 2001/01:01). NUTEK är vidare den centrala myndighet som har ett övergripande ansvar för de regionala tillväxtavtalen. Myndigheten ska stödja och bidra till utvecklingen av den regionala näringspolitiken samt främja ökad samordning mellan aktörer med anknytning till företagsutvec</w:t>
      </w:r>
      <w:r w:rsidRPr="00780485">
        <w:t>k</w:t>
      </w:r>
      <w:r w:rsidRPr="00780485">
        <w:t>ling.</w:t>
      </w:r>
    </w:p>
    <w:p w:rsidR="007A6E3D" w:rsidRPr="00780485" w:rsidRDefault="007A6E3D">
      <w:pPr>
        <w:pStyle w:val="Normaltindrag"/>
      </w:pPr>
      <w:r w:rsidRPr="00780485">
        <w:t xml:space="preserve">NUTEK har tre verksamhetsgrenar: företagsfinansiering, information och rådgivning samt stöd till program och processer. </w:t>
      </w:r>
    </w:p>
    <w:p w:rsidR="007A6E3D" w:rsidRPr="00780485" w:rsidRDefault="007A6E3D">
      <w:pPr>
        <w:pStyle w:val="Normaltindrag"/>
      </w:pPr>
      <w:r w:rsidRPr="00780485">
        <w:t>Verksamhetsgrenen information och rådgivning handlar om att ge företag och företagare lättillgänglig och samlad information samt viss marknad</w:t>
      </w:r>
      <w:r w:rsidRPr="00780485">
        <w:t>s</w:t>
      </w:r>
      <w:r w:rsidRPr="00780485">
        <w:t>kompletterande rådgivning. Denna verksamhet berörs främst av de näring</w:t>
      </w:r>
      <w:r w:rsidRPr="00780485">
        <w:t>s</w:t>
      </w:r>
      <w:r w:rsidRPr="00780485">
        <w:t>politiska målen. För verksamhetsgrenarna företagsfinansiering och stöd till program och processer finns både näringspolitiska och regionalpolitiska mål prec</w:t>
      </w:r>
      <w:r w:rsidRPr="00780485">
        <w:t>i</w:t>
      </w:r>
      <w:r w:rsidRPr="00780485">
        <w:t xml:space="preserve">serade. </w:t>
      </w:r>
    </w:p>
    <w:p w:rsidR="007A6E3D" w:rsidRPr="00780485" w:rsidRDefault="007A6E3D">
      <w:pPr>
        <w:pStyle w:val="Rubrik5"/>
        <w:rPr>
          <w:i/>
        </w:rPr>
      </w:pPr>
      <w:r w:rsidRPr="00780485">
        <w:rPr>
          <w:i/>
        </w:rPr>
        <w:t>Företagsfinansiering</w:t>
      </w:r>
    </w:p>
    <w:p w:rsidR="007A6E3D" w:rsidRPr="00780485" w:rsidRDefault="007A6E3D">
      <w:r w:rsidRPr="00780485">
        <w:t>Företagsfinansieringen inriktas på tidiga utvecklingsskeden och finansiering för tillväxt. Tillsammans med ALMI Företagspartner AB utgör NUTEK ett nationellt kompetenscentrum för företagsutveckling, entreprenörskap och fina</w:t>
      </w:r>
      <w:r w:rsidRPr="00780485">
        <w:t>n</w:t>
      </w:r>
      <w:r w:rsidRPr="00780485">
        <w:t xml:space="preserve">siering. </w:t>
      </w:r>
    </w:p>
    <w:p w:rsidR="007A6E3D" w:rsidRPr="00780485" w:rsidRDefault="007A6E3D">
      <w:pPr>
        <w:pStyle w:val="Normaltindrag"/>
      </w:pPr>
      <w:r w:rsidRPr="00780485">
        <w:t>Det regionalpolitiska målet för NUTEK:s verksamhet inom verksamhet</w:t>
      </w:r>
      <w:r w:rsidRPr="00780485">
        <w:t>s</w:t>
      </w:r>
      <w:r w:rsidRPr="00780485">
        <w:t>grenen företagsfinansiering är att medverka till tillväxt i stödföretagen och därmed bidra till att åstadkomma nya va</w:t>
      </w:r>
      <w:r w:rsidRPr="00780485">
        <w:t>r</w:t>
      </w:r>
      <w:r w:rsidRPr="00780485">
        <w:t xml:space="preserve">aktiga arbetstillfällen. </w:t>
      </w:r>
    </w:p>
    <w:p w:rsidR="007A6E3D" w:rsidRPr="00780485" w:rsidRDefault="007A6E3D">
      <w:pPr>
        <w:pStyle w:val="Rubrik5"/>
        <w:rPr>
          <w:i/>
        </w:rPr>
      </w:pPr>
      <w:r w:rsidRPr="00780485">
        <w:rPr>
          <w:i/>
        </w:rPr>
        <w:t>Stöd till program och processer</w:t>
      </w:r>
    </w:p>
    <w:p w:rsidR="007A6E3D" w:rsidRPr="00780485" w:rsidRDefault="007A6E3D">
      <w:r w:rsidRPr="00780485">
        <w:t>De regionalpolitiska målen för NUTEK:s verksamhet inom verksamhetsgr</w:t>
      </w:r>
      <w:r w:rsidRPr="00780485">
        <w:t>e</w:t>
      </w:r>
      <w:r w:rsidRPr="00780485">
        <w:t>nen är att</w:t>
      </w:r>
    </w:p>
    <w:p w:rsidR="007A6E3D" w:rsidRPr="00780485" w:rsidRDefault="007A6E3D">
      <w:pPr>
        <w:pStyle w:val="Normaltindrag"/>
        <w:numPr>
          <w:ilvl w:val="0"/>
          <w:numId w:val="135"/>
        </w:numPr>
      </w:pPr>
      <w:r w:rsidRPr="00780485">
        <w:t>medverka till att genomförandet av de geografiskt avgränsade pr</w:t>
      </w:r>
      <w:r w:rsidRPr="00780485">
        <w:t>o</w:t>
      </w:r>
      <w:r w:rsidRPr="00780485">
        <w:t>grammen inom EG:s strukturfonder sker effektivt och i överensstä</w:t>
      </w:r>
      <w:r w:rsidRPr="00780485">
        <w:t>m</w:t>
      </w:r>
      <w:r w:rsidRPr="00780485">
        <w:t>melse med nationella regi</w:t>
      </w:r>
      <w:r w:rsidRPr="00780485">
        <w:t>o</w:t>
      </w:r>
      <w:r w:rsidRPr="00780485">
        <w:t>nalpolitiska mål,</w:t>
      </w:r>
    </w:p>
    <w:p w:rsidR="007A6E3D" w:rsidRPr="00780485" w:rsidRDefault="007A6E3D">
      <w:pPr>
        <w:pStyle w:val="Normaltindrag"/>
        <w:numPr>
          <w:ilvl w:val="0"/>
          <w:numId w:val="135"/>
        </w:numPr>
      </w:pPr>
      <w:r w:rsidRPr="00780485">
        <w:t>påskynda arbetet med utbetalningar från Europeiska regionala fonden under per</w:t>
      </w:r>
      <w:r w:rsidRPr="00780485">
        <w:t>i</w:t>
      </w:r>
      <w:r w:rsidRPr="00780485">
        <w:t>oden 1995</w:t>
      </w:r>
      <w:r w:rsidRPr="00780485">
        <w:noBreakHyphen/>
        <w:t>1999,</w:t>
      </w:r>
    </w:p>
    <w:p w:rsidR="007A6E3D" w:rsidRPr="00780485" w:rsidRDefault="007A6E3D">
      <w:pPr>
        <w:pStyle w:val="Normaltindrag"/>
        <w:numPr>
          <w:ilvl w:val="0"/>
          <w:numId w:val="135"/>
        </w:numPr>
      </w:pPr>
      <w:r w:rsidRPr="00780485">
        <w:t>utveckla metoder för regionala utvecklingsstrategier och programarbete tillsammans med berörda organ samt metoder för att åtgärder inom ski</w:t>
      </w:r>
      <w:r w:rsidRPr="00780485">
        <w:t>l</w:t>
      </w:r>
      <w:r w:rsidRPr="00780485">
        <w:t>da sektorer ska leda till en hållbar ekonomisk tillväxt och en balanserad regional u</w:t>
      </w:r>
      <w:r w:rsidRPr="00780485">
        <w:t>t</w:t>
      </w:r>
      <w:r w:rsidRPr="00780485">
        <w:t>veckling,</w:t>
      </w:r>
    </w:p>
    <w:p w:rsidR="007A6E3D" w:rsidRPr="00780485" w:rsidRDefault="007A6E3D">
      <w:pPr>
        <w:pStyle w:val="Normaltindrag"/>
        <w:numPr>
          <w:ilvl w:val="0"/>
          <w:numId w:val="135"/>
        </w:numPr>
      </w:pPr>
      <w:r w:rsidRPr="00780485">
        <w:t>initiera och stödja projekt som bidrar till att utveckla näringslivet i främst nationella st</w:t>
      </w:r>
      <w:r w:rsidRPr="00780485">
        <w:t>ö</w:t>
      </w:r>
      <w:r w:rsidRPr="00780485">
        <w:t>dområden och EG:s strukturfondsområden.</w:t>
      </w:r>
    </w:p>
    <w:p w:rsidR="007A6E3D" w:rsidRPr="00780485" w:rsidRDefault="007A6E3D">
      <w:r w:rsidRPr="00780485">
        <w:t>En genomgång av NUTEK:s uppdrag inom politikområdet regionalpolitik visar att myndigheten har centrala uppgifter vad gäller både att främja den regionalpolitiska utvecklingen genom att finansiera olika insatser samt g</w:t>
      </w:r>
      <w:r w:rsidRPr="00780485">
        <w:t>e</w:t>
      </w:r>
      <w:r w:rsidRPr="00780485">
        <w:t>nom att producera kunskap om regionalpolitiska insatser och vad gäller att följa</w:t>
      </w:r>
      <w:r w:rsidRPr="00780485">
        <w:rPr>
          <w:i/>
        </w:rPr>
        <w:t xml:space="preserve"> </w:t>
      </w:r>
      <w:r w:rsidRPr="00780485">
        <w:t>den regionalpolitiska utvecklin</w:t>
      </w:r>
      <w:r w:rsidRPr="00780485">
        <w:t>g</w:t>
      </w:r>
      <w:r w:rsidRPr="00780485">
        <w:t xml:space="preserve">en. </w:t>
      </w:r>
    </w:p>
    <w:p w:rsidR="007A6E3D" w:rsidRPr="00780485" w:rsidRDefault="007A6E3D">
      <w:pPr>
        <w:pStyle w:val="Rubrik5"/>
        <w:rPr>
          <w:i/>
        </w:rPr>
      </w:pPr>
      <w:r w:rsidRPr="00780485">
        <w:rPr>
          <w:i/>
        </w:rPr>
        <w:t>Uppdrag att främja den regionalpolitiska utvecklingen</w:t>
      </w:r>
    </w:p>
    <w:p w:rsidR="007A6E3D" w:rsidRPr="00780485" w:rsidRDefault="007A6E3D">
      <w:r w:rsidRPr="00780485">
        <w:t>De främjande insatserna består dels av att bedriva och finansiera regionalp</w:t>
      </w:r>
      <w:r w:rsidRPr="00780485">
        <w:t>o</w:t>
      </w:r>
      <w:r w:rsidRPr="00780485">
        <w:t>litiska åtgärder, dels av att via stöd och erfarenhetsspridning medverka till att länsstyrelser och regionala självstyrelseorgan effektiviserar sina regionalp</w:t>
      </w:r>
      <w:r w:rsidRPr="00780485">
        <w:t>o</w:t>
      </w:r>
      <w:r w:rsidRPr="00780485">
        <w:t>litiska åtgärder. Som exempel på de främjande aktiviteter som verket bedr</w:t>
      </w:r>
      <w:r w:rsidRPr="00780485">
        <w:t>i</w:t>
      </w:r>
      <w:r w:rsidRPr="00780485">
        <w:t>ver kan nämnas att N</w:t>
      </w:r>
      <w:r w:rsidRPr="00780485">
        <w:t>U</w:t>
      </w:r>
      <w:r w:rsidRPr="00780485">
        <w:t xml:space="preserve">TEK </w:t>
      </w:r>
    </w:p>
    <w:p w:rsidR="007A6E3D" w:rsidRPr="00780485" w:rsidRDefault="007A6E3D">
      <w:pPr>
        <w:pStyle w:val="Normaltindrag"/>
        <w:numPr>
          <w:ilvl w:val="0"/>
          <w:numId w:val="73"/>
        </w:numPr>
      </w:pPr>
      <w:r w:rsidRPr="00780485">
        <w:t>disponerar anslag inom politikområdet regionalpolitik till en samma</w:t>
      </w:r>
      <w:r w:rsidRPr="00780485">
        <w:t>n</w:t>
      </w:r>
      <w:r w:rsidRPr="00780485">
        <w:t>lagd summa av ca 1,4 miljarder kronor</w:t>
      </w:r>
      <w:r w:rsidRPr="00780485">
        <w:rPr>
          <w:rStyle w:val="Fotnotsreferens"/>
        </w:rPr>
        <w:footnoteReference w:id="5"/>
      </w:r>
      <w:r w:rsidRPr="00780485">
        <w:t>.</w:t>
      </w:r>
    </w:p>
    <w:p w:rsidR="007A6E3D" w:rsidRPr="00780485" w:rsidRDefault="007A6E3D">
      <w:pPr>
        <w:pStyle w:val="Normaltindrag"/>
        <w:numPr>
          <w:ilvl w:val="0"/>
          <w:numId w:val="73"/>
        </w:numPr>
      </w:pPr>
      <w:r w:rsidRPr="00780485">
        <w:t>är den myndighet som har det övergripande ansvaret på central myndi</w:t>
      </w:r>
      <w:r w:rsidRPr="00780485">
        <w:t>g</w:t>
      </w:r>
      <w:r w:rsidRPr="00780485">
        <w:t>hetsnivå för arbetet med tillväxtavtalen. Verket ska utveckla kunskaper och metoder för regional näringslivsutveckling och bistå lokal och reg</w:t>
      </w:r>
      <w:r w:rsidRPr="00780485">
        <w:t>i</w:t>
      </w:r>
      <w:r w:rsidRPr="00780485">
        <w:t>onal nivå med metodstöd i anslutning till genomförandet av de regionala til</w:t>
      </w:r>
      <w:r w:rsidRPr="00780485">
        <w:t>l</w:t>
      </w:r>
      <w:r w:rsidRPr="00780485">
        <w:t xml:space="preserve">växtavtalen. </w:t>
      </w:r>
    </w:p>
    <w:p w:rsidR="007A6E3D" w:rsidRPr="00780485" w:rsidRDefault="007A6E3D">
      <w:pPr>
        <w:pStyle w:val="Normaltindrag"/>
        <w:numPr>
          <w:ilvl w:val="0"/>
          <w:numId w:val="73"/>
        </w:numPr>
      </w:pPr>
      <w:r w:rsidRPr="00780485">
        <w:t>är den myndighet som det övergripande ansvaret på central myndighet</w:t>
      </w:r>
      <w:r w:rsidRPr="00780485">
        <w:t>s</w:t>
      </w:r>
      <w:r w:rsidRPr="00780485">
        <w:t>nivå för den ver</w:t>
      </w:r>
      <w:r w:rsidRPr="00780485">
        <w:t>k</w:t>
      </w:r>
      <w:r w:rsidRPr="00780485">
        <w:t xml:space="preserve">samhet som bedrivs inom strukturfondsprogrammen. </w:t>
      </w:r>
    </w:p>
    <w:p w:rsidR="007A6E3D" w:rsidRPr="00780485" w:rsidRDefault="007A6E3D">
      <w:pPr>
        <w:pStyle w:val="Normaltindrag"/>
        <w:numPr>
          <w:ilvl w:val="0"/>
          <w:numId w:val="73"/>
        </w:numPr>
      </w:pPr>
      <w:r w:rsidRPr="00780485">
        <w:t>ska samordna länsstyrelsernas, de lokala självstyrelseorganen samt det egna kval</w:t>
      </w:r>
      <w:r w:rsidRPr="00780485">
        <w:t>i</w:t>
      </w:r>
      <w:r w:rsidRPr="00780485">
        <w:t xml:space="preserve">tetsarbetet avseende regionalpolitiskt företagsstöd. </w:t>
      </w:r>
    </w:p>
    <w:p w:rsidR="007A6E3D" w:rsidRPr="00780485" w:rsidRDefault="007A6E3D">
      <w:pPr>
        <w:pStyle w:val="Normaltindrag"/>
        <w:numPr>
          <w:ilvl w:val="0"/>
          <w:numId w:val="73"/>
        </w:numPr>
      </w:pPr>
      <w:r w:rsidRPr="00780485">
        <w:t>tillsammans med Boverket är huvudansvarigt för det svenska sekret</w:t>
      </w:r>
      <w:r w:rsidRPr="00780485">
        <w:t>a</w:t>
      </w:r>
      <w:r w:rsidRPr="00780485">
        <w:t>riatet i EU:s samarbete om regional utvecklingsplanering (ESPD). Syftet med den rumsliga och funktionella utvecklingsplaneringen är att åsta</w:t>
      </w:r>
      <w:r w:rsidRPr="00780485">
        <w:t>d</w:t>
      </w:r>
      <w:r w:rsidRPr="00780485">
        <w:t>komma en balanserad och hållbar utveckling för Europeiska unionens territorium (Statsliggaren 2001).</w:t>
      </w:r>
    </w:p>
    <w:p w:rsidR="007A6E3D" w:rsidRPr="00780485" w:rsidRDefault="007A6E3D">
      <w:pPr>
        <w:pStyle w:val="Rubrik5"/>
        <w:rPr>
          <w:i/>
        </w:rPr>
      </w:pPr>
      <w:r w:rsidRPr="00780485">
        <w:rPr>
          <w:i/>
        </w:rPr>
        <w:t>Uppdrag att följa den regionalpolitiska utvecklingen</w:t>
      </w:r>
    </w:p>
    <w:p w:rsidR="007A6E3D" w:rsidRPr="00780485" w:rsidRDefault="007A6E3D">
      <w:r w:rsidRPr="00780485">
        <w:t>NUTEK:s arbete med att följa utvecklingen inom politikområdet regionalp</w:t>
      </w:r>
      <w:r w:rsidRPr="00780485">
        <w:t>o</w:t>
      </w:r>
      <w:r w:rsidRPr="00780485">
        <w:t>litik kretsar i stor utsträckning kring att på nationell nivå beskriva hur de regionalpolitiska medlen används samt vad åtgärderna förväntas leda till för effekter. Vidare ska verket bistå Institutet för tillväxtpolitiska studier (ITPS) och Post- och telestyrelsen (PTS) i deras uppdrag att beskriva den regionala utvecklingen. Som exempel på aktiviteter som verket bedriver för att följa utvecklingen inom det regionalpolitiska området kan nämnas att NUTEK</w:t>
      </w:r>
    </w:p>
    <w:p w:rsidR="007A6E3D" w:rsidRPr="00780485" w:rsidRDefault="007A6E3D">
      <w:pPr>
        <w:pStyle w:val="Normaltindrag"/>
        <w:numPr>
          <w:ilvl w:val="0"/>
          <w:numId w:val="75"/>
        </w:numPr>
      </w:pPr>
      <w:r w:rsidRPr="00780485">
        <w:t>ska bistå PTS med kompetens att analysera den pågåend</w:t>
      </w:r>
      <w:r w:rsidRPr="00780485">
        <w:t>e utbyggnaden av IT-infrastruktur med hög överföringshastighet från regional utvec</w:t>
      </w:r>
      <w:r w:rsidRPr="00780485">
        <w:t>k</w:t>
      </w:r>
      <w:r w:rsidRPr="00780485">
        <w:t xml:space="preserve">lingssynpunkt. </w:t>
      </w:r>
    </w:p>
    <w:p w:rsidR="007A6E3D" w:rsidRPr="00780485" w:rsidRDefault="007A6E3D">
      <w:pPr>
        <w:pStyle w:val="Normaltindrag"/>
        <w:numPr>
          <w:ilvl w:val="0"/>
          <w:numId w:val="75"/>
        </w:numPr>
      </w:pPr>
      <w:r w:rsidRPr="00780485">
        <w:t>ska redovisa och kommentera projekt som bidrar till att utveckla n</w:t>
      </w:r>
      <w:r w:rsidRPr="00780485">
        <w:t>ä</w:t>
      </w:r>
      <w:r w:rsidRPr="00780485">
        <w:t>ringslivet i n</w:t>
      </w:r>
      <w:r w:rsidRPr="00780485">
        <w:t>a</w:t>
      </w:r>
      <w:r w:rsidRPr="00780485">
        <w:t>tionella stödområden och EG:s strukturfondsområden.</w:t>
      </w:r>
    </w:p>
    <w:p w:rsidR="007A6E3D" w:rsidRPr="00780485" w:rsidRDefault="007A6E3D">
      <w:pPr>
        <w:pStyle w:val="Normaltindrag"/>
        <w:numPr>
          <w:ilvl w:val="0"/>
          <w:numId w:val="75"/>
        </w:numPr>
      </w:pPr>
      <w:r w:rsidRPr="00780485">
        <w:t xml:space="preserve">ska bistå ITPS i uppdraget att beskriva den regionala utvecklingen i Sverige under 2000. </w:t>
      </w:r>
    </w:p>
    <w:p w:rsidR="007A6E3D" w:rsidRPr="00780485" w:rsidRDefault="007A6E3D">
      <w:pPr>
        <w:pStyle w:val="Normaltindrag"/>
        <w:numPr>
          <w:ilvl w:val="0"/>
          <w:numId w:val="75"/>
        </w:numPr>
      </w:pPr>
      <w:r w:rsidRPr="00780485">
        <w:t>ska redovisa hur länsstyrelser och självstyrelseorgan använt de regiona</w:t>
      </w:r>
      <w:r w:rsidRPr="00780485">
        <w:t>l</w:t>
      </w:r>
      <w:r w:rsidRPr="00780485">
        <w:t>politiska medlen samt redovisa förväntade effekter på den inomregi</w:t>
      </w:r>
      <w:r w:rsidRPr="00780485">
        <w:t>o</w:t>
      </w:r>
      <w:r w:rsidRPr="00780485">
        <w:t xml:space="preserve">nala balansen. </w:t>
      </w:r>
    </w:p>
    <w:p w:rsidR="007A6E3D" w:rsidRPr="00780485" w:rsidRDefault="007A6E3D">
      <w:r w:rsidRPr="00780485">
        <w:t>I nedanstående figur beskrivs översiktligt inom vilka delar av regionalpolit</w:t>
      </w:r>
      <w:r w:rsidRPr="00780485">
        <w:t>i</w:t>
      </w:r>
      <w:r w:rsidRPr="00780485">
        <w:t>kens delområden som NUTEK kan sägas ha sina huvudsakliga uppgifter. Uppdelningen av NUTEK:s verksamhet på delområden är grov. Att mark</w:t>
      </w:r>
      <w:r w:rsidRPr="00780485">
        <w:t>e</w:t>
      </w:r>
      <w:r w:rsidRPr="00780485">
        <w:t>ring saknas i den välfärdspolitiska kolumnen ska inte tolkas som att myndi</w:t>
      </w:r>
      <w:r w:rsidRPr="00780485">
        <w:t>g</w:t>
      </w:r>
      <w:r w:rsidRPr="00780485">
        <w:t>heten överhuvudtaget inte berör den regionala välfärdspolitiken. I stället ska figuren tolkas som att den övervägande delen av de regionalpolitiska insatser som NUTEK bedriver kan hänföras till til</w:t>
      </w:r>
      <w:r w:rsidRPr="00780485">
        <w:t>l</w:t>
      </w:r>
      <w:r w:rsidRPr="00780485">
        <w:t xml:space="preserve">växtpolitiken. </w:t>
      </w:r>
    </w:p>
    <w:p w:rsidR="007A6E3D" w:rsidRPr="00780485" w:rsidRDefault="007A6E3D">
      <w:pPr>
        <w:pStyle w:val="t"/>
      </w:pPr>
      <w:r w:rsidRPr="00780485">
        <w:t xml:space="preserve">Figur 3. NUTEK:s ansvarsområden inom regionalpolitiken </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1630"/>
        <w:gridCol w:w="1417"/>
        <w:gridCol w:w="709"/>
        <w:gridCol w:w="709"/>
        <w:gridCol w:w="1559"/>
      </w:tblGrid>
      <w:tr w:rsidR="00000000" w:rsidRPr="00780485">
        <w:tblPrEx>
          <w:tblCellMar>
            <w:top w:w="0" w:type="dxa"/>
            <w:bottom w:w="0" w:type="dxa"/>
          </w:tblCellMar>
        </w:tblPrEx>
        <w:tc>
          <w:tcPr>
            <w:tcW w:w="1630" w:type="dxa"/>
          </w:tcPr>
          <w:p w:rsidR="007A6E3D" w:rsidRPr="00780485" w:rsidRDefault="007A6E3D">
            <w:pPr>
              <w:pStyle w:val="Tabell"/>
            </w:pPr>
          </w:p>
        </w:tc>
        <w:tc>
          <w:tcPr>
            <w:tcW w:w="2126" w:type="dxa"/>
            <w:gridSpan w:val="2"/>
          </w:tcPr>
          <w:p w:rsidR="007A6E3D" w:rsidRPr="00780485" w:rsidRDefault="007A6E3D">
            <w:pPr>
              <w:pStyle w:val="Tabell"/>
            </w:pPr>
            <w:r w:rsidRPr="00780485">
              <w:t>Fördelning</w:t>
            </w:r>
          </w:p>
        </w:tc>
        <w:tc>
          <w:tcPr>
            <w:tcW w:w="2268" w:type="dxa"/>
            <w:gridSpan w:val="2"/>
          </w:tcPr>
          <w:p w:rsidR="007A6E3D" w:rsidRPr="00780485" w:rsidRDefault="007A6E3D">
            <w:pPr>
              <w:pStyle w:val="Tabell"/>
            </w:pPr>
            <w:r w:rsidRPr="00780485">
              <w:t>Tillväxt</w:t>
            </w:r>
          </w:p>
        </w:tc>
      </w:tr>
      <w:tr w:rsidR="00000000" w:rsidRPr="00780485">
        <w:tblPrEx>
          <w:tblCellMar>
            <w:top w:w="0" w:type="dxa"/>
            <w:bottom w:w="0" w:type="dxa"/>
          </w:tblCellMar>
        </w:tblPrEx>
        <w:tc>
          <w:tcPr>
            <w:tcW w:w="1630" w:type="dxa"/>
          </w:tcPr>
          <w:p w:rsidR="007A6E3D" w:rsidRPr="00780485" w:rsidRDefault="007A6E3D">
            <w:pPr>
              <w:pStyle w:val="Tabell"/>
            </w:pPr>
          </w:p>
        </w:tc>
        <w:tc>
          <w:tcPr>
            <w:tcW w:w="1417" w:type="dxa"/>
          </w:tcPr>
          <w:p w:rsidR="007A6E3D" w:rsidRPr="00780485" w:rsidRDefault="007A6E3D">
            <w:pPr>
              <w:pStyle w:val="Tabell"/>
            </w:pPr>
            <w:r w:rsidRPr="00780485">
              <w:t>Välfärdspol</w:t>
            </w:r>
            <w:r w:rsidRPr="00780485">
              <w:t>i</w:t>
            </w:r>
            <w:r w:rsidRPr="00780485">
              <w:t>tik</w:t>
            </w:r>
          </w:p>
        </w:tc>
        <w:tc>
          <w:tcPr>
            <w:tcW w:w="1418" w:type="dxa"/>
            <w:gridSpan w:val="2"/>
          </w:tcPr>
          <w:p w:rsidR="007A6E3D" w:rsidRPr="00780485" w:rsidRDefault="007A6E3D">
            <w:pPr>
              <w:pStyle w:val="Tabell"/>
            </w:pPr>
            <w:r w:rsidRPr="00780485">
              <w:t>Strukturpol</w:t>
            </w:r>
            <w:r w:rsidRPr="00780485">
              <w:t>i</w:t>
            </w:r>
            <w:r w:rsidRPr="00780485">
              <w:t>tik</w:t>
            </w:r>
          </w:p>
        </w:tc>
        <w:tc>
          <w:tcPr>
            <w:tcW w:w="1559" w:type="dxa"/>
          </w:tcPr>
          <w:p w:rsidR="007A6E3D" w:rsidRPr="00780485" w:rsidRDefault="007A6E3D">
            <w:pPr>
              <w:pStyle w:val="Tabell"/>
            </w:pPr>
            <w:r w:rsidRPr="00780485">
              <w:t>Stimulanspol</w:t>
            </w:r>
            <w:r w:rsidRPr="00780485">
              <w:t>i</w:t>
            </w:r>
            <w:r w:rsidRPr="00780485">
              <w:t>tik</w:t>
            </w:r>
          </w:p>
        </w:tc>
      </w:tr>
      <w:tr w:rsidR="00000000" w:rsidRPr="00780485">
        <w:tblPrEx>
          <w:tblCellMar>
            <w:top w:w="0" w:type="dxa"/>
            <w:bottom w:w="0" w:type="dxa"/>
          </w:tblCellMar>
        </w:tblPrEx>
        <w:tc>
          <w:tcPr>
            <w:tcW w:w="1630" w:type="dxa"/>
          </w:tcPr>
          <w:p w:rsidR="007A6E3D" w:rsidRPr="00780485" w:rsidRDefault="007A6E3D">
            <w:pPr>
              <w:pStyle w:val="Tabell"/>
            </w:pPr>
            <w:r w:rsidRPr="00780485">
              <w:t>Utföra regionalpol</w:t>
            </w:r>
            <w:r w:rsidRPr="00780485">
              <w:t>i</w:t>
            </w:r>
            <w:r w:rsidRPr="00780485">
              <w:t>tiska insa</w:t>
            </w:r>
            <w:r w:rsidRPr="00780485">
              <w:t>t</w:t>
            </w:r>
            <w:r w:rsidRPr="00780485">
              <w:t>ser</w:t>
            </w:r>
          </w:p>
        </w:tc>
        <w:tc>
          <w:tcPr>
            <w:tcW w:w="1417" w:type="dxa"/>
          </w:tcPr>
          <w:p w:rsidR="007A6E3D" w:rsidRPr="00780485" w:rsidRDefault="007A6E3D">
            <w:pPr>
              <w:pStyle w:val="Tabell"/>
            </w:pPr>
          </w:p>
        </w:tc>
        <w:tc>
          <w:tcPr>
            <w:tcW w:w="1418" w:type="dxa"/>
            <w:gridSpan w:val="2"/>
          </w:tcPr>
          <w:p w:rsidR="007A6E3D" w:rsidRPr="00780485" w:rsidRDefault="007A6E3D">
            <w:pPr>
              <w:pStyle w:val="Tabell"/>
            </w:pPr>
            <w:r w:rsidRPr="00780485">
              <w:t>X</w:t>
            </w:r>
          </w:p>
        </w:tc>
        <w:tc>
          <w:tcPr>
            <w:tcW w:w="1559" w:type="dxa"/>
          </w:tcPr>
          <w:p w:rsidR="007A6E3D" w:rsidRPr="00780485" w:rsidRDefault="007A6E3D">
            <w:pPr>
              <w:pStyle w:val="Tabell"/>
            </w:pPr>
            <w:r w:rsidRPr="00780485">
              <w:t>X</w:t>
            </w:r>
          </w:p>
        </w:tc>
      </w:tr>
      <w:tr w:rsidR="00000000" w:rsidRPr="00780485">
        <w:tblPrEx>
          <w:tblCellMar>
            <w:top w:w="0" w:type="dxa"/>
            <w:bottom w:w="0" w:type="dxa"/>
          </w:tblCellMar>
        </w:tblPrEx>
        <w:tc>
          <w:tcPr>
            <w:tcW w:w="1630" w:type="dxa"/>
          </w:tcPr>
          <w:p w:rsidR="007A6E3D" w:rsidRPr="00780485" w:rsidRDefault="007A6E3D">
            <w:pPr>
              <w:pStyle w:val="Tabell"/>
            </w:pPr>
            <w:r w:rsidRPr="00780485">
              <w:t>Främja</w:t>
            </w:r>
          </w:p>
        </w:tc>
        <w:tc>
          <w:tcPr>
            <w:tcW w:w="1417" w:type="dxa"/>
          </w:tcPr>
          <w:p w:rsidR="007A6E3D" w:rsidRPr="00780485" w:rsidRDefault="007A6E3D">
            <w:pPr>
              <w:pStyle w:val="Tabell"/>
            </w:pPr>
          </w:p>
        </w:tc>
        <w:tc>
          <w:tcPr>
            <w:tcW w:w="1418" w:type="dxa"/>
            <w:gridSpan w:val="2"/>
          </w:tcPr>
          <w:p w:rsidR="007A6E3D" w:rsidRPr="00780485" w:rsidRDefault="007A6E3D">
            <w:pPr>
              <w:pStyle w:val="Tabell"/>
            </w:pPr>
            <w:r w:rsidRPr="00780485">
              <w:t>X</w:t>
            </w:r>
          </w:p>
        </w:tc>
        <w:tc>
          <w:tcPr>
            <w:tcW w:w="1559" w:type="dxa"/>
          </w:tcPr>
          <w:p w:rsidR="007A6E3D" w:rsidRPr="00780485" w:rsidRDefault="007A6E3D">
            <w:pPr>
              <w:pStyle w:val="Tabell"/>
            </w:pPr>
            <w:r w:rsidRPr="00780485">
              <w:t>X</w:t>
            </w:r>
          </w:p>
        </w:tc>
      </w:tr>
      <w:tr w:rsidR="00000000" w:rsidRPr="00780485">
        <w:tblPrEx>
          <w:tblCellMar>
            <w:top w:w="0" w:type="dxa"/>
            <w:bottom w:w="0" w:type="dxa"/>
          </w:tblCellMar>
        </w:tblPrEx>
        <w:tc>
          <w:tcPr>
            <w:tcW w:w="1630" w:type="dxa"/>
          </w:tcPr>
          <w:p w:rsidR="007A6E3D" w:rsidRPr="00780485" w:rsidRDefault="007A6E3D">
            <w:pPr>
              <w:pStyle w:val="Tabell"/>
            </w:pPr>
            <w:r w:rsidRPr="00780485">
              <w:t>Följa</w:t>
            </w:r>
          </w:p>
        </w:tc>
        <w:tc>
          <w:tcPr>
            <w:tcW w:w="1417" w:type="dxa"/>
          </w:tcPr>
          <w:p w:rsidR="007A6E3D" w:rsidRPr="00780485" w:rsidRDefault="007A6E3D">
            <w:pPr>
              <w:pStyle w:val="Tabell"/>
            </w:pPr>
          </w:p>
        </w:tc>
        <w:tc>
          <w:tcPr>
            <w:tcW w:w="1418" w:type="dxa"/>
            <w:gridSpan w:val="2"/>
          </w:tcPr>
          <w:p w:rsidR="007A6E3D" w:rsidRPr="00780485" w:rsidRDefault="007A6E3D">
            <w:pPr>
              <w:pStyle w:val="Tabell"/>
            </w:pPr>
            <w:r w:rsidRPr="00780485">
              <w:t>X</w:t>
            </w:r>
          </w:p>
        </w:tc>
        <w:tc>
          <w:tcPr>
            <w:tcW w:w="1559" w:type="dxa"/>
          </w:tcPr>
          <w:p w:rsidR="007A6E3D" w:rsidRPr="00780485" w:rsidRDefault="007A6E3D">
            <w:pPr>
              <w:pStyle w:val="Tabell"/>
            </w:pPr>
            <w:r w:rsidRPr="00780485">
              <w:t>X</w:t>
            </w:r>
          </w:p>
        </w:tc>
      </w:tr>
    </w:tbl>
    <w:p w:rsidR="007A6E3D" w:rsidRPr="00780485" w:rsidRDefault="007A6E3D">
      <w:pPr>
        <w:pStyle w:val="Rubrik2"/>
      </w:pPr>
      <w:bookmarkStart w:id="123" w:name="_Toc515097908"/>
      <w:bookmarkStart w:id="124" w:name="_Toc526845456"/>
      <w:bookmarkStart w:id="125" w:name="_Toc526845778"/>
      <w:r w:rsidRPr="00780485">
        <w:t>Institutet för tillväxtpolitiska studier</w:t>
      </w:r>
      <w:bookmarkEnd w:id="123"/>
      <w:bookmarkEnd w:id="124"/>
      <w:bookmarkEnd w:id="125"/>
    </w:p>
    <w:p w:rsidR="007A6E3D" w:rsidRPr="00780485" w:rsidRDefault="007A6E3D">
      <w:r w:rsidRPr="00780485">
        <w:t>Syftet med institutets verksamhet är att medverka till att målen inom de regionalpolitiska och näringspolitiska områdena nås. Institutet har övertagit den verksamhet som Statens institut för regionalforskning (SIR) tidigare bedrev. Institutet har även övertagit delar av Närings- och teknikutveckling</w:t>
      </w:r>
      <w:r w:rsidRPr="00780485">
        <w:t>s</w:t>
      </w:r>
      <w:r w:rsidRPr="00780485">
        <w:t>verkets verksamhet. Dessutom har de tekniska attachéerna inordnats i my</w:t>
      </w:r>
      <w:r w:rsidRPr="00780485">
        <w:t>n</w:t>
      </w:r>
      <w:r w:rsidRPr="00780485">
        <w:t>digheten. Bildandet av den nya myndigheten motiverades bl.a. av en önskan att sätta ökat  fokus på utvärderingar av insatser och program inom regiona</w:t>
      </w:r>
      <w:r w:rsidRPr="00780485">
        <w:t>l</w:t>
      </w:r>
      <w:r w:rsidRPr="00780485">
        <w:t>politiken, näringspolitiken och innovationspolitiken. Vidare ska institutet täcka tidigare brister i tillgången på tvärsektoriella och övergripande analyser med relevans för bl.a. regionalpolitiken samt brister i statistik och analyser av regionala effekter och andra samhällsekonomiska ko</w:t>
      </w:r>
      <w:r w:rsidRPr="00780485">
        <w:t>nsekvenser av pol</w:t>
      </w:r>
      <w:r w:rsidRPr="00780485">
        <w:t>i</w:t>
      </w:r>
      <w:r w:rsidRPr="00780485">
        <w:t>tiska initiativ (bet. 1999/2000:NU17).</w:t>
      </w:r>
    </w:p>
    <w:p w:rsidR="007A6E3D" w:rsidRPr="00780485" w:rsidRDefault="007A6E3D">
      <w:pPr>
        <w:pStyle w:val="Normaltindrag"/>
      </w:pPr>
      <w:r w:rsidRPr="00780485">
        <w:t>Enligt budgetpropositionen för 2000 blir myndighetens främsta uppgift att analysera och granska insatser inom olika politikområden ur ett tillväxt- och utvecklingsperspektiv för att ge kunskapsunderlag till Regeringskansliet och övriga beslutsfattare inom den statliga förvaltningen samt regionala organ och andra avnämare. I förhållande till regionalpolitikens två övergripande mål: tillväxt och fördelning ska Institutet för tillväxtpolitiska studier fr</w:t>
      </w:r>
      <w:r w:rsidRPr="00780485">
        <w:t>ämst fokusera på de</w:t>
      </w:r>
      <w:r w:rsidRPr="00780485">
        <w:t>l</w:t>
      </w:r>
      <w:r w:rsidRPr="00780485">
        <w:t>målet tillväxt.</w:t>
      </w:r>
    </w:p>
    <w:p w:rsidR="007A6E3D" w:rsidRPr="00780485" w:rsidRDefault="007A6E3D">
      <w:pPr>
        <w:pStyle w:val="Normaltindrag"/>
      </w:pPr>
      <w:r w:rsidRPr="00780485">
        <w:t>Av regleringsbrevet för 2001 framgår att institutet har tre verksamhetsgr</w:t>
      </w:r>
      <w:r w:rsidRPr="00780485">
        <w:t>e</w:t>
      </w:r>
      <w:r w:rsidRPr="00780485">
        <w:t xml:space="preserve">nar. För verksamhetsgrenarna omvärldsanalys och utvärderingar finns både regionalpolitiska och näringspolitiska mål preciserade. Verksamhetsgrenen företagsstatistik är främst inriktad mot det näringspolitiska området. Institutet har dock i uppdrag att integrera de två politikområdena så långt det är möjligt i verksamheten. </w:t>
      </w:r>
    </w:p>
    <w:p w:rsidR="007A6E3D" w:rsidRPr="00780485" w:rsidRDefault="007A6E3D">
      <w:pPr>
        <w:pStyle w:val="Rubrik5"/>
        <w:rPr>
          <w:i/>
        </w:rPr>
      </w:pPr>
      <w:r w:rsidRPr="00780485">
        <w:rPr>
          <w:i/>
        </w:rPr>
        <w:t>Uppdrag att främja den regionalpolitiska utvecklingen</w:t>
      </w:r>
    </w:p>
    <w:p w:rsidR="007A6E3D" w:rsidRPr="00780485" w:rsidRDefault="007A6E3D">
      <w:r w:rsidRPr="00780485">
        <w:t>Till skillnad från NUTEK bedriver eller finansierar inte ITPS några egna direkta regionalpolitiska insatser. Institutets uppdrag att systematiskt utvä</w:t>
      </w:r>
      <w:r w:rsidRPr="00780485">
        <w:t>r</w:t>
      </w:r>
      <w:r w:rsidRPr="00780485">
        <w:t>dera tidigare politiska åtgärder är av främjande karaktär. Generellt kan utvä</w:t>
      </w:r>
      <w:r w:rsidRPr="00780485">
        <w:t>r</w:t>
      </w:r>
      <w:r w:rsidRPr="00780485">
        <w:t>dering sägas syfta till att öka träffsäkerheten i den förda politiken genom en effektivare användning av offentliga resurser. Som exempel på andra up</w:t>
      </w:r>
      <w:r w:rsidRPr="00780485">
        <w:t>p</w:t>
      </w:r>
      <w:r w:rsidRPr="00780485">
        <w:t>gifter av främjande karaktär inom det regionalpolitiska området kan följande uppdrag nämnas:</w:t>
      </w:r>
    </w:p>
    <w:p w:rsidR="007A6E3D" w:rsidRPr="00780485" w:rsidRDefault="007A6E3D">
      <w:pPr>
        <w:pStyle w:val="Normaltindrag"/>
        <w:numPr>
          <w:ilvl w:val="0"/>
          <w:numId w:val="149"/>
        </w:numPr>
      </w:pPr>
      <w:r w:rsidRPr="00780485">
        <w:t>att bistå Verket för näringslivsutveckling i arbetet med att utveckla kunskaper och metoder för regional näring</w:t>
      </w:r>
      <w:r w:rsidRPr="00780485">
        <w:t>s</w:t>
      </w:r>
      <w:r w:rsidRPr="00780485">
        <w:t>livsutveckling</w:t>
      </w:r>
    </w:p>
    <w:p w:rsidR="007A6E3D" w:rsidRPr="00780485" w:rsidRDefault="007A6E3D">
      <w:pPr>
        <w:pStyle w:val="Normaltindrag"/>
        <w:numPr>
          <w:ilvl w:val="0"/>
          <w:numId w:val="149"/>
        </w:numPr>
      </w:pPr>
      <w:r w:rsidRPr="00780485">
        <w:t>att fortlöpande kartlägga och utveckla kompetensen och metoderna för att analysera olika närings- och regionalpolitiska insatser, samt effekte</w:t>
      </w:r>
      <w:r w:rsidRPr="00780485">
        <w:t>r</w:t>
      </w:r>
      <w:r w:rsidRPr="00780485">
        <w:t>na av andra faktorer som påverkar förutsättnin</w:t>
      </w:r>
      <w:r w:rsidRPr="00780485">
        <w:t>g</w:t>
      </w:r>
      <w:r w:rsidRPr="00780485">
        <w:t>arna för tillväxt</w:t>
      </w:r>
    </w:p>
    <w:p w:rsidR="007A6E3D" w:rsidRPr="00780485" w:rsidRDefault="007A6E3D">
      <w:pPr>
        <w:pStyle w:val="Normaltindrag"/>
        <w:numPr>
          <w:ilvl w:val="0"/>
          <w:numId w:val="149"/>
        </w:numPr>
      </w:pPr>
      <w:r w:rsidRPr="00780485">
        <w:t>att göra en sammanställning av de mer omfattande utvärderingar som under de senaste åren har gjorts av närings- och regionalpolitiska åtgä</w:t>
      </w:r>
      <w:r w:rsidRPr="00780485">
        <w:t>r</w:t>
      </w:r>
      <w:r w:rsidRPr="00780485">
        <w:t>der, inklusive stru</w:t>
      </w:r>
      <w:r w:rsidRPr="00780485">
        <w:t>k</w:t>
      </w:r>
      <w:r w:rsidRPr="00780485">
        <w:t>turfondsprogrammen (Statsliggaren 2001).</w:t>
      </w:r>
    </w:p>
    <w:p w:rsidR="007A6E3D" w:rsidRPr="00780485" w:rsidRDefault="007A6E3D">
      <w:pPr>
        <w:pStyle w:val="Rubrik5"/>
        <w:rPr>
          <w:i/>
        </w:rPr>
      </w:pPr>
      <w:r w:rsidRPr="00780485">
        <w:rPr>
          <w:i/>
        </w:rPr>
        <w:t>Uppdrag att följa den regionalpolitiska utvecklingen</w:t>
      </w:r>
    </w:p>
    <w:p w:rsidR="007A6E3D" w:rsidRPr="00780485" w:rsidRDefault="007A6E3D">
      <w:r w:rsidRPr="00780485">
        <w:t>ITPS har ett generellt uppdraget att följa den regionalpolitiska utvecklingen ur ett tillväxtperspektiv. För att ytterligare beskriva verksamheten kan fö</w:t>
      </w:r>
      <w:r w:rsidRPr="00780485">
        <w:t>l</w:t>
      </w:r>
      <w:r w:rsidRPr="00780485">
        <w:t>jande uppdrag nä</w:t>
      </w:r>
      <w:r w:rsidRPr="00780485">
        <w:t>m</w:t>
      </w:r>
      <w:r w:rsidRPr="00780485">
        <w:t>nas. Enligt regleringsbrevet för 2001 ska ITPS</w:t>
      </w:r>
    </w:p>
    <w:p w:rsidR="007A6E3D" w:rsidRPr="00780485" w:rsidRDefault="007A6E3D">
      <w:pPr>
        <w:pStyle w:val="Normaltindrag"/>
        <w:numPr>
          <w:ilvl w:val="0"/>
          <w:numId w:val="150"/>
        </w:numPr>
      </w:pPr>
      <w:r w:rsidRPr="00780485">
        <w:t>utveckla metoderna för att beskriva och analysera den ekonomiska utvecklingen i landets regioner med hjälp av regionala prognoser och indikatorer,</w:t>
      </w:r>
    </w:p>
    <w:p w:rsidR="007A6E3D" w:rsidRPr="00780485" w:rsidRDefault="007A6E3D">
      <w:pPr>
        <w:pStyle w:val="Normaltindrag"/>
        <w:numPr>
          <w:ilvl w:val="0"/>
          <w:numId w:val="150"/>
        </w:numPr>
      </w:pPr>
      <w:r w:rsidRPr="00780485">
        <w:t>med bistånd från NUTEK beskriva den regionala utvecklingen i Sverige under år 2000 och</w:t>
      </w:r>
    </w:p>
    <w:p w:rsidR="007A6E3D" w:rsidRPr="00780485" w:rsidRDefault="007A6E3D">
      <w:pPr>
        <w:pStyle w:val="Normaltindrag"/>
        <w:numPr>
          <w:ilvl w:val="0"/>
          <w:numId w:val="150"/>
        </w:numPr>
      </w:pPr>
      <w:r w:rsidRPr="00780485">
        <w:t>i samarbete med NUTEK och andra berörda aktörer göra en samlad bedömning av den statistik som behövs för att beskriva och analysera den ekonomiska utvecklingen ur olika aspe</w:t>
      </w:r>
      <w:r w:rsidRPr="00780485">
        <w:t>k</w:t>
      </w:r>
      <w:r w:rsidRPr="00780485">
        <w:t>ter.</w:t>
      </w:r>
    </w:p>
    <w:p w:rsidR="007A6E3D" w:rsidRPr="00780485" w:rsidRDefault="007A6E3D">
      <w:r w:rsidRPr="00780485">
        <w:t>I nedanstående figur beskrivs översiktligt inom vilka delar av regionalpolit</w:t>
      </w:r>
      <w:r w:rsidRPr="00780485">
        <w:t>i</w:t>
      </w:r>
      <w:r w:rsidRPr="00780485">
        <w:t>kens delområden som ITPS kan sägas ha sina huvudsakliga uppgifter. På samma sätt som för översiktsbilden över NUTEK:s verksamhet bör figuren inte tolkas bokstavligt utan ses som en fingervisning över var i den regiona</w:t>
      </w:r>
      <w:r w:rsidRPr="00780485">
        <w:t>l</w:t>
      </w:r>
      <w:r w:rsidRPr="00780485">
        <w:t>politiska organisationen myndigheten b</w:t>
      </w:r>
      <w:r w:rsidRPr="00780485">
        <w:t>e</w:t>
      </w:r>
      <w:r w:rsidRPr="00780485">
        <w:t>finner sig.</w:t>
      </w:r>
    </w:p>
    <w:p w:rsidR="007A6E3D" w:rsidRPr="00780485" w:rsidRDefault="007A6E3D">
      <w:pPr>
        <w:pStyle w:val="t"/>
      </w:pPr>
      <w:r w:rsidRPr="00780485">
        <w:t xml:space="preserve">Figur 4. ITPS ansvarsområden inom regionalpolitiken </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1488"/>
        <w:gridCol w:w="1417"/>
        <w:gridCol w:w="709"/>
        <w:gridCol w:w="709"/>
        <w:gridCol w:w="1701"/>
      </w:tblGrid>
      <w:tr w:rsidR="00000000" w:rsidRPr="00780485">
        <w:tblPrEx>
          <w:tblCellMar>
            <w:top w:w="0" w:type="dxa"/>
            <w:bottom w:w="0" w:type="dxa"/>
          </w:tblCellMar>
        </w:tblPrEx>
        <w:tc>
          <w:tcPr>
            <w:tcW w:w="1488" w:type="dxa"/>
          </w:tcPr>
          <w:p w:rsidR="007A6E3D" w:rsidRPr="00780485" w:rsidRDefault="007A6E3D">
            <w:pPr>
              <w:pStyle w:val="Tabell"/>
            </w:pPr>
          </w:p>
        </w:tc>
        <w:tc>
          <w:tcPr>
            <w:tcW w:w="2126" w:type="dxa"/>
            <w:gridSpan w:val="2"/>
          </w:tcPr>
          <w:p w:rsidR="007A6E3D" w:rsidRPr="00780485" w:rsidRDefault="007A6E3D">
            <w:pPr>
              <w:pStyle w:val="Tabell"/>
            </w:pPr>
            <w:r w:rsidRPr="00780485">
              <w:t>Fördelning</w:t>
            </w:r>
          </w:p>
        </w:tc>
        <w:tc>
          <w:tcPr>
            <w:tcW w:w="2410" w:type="dxa"/>
            <w:gridSpan w:val="2"/>
          </w:tcPr>
          <w:p w:rsidR="007A6E3D" w:rsidRPr="00780485" w:rsidRDefault="007A6E3D">
            <w:pPr>
              <w:pStyle w:val="Tabell"/>
            </w:pPr>
            <w:r w:rsidRPr="00780485">
              <w:t>Tillväxt</w:t>
            </w:r>
          </w:p>
        </w:tc>
      </w:tr>
      <w:tr w:rsidR="00000000" w:rsidRPr="00780485">
        <w:tblPrEx>
          <w:tblCellMar>
            <w:top w:w="0" w:type="dxa"/>
            <w:bottom w:w="0" w:type="dxa"/>
          </w:tblCellMar>
        </w:tblPrEx>
        <w:tc>
          <w:tcPr>
            <w:tcW w:w="1488" w:type="dxa"/>
          </w:tcPr>
          <w:p w:rsidR="007A6E3D" w:rsidRPr="00780485" w:rsidRDefault="007A6E3D">
            <w:pPr>
              <w:pStyle w:val="Tabell"/>
            </w:pPr>
          </w:p>
        </w:tc>
        <w:tc>
          <w:tcPr>
            <w:tcW w:w="1417" w:type="dxa"/>
          </w:tcPr>
          <w:p w:rsidR="007A6E3D" w:rsidRPr="00780485" w:rsidRDefault="007A6E3D">
            <w:pPr>
              <w:pStyle w:val="Tabell"/>
            </w:pPr>
            <w:r w:rsidRPr="00780485">
              <w:t>Välfärdspol</w:t>
            </w:r>
            <w:r w:rsidRPr="00780485">
              <w:t>i</w:t>
            </w:r>
            <w:r w:rsidRPr="00780485">
              <w:t>tik</w:t>
            </w:r>
          </w:p>
        </w:tc>
        <w:tc>
          <w:tcPr>
            <w:tcW w:w="1418" w:type="dxa"/>
            <w:gridSpan w:val="2"/>
          </w:tcPr>
          <w:p w:rsidR="007A6E3D" w:rsidRPr="00780485" w:rsidRDefault="007A6E3D">
            <w:pPr>
              <w:pStyle w:val="Tabell"/>
            </w:pPr>
            <w:r w:rsidRPr="00780485">
              <w:t>Strukturpol</w:t>
            </w:r>
            <w:r w:rsidRPr="00780485">
              <w:t>i</w:t>
            </w:r>
            <w:r w:rsidRPr="00780485">
              <w:t>tik</w:t>
            </w:r>
          </w:p>
        </w:tc>
        <w:tc>
          <w:tcPr>
            <w:tcW w:w="1701" w:type="dxa"/>
          </w:tcPr>
          <w:p w:rsidR="007A6E3D" w:rsidRPr="00780485" w:rsidRDefault="007A6E3D">
            <w:pPr>
              <w:pStyle w:val="Tabell"/>
            </w:pPr>
            <w:r w:rsidRPr="00780485">
              <w:t>Stimulanspol</w:t>
            </w:r>
            <w:r w:rsidRPr="00780485">
              <w:t>i</w:t>
            </w:r>
            <w:r w:rsidRPr="00780485">
              <w:t>tik</w:t>
            </w:r>
          </w:p>
        </w:tc>
      </w:tr>
      <w:tr w:rsidR="00000000" w:rsidRPr="00780485">
        <w:tblPrEx>
          <w:tblCellMar>
            <w:top w:w="0" w:type="dxa"/>
            <w:bottom w:w="0" w:type="dxa"/>
          </w:tblCellMar>
        </w:tblPrEx>
        <w:tc>
          <w:tcPr>
            <w:tcW w:w="1488" w:type="dxa"/>
          </w:tcPr>
          <w:p w:rsidR="007A6E3D" w:rsidRPr="00780485" w:rsidRDefault="007A6E3D">
            <w:pPr>
              <w:pStyle w:val="Tabell"/>
            </w:pPr>
            <w:r w:rsidRPr="00780485">
              <w:t>Utföra regionalp</w:t>
            </w:r>
            <w:r w:rsidRPr="00780485">
              <w:t>o</w:t>
            </w:r>
            <w:r w:rsidRPr="00780485">
              <w:t>litiska insa</w:t>
            </w:r>
            <w:r w:rsidRPr="00780485">
              <w:t>t</w:t>
            </w:r>
            <w:r w:rsidRPr="00780485">
              <w:t>ser</w:t>
            </w:r>
          </w:p>
        </w:tc>
        <w:tc>
          <w:tcPr>
            <w:tcW w:w="1417" w:type="dxa"/>
          </w:tcPr>
          <w:p w:rsidR="007A6E3D" w:rsidRPr="00780485" w:rsidRDefault="007A6E3D">
            <w:pPr>
              <w:pStyle w:val="Tabell"/>
            </w:pPr>
          </w:p>
        </w:tc>
        <w:tc>
          <w:tcPr>
            <w:tcW w:w="1418" w:type="dxa"/>
            <w:gridSpan w:val="2"/>
          </w:tcPr>
          <w:p w:rsidR="007A6E3D" w:rsidRPr="00780485" w:rsidRDefault="007A6E3D">
            <w:pPr>
              <w:pStyle w:val="Tabell"/>
            </w:pPr>
          </w:p>
        </w:tc>
        <w:tc>
          <w:tcPr>
            <w:tcW w:w="1701" w:type="dxa"/>
          </w:tcPr>
          <w:p w:rsidR="007A6E3D" w:rsidRPr="00780485" w:rsidRDefault="007A6E3D">
            <w:pPr>
              <w:pStyle w:val="Tabell"/>
            </w:pPr>
          </w:p>
        </w:tc>
      </w:tr>
      <w:tr w:rsidR="00000000" w:rsidRPr="00780485">
        <w:tblPrEx>
          <w:tblCellMar>
            <w:top w:w="0" w:type="dxa"/>
            <w:bottom w:w="0" w:type="dxa"/>
          </w:tblCellMar>
        </w:tblPrEx>
        <w:tc>
          <w:tcPr>
            <w:tcW w:w="1488" w:type="dxa"/>
          </w:tcPr>
          <w:p w:rsidR="007A6E3D" w:rsidRPr="00780485" w:rsidRDefault="007A6E3D">
            <w:pPr>
              <w:pStyle w:val="Tabell"/>
            </w:pPr>
            <w:r w:rsidRPr="00780485">
              <w:t>Främja</w:t>
            </w:r>
          </w:p>
        </w:tc>
        <w:tc>
          <w:tcPr>
            <w:tcW w:w="1417" w:type="dxa"/>
          </w:tcPr>
          <w:p w:rsidR="007A6E3D" w:rsidRPr="00780485" w:rsidRDefault="007A6E3D">
            <w:pPr>
              <w:pStyle w:val="Tabell"/>
            </w:pPr>
          </w:p>
        </w:tc>
        <w:tc>
          <w:tcPr>
            <w:tcW w:w="1418" w:type="dxa"/>
            <w:gridSpan w:val="2"/>
          </w:tcPr>
          <w:p w:rsidR="007A6E3D" w:rsidRPr="00780485" w:rsidRDefault="007A6E3D">
            <w:pPr>
              <w:pStyle w:val="Tabell"/>
            </w:pPr>
            <w:r w:rsidRPr="00780485">
              <w:t>X</w:t>
            </w:r>
          </w:p>
        </w:tc>
        <w:tc>
          <w:tcPr>
            <w:tcW w:w="1701" w:type="dxa"/>
          </w:tcPr>
          <w:p w:rsidR="007A6E3D" w:rsidRPr="00780485" w:rsidRDefault="007A6E3D">
            <w:pPr>
              <w:pStyle w:val="Tabell"/>
            </w:pPr>
            <w:r w:rsidRPr="00780485">
              <w:t>X</w:t>
            </w:r>
          </w:p>
        </w:tc>
      </w:tr>
      <w:tr w:rsidR="00000000" w:rsidRPr="00780485">
        <w:tblPrEx>
          <w:tblCellMar>
            <w:top w:w="0" w:type="dxa"/>
            <w:bottom w:w="0" w:type="dxa"/>
          </w:tblCellMar>
        </w:tblPrEx>
        <w:tc>
          <w:tcPr>
            <w:tcW w:w="1488" w:type="dxa"/>
          </w:tcPr>
          <w:p w:rsidR="007A6E3D" w:rsidRPr="00780485" w:rsidRDefault="007A6E3D">
            <w:pPr>
              <w:pStyle w:val="Tabell"/>
            </w:pPr>
            <w:r w:rsidRPr="00780485">
              <w:t>Följa</w:t>
            </w:r>
          </w:p>
        </w:tc>
        <w:tc>
          <w:tcPr>
            <w:tcW w:w="1417" w:type="dxa"/>
          </w:tcPr>
          <w:p w:rsidR="007A6E3D" w:rsidRPr="00780485" w:rsidRDefault="007A6E3D">
            <w:pPr>
              <w:pStyle w:val="Tabell"/>
            </w:pPr>
          </w:p>
        </w:tc>
        <w:tc>
          <w:tcPr>
            <w:tcW w:w="1418" w:type="dxa"/>
            <w:gridSpan w:val="2"/>
          </w:tcPr>
          <w:p w:rsidR="007A6E3D" w:rsidRPr="00780485" w:rsidRDefault="007A6E3D">
            <w:pPr>
              <w:pStyle w:val="Tabell"/>
            </w:pPr>
            <w:r w:rsidRPr="00780485">
              <w:t>X</w:t>
            </w:r>
          </w:p>
        </w:tc>
        <w:tc>
          <w:tcPr>
            <w:tcW w:w="1701" w:type="dxa"/>
          </w:tcPr>
          <w:p w:rsidR="007A6E3D" w:rsidRPr="00780485" w:rsidRDefault="007A6E3D">
            <w:pPr>
              <w:pStyle w:val="Tabell"/>
            </w:pPr>
            <w:r w:rsidRPr="00780485">
              <w:t>X</w:t>
            </w:r>
          </w:p>
        </w:tc>
      </w:tr>
    </w:tbl>
    <w:p w:rsidR="007A6E3D" w:rsidRPr="00780485" w:rsidRDefault="007A6E3D">
      <w:pPr>
        <w:pStyle w:val="Rubrik2"/>
      </w:pPr>
      <w:bookmarkStart w:id="126" w:name="_Toc515097909"/>
      <w:bookmarkStart w:id="127" w:name="_Toc526845457"/>
      <w:bookmarkStart w:id="128" w:name="_Toc526845779"/>
      <w:r w:rsidRPr="00780485">
        <w:t>Länsstyrelsen</w:t>
      </w:r>
      <w:bookmarkEnd w:id="126"/>
      <w:bookmarkEnd w:id="127"/>
      <w:bookmarkEnd w:id="128"/>
    </w:p>
    <w:p w:rsidR="007A6E3D" w:rsidRPr="00780485" w:rsidRDefault="007A6E3D">
      <w:r w:rsidRPr="00780485">
        <w:t>Länsstyrelsen svarar för den statliga förvaltningen i länet, i den mån inte någon annan myndighet har ansvaret för särskilda förvaltningsuppgifter. Av förordningen (1997:1258) med länsstyrelseinstruktion framgår att länsstyre</w:t>
      </w:r>
      <w:r w:rsidRPr="00780485">
        <w:t>l</w:t>
      </w:r>
      <w:r w:rsidRPr="00780485">
        <w:t>sen ska</w:t>
      </w:r>
    </w:p>
    <w:p w:rsidR="007A6E3D" w:rsidRPr="00780485" w:rsidRDefault="007A6E3D">
      <w:pPr>
        <w:pStyle w:val="Normaltindrag"/>
        <w:numPr>
          <w:ilvl w:val="0"/>
          <w:numId w:val="130"/>
        </w:numPr>
        <w:ind w:left="530"/>
      </w:pPr>
      <w:r w:rsidRPr="00780485">
        <w:t>svara för att länet utvecklas på ett sådant sätt att fastställda nationella mål får genomslag, samtidigt som hänsyn ska tas till regionala fö</w:t>
      </w:r>
      <w:r w:rsidRPr="00780485">
        <w:t>r</w:t>
      </w:r>
      <w:r w:rsidRPr="00780485">
        <w:t>hållanden och förutsättningar,</w:t>
      </w:r>
    </w:p>
    <w:p w:rsidR="007A6E3D" w:rsidRPr="00780485" w:rsidRDefault="007A6E3D">
      <w:pPr>
        <w:pStyle w:val="Normaltindrag"/>
        <w:numPr>
          <w:ilvl w:val="0"/>
          <w:numId w:val="130"/>
        </w:numPr>
        <w:ind w:left="530"/>
      </w:pPr>
      <w:r w:rsidRPr="00780485">
        <w:t>särskilt med ett samlat regionalt perspektiv i länet samordna olika sa</w:t>
      </w:r>
      <w:r w:rsidRPr="00780485">
        <w:t>m</w:t>
      </w:r>
      <w:r w:rsidRPr="00780485">
        <w:t>hällsintressen inom myndighetens ansvarsområde samt</w:t>
      </w:r>
    </w:p>
    <w:p w:rsidR="007A6E3D" w:rsidRPr="00780485" w:rsidRDefault="007A6E3D">
      <w:pPr>
        <w:pStyle w:val="Normaltindrag"/>
        <w:numPr>
          <w:ilvl w:val="0"/>
          <w:numId w:val="130"/>
        </w:numPr>
        <w:ind w:left="530"/>
      </w:pPr>
      <w:r w:rsidRPr="00780485">
        <w:t>främja länets utveckling och noga följa länets tillstånd samt underrätta regeringen om vad som är särskilt viktigt för regeringen att få veta om länet och händelser som inträffat där.</w:t>
      </w:r>
    </w:p>
    <w:p w:rsidR="007A6E3D" w:rsidRPr="00780485" w:rsidRDefault="007A6E3D">
      <w:r w:rsidRPr="00780485">
        <w:t>Enligt förordningen om regionalt utvecklingsarbete ska länsstyrelsen och i förekommande fall det regionala självstyrelseorganet verka för att de regi</w:t>
      </w:r>
      <w:r w:rsidRPr="00780485">
        <w:t>o</w:t>
      </w:r>
      <w:r w:rsidRPr="00780485">
        <w:t>nalpolitiska målen uppnås i länet och i detta syfte samordna det statliga och inomregionala utvecklingsarbetet. Som beskrevs i avsnitt 2.1.1 har länsst</w:t>
      </w:r>
      <w:r w:rsidRPr="00780485">
        <w:t>y</w:t>
      </w:r>
      <w:r w:rsidRPr="00780485">
        <w:t>relsen/självstyrelseorganet en mycket central roll vad gäller genomförandet av regionalpolitiken. De regionalpolitiska uppgifterna består främst i att</w:t>
      </w:r>
    </w:p>
    <w:p w:rsidR="007A6E3D" w:rsidRPr="00780485" w:rsidRDefault="007A6E3D">
      <w:pPr>
        <w:pStyle w:val="Normaltindrag"/>
        <w:numPr>
          <w:ilvl w:val="0"/>
          <w:numId w:val="131"/>
        </w:numPr>
      </w:pPr>
      <w:r w:rsidRPr="00780485">
        <w:t xml:space="preserve">fördela olika regionalpolitiska stöd (se avsnitt 2, tabell 2), </w:t>
      </w:r>
    </w:p>
    <w:p w:rsidR="007A6E3D" w:rsidRPr="00780485" w:rsidRDefault="007A6E3D">
      <w:pPr>
        <w:pStyle w:val="Normaltindrag"/>
        <w:numPr>
          <w:ilvl w:val="0"/>
          <w:numId w:val="131"/>
        </w:numPr>
      </w:pPr>
      <w:r w:rsidRPr="00780485">
        <w:t xml:space="preserve">samordna åtgärder för regional utjämning och utveckling, </w:t>
      </w:r>
    </w:p>
    <w:p w:rsidR="007A6E3D" w:rsidRPr="00780485" w:rsidRDefault="007A6E3D">
      <w:pPr>
        <w:pStyle w:val="Normaltindrag"/>
        <w:numPr>
          <w:ilvl w:val="0"/>
          <w:numId w:val="131"/>
        </w:numPr>
      </w:pPr>
      <w:r w:rsidRPr="00780485">
        <w:t>verka som samordnare och genomförare av de regionala tillväxtavtalen (se avsnitt 2.1.5),</w:t>
      </w:r>
    </w:p>
    <w:p w:rsidR="007A6E3D" w:rsidRPr="00780485" w:rsidRDefault="007A6E3D">
      <w:pPr>
        <w:pStyle w:val="Normaltindrag"/>
        <w:numPr>
          <w:ilvl w:val="0"/>
          <w:numId w:val="131"/>
        </w:numPr>
      </w:pPr>
      <w:r w:rsidRPr="00780485">
        <w:t>arbeta med uppföljning och utvärdering av sin regionalpolitiska ver</w:t>
      </w:r>
      <w:r w:rsidRPr="00780485">
        <w:t>k</w:t>
      </w:r>
      <w:r w:rsidRPr="00780485">
        <w:t>samhet och</w:t>
      </w:r>
    </w:p>
    <w:p w:rsidR="007A6E3D" w:rsidRPr="00780485" w:rsidRDefault="007A6E3D">
      <w:pPr>
        <w:pStyle w:val="Normaltindrag"/>
        <w:numPr>
          <w:ilvl w:val="0"/>
          <w:numId w:val="131"/>
        </w:numPr>
      </w:pPr>
      <w:r w:rsidRPr="00780485">
        <w:t>i vissa fall utgöra förvaltningsmyndighet för EG:s strukturfonder.</w:t>
      </w:r>
    </w:p>
    <w:p w:rsidR="007A6E3D" w:rsidRPr="00780485" w:rsidRDefault="007A6E3D">
      <w:r w:rsidRPr="00780485">
        <w:t>En av länsstyrelsens verksamhetsgrenar benämns ”Regionalpolitik, näring</w:t>
      </w:r>
      <w:r w:rsidRPr="00780485">
        <w:t>s</w:t>
      </w:r>
      <w:r w:rsidRPr="00780485">
        <w:t>politik och konkurrens”. Som mål för verksamhetsgrenen under budgetåret 2001 har regeringen bl.a. fastställt att länsstyrelsen ska sträva efter att fö</w:t>
      </w:r>
      <w:r w:rsidRPr="00780485">
        <w:t>r</w:t>
      </w:r>
      <w:r w:rsidRPr="00780485">
        <w:t xml:space="preserve">bättra samordningen av åtgärder för regional utjämning och utveckling, hållbar ekonomisk tillväxt och ökad sysselsättning, samhällsplanering samt användningen av statliga och kommunala medel för sådana åtgärder. </w:t>
      </w:r>
    </w:p>
    <w:p w:rsidR="007A6E3D" w:rsidRPr="00780485" w:rsidRDefault="007A6E3D">
      <w:pPr>
        <w:pStyle w:val="Normaltindrag"/>
      </w:pPr>
      <w:r w:rsidRPr="00780485">
        <w:t>En allmän beskrivning av hur länsstyrelserna arbetar med frågor som rör gles- och landsbygdsutveckling finns i avsnitt 6.4.</w:t>
      </w:r>
    </w:p>
    <w:p w:rsidR="007A6E3D" w:rsidRPr="00780485" w:rsidRDefault="007A6E3D">
      <w:pPr>
        <w:pStyle w:val="Rubrik2"/>
      </w:pPr>
      <w:bookmarkStart w:id="129" w:name="_Toc515097910"/>
      <w:bookmarkStart w:id="130" w:name="_Toc526845458"/>
      <w:bookmarkStart w:id="131" w:name="_Toc526845780"/>
      <w:r w:rsidRPr="00780485">
        <w:t>Folkrörelserådet Hela Sverige ska leva</w:t>
      </w:r>
      <w:bookmarkEnd w:id="129"/>
      <w:bookmarkEnd w:id="130"/>
      <w:bookmarkEnd w:id="131"/>
    </w:p>
    <w:p w:rsidR="007A6E3D" w:rsidRPr="00780485" w:rsidRDefault="007A6E3D">
      <w:r w:rsidRPr="00780485">
        <w:t>Folkrörelserådet är en ideell förening bestående av drygt 50 folkrörelseorg</w:t>
      </w:r>
      <w:r w:rsidRPr="00780485">
        <w:t>a</w:t>
      </w:r>
      <w:r w:rsidRPr="00780485">
        <w:t>nisationer som till största delen finansieras via statsbidrag. Föreningen bild</w:t>
      </w:r>
      <w:r w:rsidRPr="00780485">
        <w:t>a</w:t>
      </w:r>
      <w:r w:rsidRPr="00780485">
        <w:t>des 1989 och har som syfte att bedriva opinionsarbete för att lyfta fram landsbygdens frågor och sprida erfarenheter och goda exempel från lokalt utvecklingsarbete. Knappt 4 000 lokala utvecklingsgrupper är organiserade i föreningen. Staten är rådets huvudfinansiär</w:t>
      </w:r>
      <w:r w:rsidRPr="00780485">
        <w:rPr>
          <w:rStyle w:val="Fotnotsreferens"/>
        </w:rPr>
        <w:footnoteReference w:id="6"/>
      </w:r>
      <w:r w:rsidRPr="00780485">
        <w:t>. Statsbidraget grundar sig på propositionen Regional tillväxt – för arbete och välfärd (prop. 1997/98:62). Regeringen framhöll där att man hade för avsikt att under kommande år, inom ramen för anslaget för regionalpolitiska åtgärder, bevilja rådet 9,5 miljoner kronor årligen. Verksamheten ska grunda sig på de rekommend</w:t>
      </w:r>
      <w:r w:rsidRPr="00780485">
        <w:t>a</w:t>
      </w:r>
      <w:r w:rsidRPr="00780485">
        <w:t>tioner som uttalas på den av rådet anordnade landsbygdsriksd</w:t>
      </w:r>
      <w:r w:rsidRPr="00780485">
        <w:t>a</w:t>
      </w:r>
      <w:r w:rsidRPr="00780485">
        <w:t>gen.</w:t>
      </w:r>
    </w:p>
    <w:p w:rsidR="007A6E3D" w:rsidRPr="00780485" w:rsidRDefault="007A6E3D">
      <w:pPr>
        <w:pStyle w:val="Rubrik2"/>
      </w:pPr>
      <w:bookmarkStart w:id="132" w:name="_Toc515097911"/>
      <w:bookmarkStart w:id="133" w:name="_Toc526845459"/>
      <w:bookmarkStart w:id="134" w:name="_Toc526845781"/>
      <w:r w:rsidRPr="00780485">
        <w:t>Glesbygdsverket i den regionalpolitiska organisationen</w:t>
      </w:r>
      <w:bookmarkEnd w:id="132"/>
      <w:bookmarkEnd w:id="133"/>
      <w:bookmarkEnd w:id="134"/>
    </w:p>
    <w:p w:rsidR="007A6E3D" w:rsidRPr="00780485" w:rsidRDefault="007A6E3D">
      <w:r w:rsidRPr="00780485">
        <w:t>NUTEK:s och ITPS ansvarsområden inom regionalpolitiken har tidigare beskrivits i en översiktsbild. En motsvarande översiktsbild för Glesbygd</w:t>
      </w:r>
      <w:r w:rsidRPr="00780485">
        <w:t>s</w:t>
      </w:r>
      <w:r w:rsidRPr="00780485">
        <w:t>verket redovisas i figur 5.</w:t>
      </w:r>
    </w:p>
    <w:p w:rsidR="007A6E3D" w:rsidRPr="00780485" w:rsidRDefault="007A6E3D">
      <w:pPr>
        <w:pStyle w:val="t"/>
      </w:pPr>
      <w:r w:rsidRPr="00780485">
        <w:t xml:space="preserve">Figur 5. Glesbygdsverkets ansvarsområden inom regionalpolitiken </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1488"/>
        <w:gridCol w:w="1417"/>
        <w:gridCol w:w="567"/>
        <w:gridCol w:w="851"/>
        <w:gridCol w:w="1701"/>
      </w:tblGrid>
      <w:tr w:rsidR="00000000" w:rsidRPr="00780485">
        <w:tblPrEx>
          <w:tblCellMar>
            <w:top w:w="0" w:type="dxa"/>
            <w:bottom w:w="0" w:type="dxa"/>
          </w:tblCellMar>
        </w:tblPrEx>
        <w:tc>
          <w:tcPr>
            <w:tcW w:w="1488" w:type="dxa"/>
            <w:tcBorders>
              <w:top w:val="single" w:sz="4" w:space="0" w:color="000000"/>
              <w:left w:val="single" w:sz="4" w:space="0" w:color="000000"/>
              <w:bottom w:val="nil"/>
              <w:right w:val="single" w:sz="4" w:space="0" w:color="000000"/>
            </w:tcBorders>
          </w:tcPr>
          <w:p w:rsidR="007A6E3D" w:rsidRPr="00780485" w:rsidRDefault="007A6E3D">
            <w:pPr>
              <w:pStyle w:val="Tabell"/>
            </w:pPr>
          </w:p>
        </w:tc>
        <w:tc>
          <w:tcPr>
            <w:tcW w:w="1984" w:type="dxa"/>
            <w:gridSpan w:val="2"/>
            <w:tcBorders>
              <w:left w:val="nil"/>
            </w:tcBorders>
          </w:tcPr>
          <w:p w:rsidR="007A6E3D" w:rsidRPr="00780485" w:rsidRDefault="007A6E3D">
            <w:pPr>
              <w:pStyle w:val="Tabell"/>
            </w:pPr>
            <w:r w:rsidRPr="00780485">
              <w:t>Fördelning</w:t>
            </w:r>
          </w:p>
        </w:tc>
        <w:tc>
          <w:tcPr>
            <w:tcW w:w="2552" w:type="dxa"/>
            <w:gridSpan w:val="2"/>
          </w:tcPr>
          <w:p w:rsidR="007A6E3D" w:rsidRPr="00780485" w:rsidRDefault="007A6E3D">
            <w:pPr>
              <w:pStyle w:val="Tabell"/>
            </w:pPr>
            <w:r w:rsidRPr="00780485">
              <w:t>Tillväxt</w:t>
            </w:r>
          </w:p>
        </w:tc>
      </w:tr>
      <w:tr w:rsidR="00000000" w:rsidRPr="00780485">
        <w:tblPrEx>
          <w:tblCellMar>
            <w:top w:w="0" w:type="dxa"/>
            <w:bottom w:w="0" w:type="dxa"/>
          </w:tblCellMar>
        </w:tblPrEx>
        <w:tc>
          <w:tcPr>
            <w:tcW w:w="1488" w:type="dxa"/>
            <w:tcBorders>
              <w:top w:val="nil"/>
            </w:tcBorders>
          </w:tcPr>
          <w:p w:rsidR="007A6E3D" w:rsidRPr="00780485" w:rsidRDefault="007A6E3D">
            <w:pPr>
              <w:pStyle w:val="Tabell"/>
            </w:pPr>
          </w:p>
        </w:tc>
        <w:tc>
          <w:tcPr>
            <w:tcW w:w="1417" w:type="dxa"/>
          </w:tcPr>
          <w:p w:rsidR="007A6E3D" w:rsidRPr="00780485" w:rsidRDefault="007A6E3D">
            <w:pPr>
              <w:pStyle w:val="Tabell"/>
            </w:pPr>
            <w:r w:rsidRPr="00780485">
              <w:t>Välfärdspol</w:t>
            </w:r>
            <w:r w:rsidRPr="00780485">
              <w:t>i</w:t>
            </w:r>
            <w:r w:rsidRPr="00780485">
              <w:t>tik</w:t>
            </w:r>
          </w:p>
        </w:tc>
        <w:tc>
          <w:tcPr>
            <w:tcW w:w="1418" w:type="dxa"/>
            <w:gridSpan w:val="2"/>
          </w:tcPr>
          <w:p w:rsidR="007A6E3D" w:rsidRPr="00780485" w:rsidRDefault="007A6E3D">
            <w:pPr>
              <w:pStyle w:val="Tabell"/>
            </w:pPr>
            <w:r w:rsidRPr="00780485">
              <w:t>Strukturpol</w:t>
            </w:r>
            <w:r w:rsidRPr="00780485">
              <w:t>i</w:t>
            </w:r>
            <w:r w:rsidRPr="00780485">
              <w:t>tik</w:t>
            </w:r>
          </w:p>
        </w:tc>
        <w:tc>
          <w:tcPr>
            <w:tcW w:w="1701" w:type="dxa"/>
          </w:tcPr>
          <w:p w:rsidR="007A6E3D" w:rsidRPr="00780485" w:rsidRDefault="007A6E3D">
            <w:pPr>
              <w:pStyle w:val="Tabell"/>
            </w:pPr>
            <w:r w:rsidRPr="00780485">
              <w:t>Stimulanspol</w:t>
            </w:r>
            <w:r w:rsidRPr="00780485">
              <w:t>i</w:t>
            </w:r>
            <w:r w:rsidRPr="00780485">
              <w:t>tik</w:t>
            </w:r>
          </w:p>
        </w:tc>
      </w:tr>
      <w:tr w:rsidR="00000000" w:rsidRPr="00780485">
        <w:tblPrEx>
          <w:tblCellMar>
            <w:top w:w="0" w:type="dxa"/>
            <w:bottom w:w="0" w:type="dxa"/>
          </w:tblCellMar>
        </w:tblPrEx>
        <w:tc>
          <w:tcPr>
            <w:tcW w:w="1488" w:type="dxa"/>
          </w:tcPr>
          <w:p w:rsidR="007A6E3D" w:rsidRPr="00780485" w:rsidRDefault="007A6E3D">
            <w:pPr>
              <w:pStyle w:val="Tabell"/>
            </w:pPr>
            <w:r w:rsidRPr="00780485">
              <w:t>Utföra regionalp</w:t>
            </w:r>
            <w:r w:rsidRPr="00780485">
              <w:t>o</w:t>
            </w:r>
            <w:r w:rsidRPr="00780485">
              <w:t>litiska insa</w:t>
            </w:r>
            <w:r w:rsidRPr="00780485">
              <w:t>t</w:t>
            </w:r>
            <w:r w:rsidRPr="00780485">
              <w:t>ser</w:t>
            </w:r>
          </w:p>
        </w:tc>
        <w:tc>
          <w:tcPr>
            <w:tcW w:w="1417" w:type="dxa"/>
          </w:tcPr>
          <w:p w:rsidR="007A6E3D" w:rsidRPr="00780485" w:rsidRDefault="007A6E3D">
            <w:pPr>
              <w:pStyle w:val="Tabell"/>
            </w:pPr>
          </w:p>
        </w:tc>
        <w:tc>
          <w:tcPr>
            <w:tcW w:w="1418" w:type="dxa"/>
            <w:gridSpan w:val="2"/>
          </w:tcPr>
          <w:p w:rsidR="007A6E3D" w:rsidRPr="00780485" w:rsidRDefault="007A6E3D">
            <w:pPr>
              <w:pStyle w:val="Tabell"/>
            </w:pPr>
          </w:p>
        </w:tc>
        <w:tc>
          <w:tcPr>
            <w:tcW w:w="1701" w:type="dxa"/>
          </w:tcPr>
          <w:p w:rsidR="007A6E3D" w:rsidRPr="00780485" w:rsidRDefault="007A6E3D">
            <w:pPr>
              <w:pStyle w:val="Tabell"/>
            </w:pPr>
          </w:p>
        </w:tc>
      </w:tr>
      <w:tr w:rsidR="00000000" w:rsidRPr="00780485">
        <w:tblPrEx>
          <w:tblCellMar>
            <w:top w:w="0" w:type="dxa"/>
            <w:bottom w:w="0" w:type="dxa"/>
          </w:tblCellMar>
        </w:tblPrEx>
        <w:tc>
          <w:tcPr>
            <w:tcW w:w="1488" w:type="dxa"/>
          </w:tcPr>
          <w:p w:rsidR="007A6E3D" w:rsidRPr="00780485" w:rsidRDefault="007A6E3D">
            <w:pPr>
              <w:pStyle w:val="Tabell"/>
            </w:pPr>
            <w:r w:rsidRPr="00780485">
              <w:t>Främja</w:t>
            </w:r>
          </w:p>
        </w:tc>
        <w:tc>
          <w:tcPr>
            <w:tcW w:w="1417" w:type="dxa"/>
          </w:tcPr>
          <w:p w:rsidR="007A6E3D" w:rsidRPr="00780485" w:rsidRDefault="007A6E3D">
            <w:pPr>
              <w:pStyle w:val="Tabell"/>
            </w:pPr>
            <w:r w:rsidRPr="00780485">
              <w:t>X</w:t>
            </w:r>
          </w:p>
        </w:tc>
        <w:tc>
          <w:tcPr>
            <w:tcW w:w="1418" w:type="dxa"/>
            <w:gridSpan w:val="2"/>
          </w:tcPr>
          <w:p w:rsidR="007A6E3D" w:rsidRPr="00780485" w:rsidRDefault="007A6E3D">
            <w:pPr>
              <w:pStyle w:val="Tabell"/>
            </w:pPr>
            <w:r w:rsidRPr="00780485">
              <w:t>X</w:t>
            </w:r>
          </w:p>
        </w:tc>
        <w:tc>
          <w:tcPr>
            <w:tcW w:w="1701" w:type="dxa"/>
          </w:tcPr>
          <w:p w:rsidR="007A6E3D" w:rsidRPr="00780485" w:rsidRDefault="007A6E3D">
            <w:pPr>
              <w:pStyle w:val="Tabell"/>
            </w:pPr>
            <w:r w:rsidRPr="00780485">
              <w:t>X</w:t>
            </w:r>
          </w:p>
        </w:tc>
      </w:tr>
      <w:tr w:rsidR="00000000" w:rsidRPr="00780485">
        <w:tblPrEx>
          <w:tblCellMar>
            <w:top w:w="0" w:type="dxa"/>
            <w:bottom w:w="0" w:type="dxa"/>
          </w:tblCellMar>
        </w:tblPrEx>
        <w:tc>
          <w:tcPr>
            <w:tcW w:w="1488" w:type="dxa"/>
          </w:tcPr>
          <w:p w:rsidR="007A6E3D" w:rsidRPr="00780485" w:rsidRDefault="007A6E3D">
            <w:pPr>
              <w:pStyle w:val="Tabell"/>
            </w:pPr>
            <w:r w:rsidRPr="00780485">
              <w:t>Följa</w:t>
            </w:r>
          </w:p>
        </w:tc>
        <w:tc>
          <w:tcPr>
            <w:tcW w:w="1417" w:type="dxa"/>
          </w:tcPr>
          <w:p w:rsidR="007A6E3D" w:rsidRPr="00780485" w:rsidRDefault="007A6E3D">
            <w:pPr>
              <w:pStyle w:val="Tabell"/>
            </w:pPr>
            <w:r w:rsidRPr="00780485">
              <w:t>X</w:t>
            </w:r>
          </w:p>
        </w:tc>
        <w:tc>
          <w:tcPr>
            <w:tcW w:w="1418" w:type="dxa"/>
            <w:gridSpan w:val="2"/>
          </w:tcPr>
          <w:p w:rsidR="007A6E3D" w:rsidRPr="00780485" w:rsidRDefault="007A6E3D">
            <w:pPr>
              <w:pStyle w:val="Tabell"/>
            </w:pPr>
            <w:r w:rsidRPr="00780485">
              <w:t>X</w:t>
            </w:r>
          </w:p>
        </w:tc>
        <w:tc>
          <w:tcPr>
            <w:tcW w:w="1701" w:type="dxa"/>
          </w:tcPr>
          <w:p w:rsidR="007A6E3D" w:rsidRPr="00780485" w:rsidRDefault="007A6E3D">
            <w:pPr>
              <w:pStyle w:val="Tabell"/>
            </w:pPr>
            <w:r w:rsidRPr="00780485">
              <w:t>X</w:t>
            </w:r>
          </w:p>
        </w:tc>
      </w:tr>
    </w:tbl>
    <w:p w:rsidR="007A6E3D" w:rsidRPr="00780485" w:rsidRDefault="007A6E3D">
      <w:pPr>
        <w:pStyle w:val="Normaltindrag"/>
        <w:ind w:firstLine="0"/>
      </w:pPr>
    </w:p>
    <w:p w:rsidR="007A6E3D" w:rsidRPr="00780485" w:rsidRDefault="007A6E3D">
      <w:pPr>
        <w:pStyle w:val="Normaltindrag"/>
        <w:ind w:firstLine="0"/>
      </w:pPr>
      <w:r w:rsidRPr="00780485">
        <w:t>Glesbygdsverkets uppgift är inte att driva eller finansiera regionalpolitiska insatser utan att fungera som en expertmyndighet i frågor som berör gles- och landsbygdens utveckling. Verkets uppdrag att utgöra förvaltningsmy</w:t>
      </w:r>
      <w:r w:rsidRPr="00780485">
        <w:t>n</w:t>
      </w:r>
      <w:r w:rsidRPr="00780485">
        <w:t>dighet för gemensamhetsinitiativet LEADER+ innebär att verket administr</w:t>
      </w:r>
      <w:r w:rsidRPr="00780485">
        <w:t>e</w:t>
      </w:r>
      <w:r w:rsidRPr="00780485">
        <w:t>rar regionalpolitiska insatser. Glesbygdsverket har dock små möjligheter att påverka vilka projekt som ska erhålla stöd. Verkets möjligheter att påverka ligger främst i det arbete man utfört med att ta fram de svenska programd</w:t>
      </w:r>
      <w:r w:rsidRPr="00780485">
        <w:t>o</w:t>
      </w:r>
      <w:r w:rsidRPr="00780485">
        <w:t xml:space="preserve">kumenten och i att via kunskapsförmedling stödja de olika projekten under programperioden. </w:t>
      </w:r>
    </w:p>
    <w:p w:rsidR="007A6E3D" w:rsidRPr="00780485" w:rsidRDefault="007A6E3D">
      <w:pPr>
        <w:pStyle w:val="e"/>
      </w:pPr>
      <w:r w:rsidRPr="00780485">
        <w:t>Glesbygdsverkets uppdrag pekar på att myndigheten ska verka inom reg</w:t>
      </w:r>
      <w:r w:rsidRPr="00780485">
        <w:t>i</w:t>
      </w:r>
      <w:r w:rsidRPr="00780485">
        <w:t>onalpolitikens samtliga delområden, dvs. välfärds-, struktur- och stimulan</w:t>
      </w:r>
      <w:r w:rsidRPr="00780485">
        <w:t>s</w:t>
      </w:r>
      <w:r w:rsidRPr="00780485">
        <w:t>politiken. ITPS och NUTEK har inget tydligt uppdrag vad gäller välfärdsp</w:t>
      </w:r>
      <w:r w:rsidRPr="00780485">
        <w:t>o</w:t>
      </w:r>
      <w:r w:rsidRPr="00780485">
        <w:t>litiken. Dessa myndigheter har dock ett bredare uppdrag i och med att de enligt respektive regleringsbrev ska arbeta med utgångspunkt i både regi</w:t>
      </w:r>
      <w:r w:rsidRPr="00780485">
        <w:t>o</w:t>
      </w:r>
      <w:r w:rsidRPr="00780485">
        <w:t>nal- och näringspolitiken samt för ITPS del även innovationspolitiken. Gle</w:t>
      </w:r>
      <w:r w:rsidRPr="00780485">
        <w:t>s</w:t>
      </w:r>
      <w:r w:rsidRPr="00780485">
        <w:t>bygdsverkets uppdrag avgränsar dessutom, till skillnad från de andra my</w:t>
      </w:r>
      <w:r w:rsidRPr="00780485">
        <w:t>n</w:t>
      </w:r>
      <w:r w:rsidRPr="00780485">
        <w:t xml:space="preserve">digheternas uppdrag, bort tätortsbefolkningen. </w:t>
      </w:r>
    </w:p>
    <w:p w:rsidR="007A6E3D" w:rsidRPr="00780485" w:rsidRDefault="007A6E3D">
      <w:pPr>
        <w:pStyle w:val="Normaltindrag"/>
      </w:pPr>
      <w:r w:rsidRPr="00780485">
        <w:t>Av den utredningsverks</w:t>
      </w:r>
      <w:r w:rsidRPr="00780485">
        <w:t>amhet och de propositioner som legat till grund för bildandet av de nya myndigheterna framgår att man velat dela upp det regi</w:t>
      </w:r>
      <w:r w:rsidRPr="00780485">
        <w:t>o</w:t>
      </w:r>
      <w:r w:rsidRPr="00780485">
        <w:t>nal- och näringspolitiska området mellan NUTEK och ITPS. Tanken är att NUTEK ska svara för att på central nivå implementera politiken medan ITPS roll ska vara att i efterhand utvärdera den genomförda politiken. Glesbygd</w:t>
      </w:r>
      <w:r w:rsidRPr="00780485">
        <w:t>s</w:t>
      </w:r>
      <w:r w:rsidRPr="00780485">
        <w:t>verkets roll i regionalpolitiken i förhållande till de nyligen bildade myndi</w:t>
      </w:r>
      <w:r w:rsidRPr="00780485">
        <w:t>g</w:t>
      </w:r>
      <w:r w:rsidRPr="00780485">
        <w:t>heterna har överhuvudtaget inte analyserats i de utredningar som låg till grund för bilda</w:t>
      </w:r>
      <w:r w:rsidRPr="00780485">
        <w:t xml:space="preserve">ndet av den nya myndighetsorganisationen. </w:t>
      </w:r>
    </w:p>
    <w:p w:rsidR="007A6E3D" w:rsidRPr="00780485" w:rsidRDefault="007A6E3D">
      <w:pPr>
        <w:pStyle w:val="Normaltindrag"/>
      </w:pPr>
      <w:r w:rsidRPr="00780485">
        <w:t>Eftersom Glesbygdsverkets uppdrag i stort sett täcker hela det regionalp</w:t>
      </w:r>
      <w:r w:rsidRPr="00780485">
        <w:t>o</w:t>
      </w:r>
      <w:r w:rsidRPr="00780485">
        <w:t>litiska fältet täcks också stora delar av ITPS och NUTEK:s uppdrag. I prakt</w:t>
      </w:r>
      <w:r w:rsidRPr="00780485">
        <w:t>i</w:t>
      </w:r>
      <w:r w:rsidRPr="00780485">
        <w:t>ken finns det dock stora skillnader mellan den verksamhet Glesbygdsverket bedriver och ITPS och NUTEK:s uppdrag. Förhållandet mellan Glesbygd</w:t>
      </w:r>
      <w:r w:rsidRPr="00780485">
        <w:t>s</w:t>
      </w:r>
      <w:r w:rsidRPr="00780485">
        <w:t>verkets verksamhet och övriga regionalpolitiska myndigheters uppdrag u</w:t>
      </w:r>
      <w:r w:rsidRPr="00780485">
        <w:t>t</w:t>
      </w:r>
      <w:r w:rsidRPr="00780485">
        <w:t>vecklas närmare i avsnitt 7.</w:t>
      </w:r>
    </w:p>
    <w:p w:rsidR="007A6E3D" w:rsidRPr="00780485" w:rsidRDefault="007A6E3D">
      <w:pPr>
        <w:pStyle w:val="Rubrik1"/>
      </w:pPr>
      <w:r w:rsidRPr="00780485">
        <w:br w:type="page"/>
      </w:r>
      <w:bookmarkStart w:id="135" w:name="_Toc515097912"/>
      <w:bookmarkStart w:id="136" w:name="_Toc526845460"/>
      <w:bookmarkStart w:id="137" w:name="_Toc526845782"/>
      <w:r w:rsidRPr="00780485">
        <w:t>Granskning av glesbygdsverkets produktion</w:t>
      </w:r>
      <w:bookmarkEnd w:id="135"/>
      <w:bookmarkEnd w:id="136"/>
      <w:bookmarkEnd w:id="137"/>
    </w:p>
    <w:p w:rsidR="007A6E3D" w:rsidRPr="00780485" w:rsidRDefault="007A6E3D">
      <w:r w:rsidRPr="00780485">
        <w:t>I detta kapitel redovisas resultatet av de olika undersökningar som geno</w:t>
      </w:r>
      <w:r w:rsidRPr="00780485">
        <w:t>m</w:t>
      </w:r>
      <w:r w:rsidRPr="00780485">
        <w:t>förts för att kartlägga Gle</w:t>
      </w:r>
      <w:r w:rsidRPr="00780485">
        <w:t>s</w:t>
      </w:r>
      <w:r w:rsidRPr="00780485">
        <w:t xml:space="preserve">bygdsverkets verksamhet. </w:t>
      </w:r>
    </w:p>
    <w:p w:rsidR="007A6E3D" w:rsidRPr="00780485" w:rsidRDefault="007A6E3D">
      <w:pPr>
        <w:pStyle w:val="Rubrik2"/>
      </w:pPr>
      <w:bookmarkStart w:id="138" w:name="_Toc515097913"/>
      <w:bookmarkStart w:id="139" w:name="_Toc526845461"/>
      <w:bookmarkStart w:id="140" w:name="_Toc526845783"/>
      <w:r w:rsidRPr="00780485">
        <w:t>Den skriftliga kunskapsproduktionen</w:t>
      </w:r>
      <w:bookmarkEnd w:id="138"/>
      <w:bookmarkEnd w:id="139"/>
      <w:bookmarkEnd w:id="140"/>
    </w:p>
    <w:p w:rsidR="007A6E3D" w:rsidRPr="00780485" w:rsidRDefault="007A6E3D">
      <w:r w:rsidRPr="00780485">
        <w:t>Som ett led i att kartlägga Glesbygdsverkets verksamhet har revisorerna låtit Nordeg AB kartlägga och analysera delar av verkets skriftliga kunskapspr</w:t>
      </w:r>
      <w:r w:rsidRPr="00780485">
        <w:t>o</w:t>
      </w:r>
      <w:r w:rsidRPr="00780485">
        <w:t>duktion. Syftet med den undersökning som har genomförts är att fördjupa kunskaperna om innehållet i den kunskap som produceras, vilka aktörer Glesbygdsverket vänder sig till och hur verket lyckas med sin påverkan. Totalt har 11 rapporter och 7 remissvar studerats. Dessutom har 7 propos</w:t>
      </w:r>
      <w:r w:rsidRPr="00780485">
        <w:t>i</w:t>
      </w:r>
      <w:r w:rsidRPr="00780485">
        <w:t>tioner analyserats för att söka efter influenser av Glesbygdsverkets ku</w:t>
      </w:r>
      <w:r w:rsidRPr="00780485">
        <w:t>n</w:t>
      </w:r>
      <w:r w:rsidRPr="00780485">
        <w:t>skapspr</w:t>
      </w:r>
      <w:r w:rsidRPr="00780485">
        <w:t>o</w:t>
      </w:r>
      <w:r w:rsidRPr="00780485">
        <w:t xml:space="preserve">duktion. </w:t>
      </w:r>
    </w:p>
    <w:p w:rsidR="007A6E3D" w:rsidRPr="00780485" w:rsidRDefault="007A6E3D">
      <w:pPr>
        <w:pStyle w:val="Rubrik5"/>
        <w:rPr>
          <w:i/>
        </w:rPr>
      </w:pPr>
      <w:r w:rsidRPr="00780485">
        <w:rPr>
          <w:i/>
        </w:rPr>
        <w:t>Glesbygdsverkets rapporter</w:t>
      </w:r>
    </w:p>
    <w:p w:rsidR="007A6E3D" w:rsidRPr="00780485" w:rsidRDefault="007A6E3D">
      <w:r w:rsidRPr="00780485">
        <w:t>De skrifter Glesbygdsverket publicerar är av olika karaktär och består bl.a. av egenproducerade utredningar, skrifter skrivna av externa författare, fors</w:t>
      </w:r>
      <w:r w:rsidRPr="00780485">
        <w:t>k</w:t>
      </w:r>
      <w:r w:rsidRPr="00780485">
        <w:t>ningsrapporter, referat från konferenser, opinionsundersökningar etc. No</w:t>
      </w:r>
      <w:r w:rsidRPr="00780485">
        <w:t>r</w:t>
      </w:r>
      <w:r w:rsidRPr="00780485">
        <w:t>degs undersökning har avgränsats till de skrifter som definierats som ra</w:t>
      </w:r>
      <w:r w:rsidRPr="00780485">
        <w:t>p</w:t>
      </w:r>
      <w:r w:rsidRPr="00780485">
        <w:t xml:space="preserve">porter. Sammanlagt uppfyllde 11 skrifter de urvalskriterier som formulerats för rapporter under perioden från 1997 och framåt (första halvåret 2000). De studerade rapporterna redovisas i tabell 5. En rapport har i detta avseende definierats som en skrift som </w:t>
      </w:r>
    </w:p>
    <w:p w:rsidR="007A6E3D" w:rsidRPr="00780485" w:rsidRDefault="007A6E3D">
      <w:pPr>
        <w:pStyle w:val="Normaltindrag"/>
        <w:numPr>
          <w:ilvl w:val="0"/>
          <w:numId w:val="151"/>
        </w:numPr>
      </w:pPr>
      <w:r w:rsidRPr="00780485">
        <w:t>behandlar teman eller frågor som ligger centralt sett utifrån Glesbygd</w:t>
      </w:r>
      <w:r w:rsidRPr="00780485">
        <w:t>s</w:t>
      </w:r>
      <w:r w:rsidRPr="00780485">
        <w:t>verkets uppdrag som stabsmyndighet respektive förändrings</w:t>
      </w:r>
      <w:r w:rsidRPr="00780485">
        <w:t>a</w:t>
      </w:r>
      <w:r w:rsidRPr="00780485">
        <w:t>gent och</w:t>
      </w:r>
    </w:p>
    <w:p w:rsidR="007A6E3D" w:rsidRPr="00780485" w:rsidRDefault="007A6E3D">
      <w:pPr>
        <w:pStyle w:val="Normaltindrag"/>
        <w:numPr>
          <w:ilvl w:val="0"/>
          <w:numId w:val="151"/>
        </w:numPr>
      </w:pPr>
      <w:r w:rsidRPr="00780485">
        <w:t>är empiriskt förankrad samt</w:t>
      </w:r>
    </w:p>
    <w:p w:rsidR="007A6E3D" w:rsidRPr="00780485" w:rsidRDefault="007A6E3D">
      <w:pPr>
        <w:pStyle w:val="Normaltindrag"/>
        <w:numPr>
          <w:ilvl w:val="0"/>
          <w:numId w:val="151"/>
        </w:numPr>
      </w:pPr>
      <w:r w:rsidRPr="00780485">
        <w:t>innehåller egna ställningstaganden, med minimikrav att skriften i ett förord eller liknande rekommenderas till läsning.</w:t>
      </w:r>
    </w:p>
    <w:p w:rsidR="007A6E3D" w:rsidRPr="00780485" w:rsidRDefault="007A6E3D">
      <w:pPr>
        <w:pStyle w:val="t"/>
      </w:pPr>
      <w:r w:rsidRPr="00780485">
        <w:t>Tabell 5. Analyserade rapporter från perioden 1997 till juli 2000</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4465"/>
        <w:gridCol w:w="578"/>
        <w:gridCol w:w="989"/>
      </w:tblGrid>
      <w:tr w:rsidR="00000000" w:rsidRPr="00780485">
        <w:tblPrEx>
          <w:tblCellMar>
            <w:top w:w="0" w:type="dxa"/>
            <w:bottom w:w="0" w:type="dxa"/>
          </w:tblCellMar>
        </w:tblPrEx>
        <w:tc>
          <w:tcPr>
            <w:tcW w:w="4465" w:type="dxa"/>
          </w:tcPr>
          <w:p w:rsidR="007A6E3D" w:rsidRPr="00780485" w:rsidRDefault="007A6E3D">
            <w:pPr>
              <w:pStyle w:val="Tabellrubrik"/>
            </w:pPr>
            <w:r w:rsidRPr="00780485">
              <w:t>Titel</w:t>
            </w:r>
          </w:p>
        </w:tc>
        <w:tc>
          <w:tcPr>
            <w:tcW w:w="578" w:type="dxa"/>
          </w:tcPr>
          <w:p w:rsidR="007A6E3D" w:rsidRPr="00780485" w:rsidRDefault="007A6E3D">
            <w:pPr>
              <w:pStyle w:val="Tabellrubrik"/>
            </w:pPr>
            <w:r w:rsidRPr="00780485">
              <w:t>År</w:t>
            </w:r>
          </w:p>
        </w:tc>
        <w:tc>
          <w:tcPr>
            <w:tcW w:w="989" w:type="dxa"/>
          </w:tcPr>
          <w:p w:rsidR="007A6E3D" w:rsidRPr="00780485" w:rsidRDefault="007A6E3D">
            <w:pPr>
              <w:pStyle w:val="Tabellrubrik"/>
            </w:pPr>
            <w:r w:rsidRPr="00780485">
              <w:t>Utför</w:t>
            </w:r>
            <w:r w:rsidRPr="00780485">
              <w:t>a</w:t>
            </w:r>
            <w:r w:rsidRPr="00780485">
              <w:t>re</w:t>
            </w:r>
          </w:p>
        </w:tc>
      </w:tr>
      <w:tr w:rsidR="00000000" w:rsidRPr="00780485">
        <w:tblPrEx>
          <w:tblCellMar>
            <w:top w:w="0" w:type="dxa"/>
            <w:bottom w:w="0" w:type="dxa"/>
          </w:tblCellMar>
        </w:tblPrEx>
        <w:tc>
          <w:tcPr>
            <w:tcW w:w="4465" w:type="dxa"/>
          </w:tcPr>
          <w:p w:rsidR="007A6E3D" w:rsidRPr="00780485" w:rsidRDefault="007A6E3D">
            <w:pPr>
              <w:pStyle w:val="Tabell"/>
            </w:pPr>
            <w:r w:rsidRPr="00780485">
              <w:t>Synen i Sverige på viktiga åtgärder för gles- och land</w:t>
            </w:r>
            <w:r w:rsidRPr="00780485">
              <w:t>s</w:t>
            </w:r>
            <w:r w:rsidRPr="00780485">
              <w:t xml:space="preserve">bygd </w:t>
            </w:r>
          </w:p>
        </w:tc>
        <w:tc>
          <w:tcPr>
            <w:tcW w:w="578" w:type="dxa"/>
          </w:tcPr>
          <w:p w:rsidR="007A6E3D" w:rsidRPr="00780485" w:rsidRDefault="007A6E3D">
            <w:pPr>
              <w:pStyle w:val="Tabell"/>
            </w:pPr>
            <w:r w:rsidRPr="00780485">
              <w:t>2000</w:t>
            </w:r>
          </w:p>
        </w:tc>
        <w:tc>
          <w:tcPr>
            <w:tcW w:w="989" w:type="dxa"/>
          </w:tcPr>
          <w:p w:rsidR="007A6E3D" w:rsidRPr="00780485" w:rsidRDefault="007A6E3D">
            <w:pPr>
              <w:pStyle w:val="Tabell"/>
            </w:pPr>
            <w:r w:rsidRPr="00780485">
              <w:t>extern</w:t>
            </w:r>
          </w:p>
        </w:tc>
      </w:tr>
      <w:tr w:rsidR="00000000" w:rsidRPr="00780485">
        <w:tblPrEx>
          <w:tblCellMar>
            <w:top w:w="0" w:type="dxa"/>
            <w:bottom w:w="0" w:type="dxa"/>
          </w:tblCellMar>
        </w:tblPrEx>
        <w:tc>
          <w:tcPr>
            <w:tcW w:w="4465" w:type="dxa"/>
          </w:tcPr>
          <w:p w:rsidR="007A6E3D" w:rsidRPr="00780485" w:rsidRDefault="007A6E3D">
            <w:pPr>
              <w:pStyle w:val="Tabell"/>
            </w:pPr>
            <w:r w:rsidRPr="00780485">
              <w:t>Årsbok 2000 – utveckling i gles- och landsbygder</w:t>
            </w:r>
          </w:p>
        </w:tc>
        <w:tc>
          <w:tcPr>
            <w:tcW w:w="578" w:type="dxa"/>
          </w:tcPr>
          <w:p w:rsidR="007A6E3D" w:rsidRPr="00780485" w:rsidRDefault="007A6E3D">
            <w:pPr>
              <w:pStyle w:val="Tabell"/>
            </w:pPr>
            <w:r w:rsidRPr="00780485">
              <w:t>2000</w:t>
            </w:r>
          </w:p>
        </w:tc>
        <w:tc>
          <w:tcPr>
            <w:tcW w:w="989" w:type="dxa"/>
            <w:shd w:val="clear" w:color="auto" w:fill="FFFFFF"/>
          </w:tcPr>
          <w:p w:rsidR="007A6E3D" w:rsidRPr="00780485" w:rsidRDefault="007A6E3D">
            <w:pPr>
              <w:pStyle w:val="Tabell"/>
            </w:pPr>
            <w:r w:rsidRPr="00780485">
              <w:rPr>
                <w:shd w:val="clear" w:color="auto" w:fill="FFFFFF"/>
              </w:rPr>
              <w:t>intern</w:t>
            </w:r>
          </w:p>
        </w:tc>
      </w:tr>
      <w:tr w:rsidR="00000000" w:rsidRPr="00780485">
        <w:tblPrEx>
          <w:tblCellMar>
            <w:top w:w="0" w:type="dxa"/>
            <w:bottom w:w="0" w:type="dxa"/>
          </w:tblCellMar>
        </w:tblPrEx>
        <w:tc>
          <w:tcPr>
            <w:tcW w:w="4465" w:type="dxa"/>
          </w:tcPr>
          <w:p w:rsidR="007A6E3D" w:rsidRPr="00780485" w:rsidRDefault="007A6E3D">
            <w:pPr>
              <w:pStyle w:val="Tabell"/>
            </w:pPr>
            <w:r w:rsidRPr="00780485">
              <w:t>Årsrapport 2000 – utvecklingen av befolkning, sysselsättning och service i gle</w:t>
            </w:r>
            <w:r w:rsidRPr="00780485">
              <w:t>s</w:t>
            </w:r>
            <w:r w:rsidRPr="00780485">
              <w:t xml:space="preserve">bygd </w:t>
            </w:r>
          </w:p>
        </w:tc>
        <w:tc>
          <w:tcPr>
            <w:tcW w:w="578" w:type="dxa"/>
          </w:tcPr>
          <w:p w:rsidR="007A6E3D" w:rsidRPr="00780485" w:rsidRDefault="007A6E3D">
            <w:pPr>
              <w:pStyle w:val="Tabell"/>
            </w:pPr>
            <w:r w:rsidRPr="00780485">
              <w:t>2000</w:t>
            </w:r>
          </w:p>
        </w:tc>
        <w:tc>
          <w:tcPr>
            <w:tcW w:w="989" w:type="dxa"/>
          </w:tcPr>
          <w:p w:rsidR="007A6E3D" w:rsidRPr="00780485" w:rsidRDefault="007A6E3D">
            <w:pPr>
              <w:pStyle w:val="Tabell"/>
            </w:pPr>
            <w:r w:rsidRPr="00780485">
              <w:t>intern</w:t>
            </w:r>
          </w:p>
        </w:tc>
      </w:tr>
      <w:tr w:rsidR="00000000" w:rsidRPr="00780485">
        <w:tblPrEx>
          <w:tblCellMar>
            <w:top w:w="0" w:type="dxa"/>
            <w:bottom w:w="0" w:type="dxa"/>
          </w:tblCellMar>
        </w:tblPrEx>
        <w:tc>
          <w:tcPr>
            <w:tcW w:w="4465" w:type="dxa"/>
          </w:tcPr>
          <w:p w:rsidR="007A6E3D" w:rsidRPr="00780485" w:rsidRDefault="007A6E3D">
            <w:pPr>
              <w:pStyle w:val="Tabell"/>
            </w:pPr>
            <w:r w:rsidRPr="00780485">
              <w:t>Servicedatabasen – en ny kunskap</w:t>
            </w:r>
            <w:r w:rsidRPr="00780485">
              <w:t>s</w:t>
            </w:r>
            <w:r w:rsidRPr="00780485">
              <w:t xml:space="preserve">bank </w:t>
            </w:r>
          </w:p>
        </w:tc>
        <w:tc>
          <w:tcPr>
            <w:tcW w:w="578" w:type="dxa"/>
          </w:tcPr>
          <w:p w:rsidR="007A6E3D" w:rsidRPr="00780485" w:rsidRDefault="007A6E3D">
            <w:pPr>
              <w:pStyle w:val="Tabell"/>
            </w:pPr>
            <w:r w:rsidRPr="00780485">
              <w:t>2000</w:t>
            </w:r>
          </w:p>
        </w:tc>
        <w:tc>
          <w:tcPr>
            <w:tcW w:w="989" w:type="dxa"/>
          </w:tcPr>
          <w:p w:rsidR="007A6E3D" w:rsidRPr="00780485" w:rsidRDefault="007A6E3D">
            <w:pPr>
              <w:pStyle w:val="Tabell"/>
            </w:pPr>
            <w:r w:rsidRPr="00780485">
              <w:t>samve</w:t>
            </w:r>
            <w:r w:rsidRPr="00780485">
              <w:t>r</w:t>
            </w:r>
            <w:r w:rsidRPr="00780485">
              <w:t>kan</w:t>
            </w:r>
          </w:p>
        </w:tc>
      </w:tr>
      <w:tr w:rsidR="00000000" w:rsidRPr="00780485">
        <w:tblPrEx>
          <w:tblCellMar>
            <w:top w:w="0" w:type="dxa"/>
            <w:bottom w:w="0" w:type="dxa"/>
          </w:tblCellMar>
        </w:tblPrEx>
        <w:tc>
          <w:tcPr>
            <w:tcW w:w="4465" w:type="dxa"/>
          </w:tcPr>
          <w:p w:rsidR="007A6E3D" w:rsidRPr="00780485" w:rsidRDefault="007A6E3D">
            <w:pPr>
              <w:pStyle w:val="Tabell"/>
            </w:pPr>
            <w:r w:rsidRPr="00780485">
              <w:t xml:space="preserve">Skolan mitt i byn </w:t>
            </w:r>
          </w:p>
        </w:tc>
        <w:tc>
          <w:tcPr>
            <w:tcW w:w="578" w:type="dxa"/>
          </w:tcPr>
          <w:p w:rsidR="007A6E3D" w:rsidRPr="00780485" w:rsidRDefault="007A6E3D">
            <w:pPr>
              <w:pStyle w:val="Tabell"/>
            </w:pPr>
            <w:r w:rsidRPr="00780485">
              <w:t>1999</w:t>
            </w:r>
          </w:p>
        </w:tc>
        <w:tc>
          <w:tcPr>
            <w:tcW w:w="989" w:type="dxa"/>
          </w:tcPr>
          <w:p w:rsidR="007A6E3D" w:rsidRPr="00780485" w:rsidRDefault="007A6E3D">
            <w:pPr>
              <w:pStyle w:val="Tabell"/>
            </w:pPr>
            <w:r w:rsidRPr="00780485">
              <w:t>extern</w:t>
            </w:r>
          </w:p>
        </w:tc>
      </w:tr>
      <w:tr w:rsidR="00000000" w:rsidRPr="00780485">
        <w:tblPrEx>
          <w:tblCellMar>
            <w:top w:w="0" w:type="dxa"/>
            <w:bottom w:w="0" w:type="dxa"/>
          </w:tblCellMar>
        </w:tblPrEx>
        <w:tc>
          <w:tcPr>
            <w:tcW w:w="4465" w:type="dxa"/>
          </w:tcPr>
          <w:p w:rsidR="007A6E3D" w:rsidRPr="00780485" w:rsidRDefault="007A6E3D">
            <w:pPr>
              <w:pStyle w:val="Tabell"/>
            </w:pPr>
            <w:r w:rsidRPr="00780485">
              <w:t xml:space="preserve">Tar statliga myndigheter regionalpolitiskt ansvar? </w:t>
            </w:r>
          </w:p>
        </w:tc>
        <w:tc>
          <w:tcPr>
            <w:tcW w:w="578" w:type="dxa"/>
          </w:tcPr>
          <w:p w:rsidR="007A6E3D" w:rsidRPr="00780485" w:rsidRDefault="007A6E3D">
            <w:pPr>
              <w:pStyle w:val="Tabell"/>
            </w:pPr>
            <w:r w:rsidRPr="00780485">
              <w:t>1999</w:t>
            </w:r>
          </w:p>
        </w:tc>
        <w:tc>
          <w:tcPr>
            <w:tcW w:w="989" w:type="dxa"/>
          </w:tcPr>
          <w:p w:rsidR="007A6E3D" w:rsidRPr="00780485" w:rsidRDefault="007A6E3D">
            <w:pPr>
              <w:pStyle w:val="Tabell"/>
            </w:pPr>
            <w:r w:rsidRPr="00780485">
              <w:rPr>
                <w:shd w:val="clear" w:color="auto" w:fill="FFFFFF"/>
              </w:rPr>
              <w:t>intern</w:t>
            </w:r>
          </w:p>
        </w:tc>
      </w:tr>
      <w:tr w:rsidR="00000000" w:rsidRPr="00780485">
        <w:tblPrEx>
          <w:tblCellMar>
            <w:top w:w="0" w:type="dxa"/>
            <w:bottom w:w="0" w:type="dxa"/>
          </w:tblCellMar>
        </w:tblPrEx>
        <w:tc>
          <w:tcPr>
            <w:tcW w:w="4465" w:type="dxa"/>
          </w:tcPr>
          <w:p w:rsidR="007A6E3D" w:rsidRPr="00780485" w:rsidRDefault="007A6E3D">
            <w:pPr>
              <w:pStyle w:val="Tabell"/>
            </w:pPr>
            <w:r w:rsidRPr="00780485">
              <w:t xml:space="preserve">Åtgärdsprogram för kunskapsintensiv produktion i gles- och landsbygd </w:t>
            </w:r>
          </w:p>
        </w:tc>
        <w:tc>
          <w:tcPr>
            <w:tcW w:w="578" w:type="dxa"/>
          </w:tcPr>
          <w:p w:rsidR="007A6E3D" w:rsidRPr="00780485" w:rsidRDefault="007A6E3D">
            <w:pPr>
              <w:pStyle w:val="Tabell"/>
            </w:pPr>
            <w:r w:rsidRPr="00780485">
              <w:t>1999</w:t>
            </w:r>
          </w:p>
        </w:tc>
        <w:tc>
          <w:tcPr>
            <w:tcW w:w="989" w:type="dxa"/>
          </w:tcPr>
          <w:p w:rsidR="007A6E3D" w:rsidRPr="00780485" w:rsidRDefault="007A6E3D">
            <w:pPr>
              <w:pStyle w:val="Tabell"/>
            </w:pPr>
            <w:r w:rsidRPr="00780485">
              <w:t>samve</w:t>
            </w:r>
            <w:r w:rsidRPr="00780485">
              <w:t>r</w:t>
            </w:r>
            <w:r w:rsidRPr="00780485">
              <w:t>kan</w:t>
            </w:r>
          </w:p>
        </w:tc>
      </w:tr>
      <w:tr w:rsidR="00000000" w:rsidRPr="00780485">
        <w:tblPrEx>
          <w:tblCellMar>
            <w:top w:w="0" w:type="dxa"/>
            <w:bottom w:w="0" w:type="dxa"/>
          </w:tblCellMar>
        </w:tblPrEx>
        <w:tc>
          <w:tcPr>
            <w:tcW w:w="4465" w:type="dxa"/>
          </w:tcPr>
          <w:p w:rsidR="007A6E3D" w:rsidRPr="00780485" w:rsidRDefault="007A6E3D">
            <w:pPr>
              <w:pStyle w:val="Tabell"/>
            </w:pPr>
            <w:r w:rsidRPr="00780485">
              <w:t>Byapolitiska profiler och demokratisk förnyelse – på komm</w:t>
            </w:r>
            <w:r w:rsidRPr="00780485">
              <w:t>u</w:t>
            </w:r>
            <w:r w:rsidRPr="00780485">
              <w:t xml:space="preserve">nal och lokal nivå </w:t>
            </w:r>
          </w:p>
        </w:tc>
        <w:tc>
          <w:tcPr>
            <w:tcW w:w="578" w:type="dxa"/>
          </w:tcPr>
          <w:p w:rsidR="007A6E3D" w:rsidRPr="00780485" w:rsidRDefault="007A6E3D">
            <w:pPr>
              <w:pStyle w:val="Tabell"/>
            </w:pPr>
            <w:r w:rsidRPr="00780485">
              <w:t>1998</w:t>
            </w:r>
          </w:p>
        </w:tc>
        <w:tc>
          <w:tcPr>
            <w:tcW w:w="989" w:type="dxa"/>
          </w:tcPr>
          <w:p w:rsidR="007A6E3D" w:rsidRPr="00780485" w:rsidRDefault="007A6E3D">
            <w:pPr>
              <w:pStyle w:val="Tabell"/>
            </w:pPr>
            <w:r w:rsidRPr="00780485">
              <w:t>extern</w:t>
            </w:r>
          </w:p>
        </w:tc>
      </w:tr>
      <w:tr w:rsidR="00000000" w:rsidRPr="00780485">
        <w:tblPrEx>
          <w:tblCellMar>
            <w:top w:w="0" w:type="dxa"/>
            <w:bottom w:w="0" w:type="dxa"/>
          </w:tblCellMar>
        </w:tblPrEx>
        <w:tc>
          <w:tcPr>
            <w:tcW w:w="4465" w:type="dxa"/>
          </w:tcPr>
          <w:p w:rsidR="007A6E3D" w:rsidRPr="00780485" w:rsidRDefault="007A6E3D">
            <w:pPr>
              <w:pStyle w:val="Tabell"/>
            </w:pPr>
            <w:r w:rsidRPr="00780485">
              <w:t>Näringsakt Norrlands inland</w:t>
            </w:r>
          </w:p>
        </w:tc>
        <w:tc>
          <w:tcPr>
            <w:tcW w:w="578" w:type="dxa"/>
          </w:tcPr>
          <w:p w:rsidR="007A6E3D" w:rsidRPr="00780485" w:rsidRDefault="007A6E3D">
            <w:pPr>
              <w:pStyle w:val="Tabell"/>
            </w:pPr>
            <w:r w:rsidRPr="00780485">
              <w:t>1998</w:t>
            </w:r>
          </w:p>
        </w:tc>
        <w:tc>
          <w:tcPr>
            <w:tcW w:w="989" w:type="dxa"/>
          </w:tcPr>
          <w:p w:rsidR="007A6E3D" w:rsidRPr="00780485" w:rsidRDefault="007A6E3D">
            <w:pPr>
              <w:pStyle w:val="Tabell"/>
            </w:pPr>
            <w:r w:rsidRPr="00780485">
              <w:t>samve</w:t>
            </w:r>
            <w:r w:rsidRPr="00780485">
              <w:t>r</w:t>
            </w:r>
            <w:r w:rsidRPr="00780485">
              <w:t>kan</w:t>
            </w:r>
          </w:p>
        </w:tc>
      </w:tr>
      <w:tr w:rsidR="00000000" w:rsidRPr="00780485">
        <w:tblPrEx>
          <w:tblCellMar>
            <w:top w:w="0" w:type="dxa"/>
            <w:bottom w:w="0" w:type="dxa"/>
          </w:tblCellMar>
        </w:tblPrEx>
        <w:tc>
          <w:tcPr>
            <w:tcW w:w="4465" w:type="dxa"/>
          </w:tcPr>
          <w:p w:rsidR="007A6E3D" w:rsidRPr="00780485" w:rsidRDefault="007A6E3D">
            <w:pPr>
              <w:pStyle w:val="Tabell"/>
            </w:pPr>
            <w:r w:rsidRPr="00780485">
              <w:t>Förnyelsens landskap – bygdepolitik för 2000-talet</w:t>
            </w:r>
          </w:p>
        </w:tc>
        <w:tc>
          <w:tcPr>
            <w:tcW w:w="578" w:type="dxa"/>
          </w:tcPr>
          <w:p w:rsidR="007A6E3D" w:rsidRPr="00780485" w:rsidRDefault="007A6E3D">
            <w:pPr>
              <w:pStyle w:val="Tabell"/>
            </w:pPr>
            <w:r w:rsidRPr="00780485">
              <w:t>1997</w:t>
            </w:r>
          </w:p>
        </w:tc>
        <w:tc>
          <w:tcPr>
            <w:tcW w:w="989" w:type="dxa"/>
          </w:tcPr>
          <w:p w:rsidR="007A6E3D" w:rsidRPr="00780485" w:rsidRDefault="007A6E3D">
            <w:pPr>
              <w:pStyle w:val="Tabell"/>
            </w:pPr>
            <w:r w:rsidRPr="00780485">
              <w:t>samve</w:t>
            </w:r>
            <w:r w:rsidRPr="00780485">
              <w:t>r</w:t>
            </w:r>
            <w:r w:rsidRPr="00780485">
              <w:t>kan</w:t>
            </w:r>
          </w:p>
        </w:tc>
      </w:tr>
      <w:tr w:rsidR="00000000" w:rsidRPr="00780485">
        <w:tblPrEx>
          <w:tblCellMar>
            <w:top w:w="0" w:type="dxa"/>
            <w:bottom w:w="0" w:type="dxa"/>
          </w:tblCellMar>
        </w:tblPrEx>
        <w:tc>
          <w:tcPr>
            <w:tcW w:w="4465" w:type="dxa"/>
          </w:tcPr>
          <w:p w:rsidR="007A6E3D" w:rsidRPr="00780485" w:rsidRDefault="007A6E3D">
            <w:pPr>
              <w:pStyle w:val="Tabell"/>
            </w:pPr>
            <w:r w:rsidRPr="00780485">
              <w:t>Service i gles- och landsbygd – analys och åtgä</w:t>
            </w:r>
            <w:r w:rsidRPr="00780485">
              <w:t>r</w:t>
            </w:r>
            <w:r w:rsidRPr="00780485">
              <w:t xml:space="preserve">der </w:t>
            </w:r>
          </w:p>
        </w:tc>
        <w:tc>
          <w:tcPr>
            <w:tcW w:w="578" w:type="dxa"/>
          </w:tcPr>
          <w:p w:rsidR="007A6E3D" w:rsidRPr="00780485" w:rsidRDefault="007A6E3D">
            <w:pPr>
              <w:pStyle w:val="Tabell"/>
            </w:pPr>
            <w:r w:rsidRPr="00780485">
              <w:t>1997</w:t>
            </w:r>
          </w:p>
        </w:tc>
        <w:tc>
          <w:tcPr>
            <w:tcW w:w="989" w:type="dxa"/>
          </w:tcPr>
          <w:p w:rsidR="007A6E3D" w:rsidRPr="00780485" w:rsidRDefault="007A6E3D">
            <w:pPr>
              <w:pStyle w:val="Tabell"/>
            </w:pPr>
            <w:r w:rsidRPr="00780485">
              <w:t>samve</w:t>
            </w:r>
            <w:r w:rsidRPr="00780485">
              <w:t>r</w:t>
            </w:r>
            <w:r w:rsidRPr="00780485">
              <w:t>kan</w:t>
            </w:r>
          </w:p>
        </w:tc>
      </w:tr>
    </w:tbl>
    <w:p w:rsidR="007A6E3D" w:rsidRPr="00780485" w:rsidRDefault="007A6E3D">
      <w:pPr>
        <w:pStyle w:val="Fotnotstext"/>
      </w:pPr>
      <w:r w:rsidRPr="00780485">
        <w:t>Källa: Nordeg 2001</w:t>
      </w:r>
    </w:p>
    <w:p w:rsidR="007A6E3D" w:rsidRPr="00780485" w:rsidRDefault="007A6E3D">
      <w:r w:rsidRPr="00780485">
        <w:t>Urvalskriterierna innebär att allmänt informationsmaterial och dokument skrivna av externa författare där verket inte tar ställning till innehållet inte ingår i urvalet av rapporter. Detsamma gäller för redovisning av statistiska uppgifter som inte förses med analys och ställningstagande, folklivsorienterat material, konferensdokumentationer, fotoreportage och projektk</w:t>
      </w:r>
      <w:r w:rsidRPr="00780485">
        <w:t>a</w:t>
      </w:r>
      <w:r w:rsidRPr="00780485">
        <w:t xml:space="preserve">taloger. </w:t>
      </w:r>
    </w:p>
    <w:p w:rsidR="007A6E3D" w:rsidRPr="00780485" w:rsidRDefault="007A6E3D">
      <w:pPr>
        <w:pStyle w:val="Normaltindrag"/>
      </w:pPr>
      <w:r w:rsidRPr="00780485">
        <w:t>Det bortsorterade materialet kan innehålla central information för att b</w:t>
      </w:r>
      <w:r w:rsidRPr="00780485">
        <w:t>e</w:t>
      </w:r>
      <w:r w:rsidRPr="00780485">
        <w:t>skriva utvecklingen i gles- och landsbygder. Att till exempel dokumentera forskningskonferenser är ett effektivt sätt att sprida aktuella forskningsresu</w:t>
      </w:r>
      <w:r w:rsidRPr="00780485">
        <w:t>l</w:t>
      </w:r>
      <w:r w:rsidRPr="00780485">
        <w:t>tat till en större krets av läsare. Kärnan av den kunskap om utvecklingen i gles- och landsbygder som Glesbygdsverket självt producerar bör dock fån</w:t>
      </w:r>
      <w:r w:rsidRPr="00780485">
        <w:t>g</w:t>
      </w:r>
      <w:r w:rsidRPr="00780485">
        <w:t>as upp i det studerade mat</w:t>
      </w:r>
      <w:r w:rsidRPr="00780485">
        <w:t>e</w:t>
      </w:r>
      <w:r w:rsidRPr="00780485">
        <w:t>rialet.</w:t>
      </w:r>
    </w:p>
    <w:p w:rsidR="007A6E3D" w:rsidRPr="00780485" w:rsidRDefault="007A6E3D">
      <w:pPr>
        <w:pStyle w:val="Normaltindrag"/>
      </w:pPr>
      <w:r w:rsidRPr="00780485">
        <w:t>Rapporternas innehåll och karaktär har analyserats med hjälp av ett särskilt utvecklat schema för innehållsanalys. En grov indelning av rapporterna bas</w:t>
      </w:r>
      <w:r w:rsidRPr="00780485">
        <w:t>e</w:t>
      </w:r>
      <w:r w:rsidRPr="00780485">
        <w:t>rad på verkets verksamhetsmål för budgetåret 2000 visar att produktionen fördelas jämnt mellan sektorssamordning (3), beslutsunderlag (5) och ku</w:t>
      </w:r>
      <w:r w:rsidRPr="00780485">
        <w:t>n</w:t>
      </w:r>
      <w:r w:rsidRPr="00780485">
        <w:t>skapsförmedling (4). Den lilla övervikt som produktionen av beslutsunderlag har avspeglas också i målgruppsbilden där Regeringskansliet är vanligast förekomma</w:t>
      </w:r>
      <w:r w:rsidRPr="00780485">
        <w:t>n</w:t>
      </w:r>
      <w:r w:rsidRPr="00780485">
        <w:t>de.</w:t>
      </w:r>
    </w:p>
    <w:p w:rsidR="007A6E3D" w:rsidRPr="00780485" w:rsidRDefault="007A6E3D">
      <w:pPr>
        <w:pStyle w:val="Normaltindrag"/>
      </w:pPr>
      <w:r w:rsidRPr="00780485">
        <w:t xml:space="preserve">Nordeg skriver att rapportproduktionen präglas av att Glesbygdsverket gärna samverkar med andra aktörer och att konsulter </w:t>
      </w:r>
      <w:r w:rsidRPr="00780485">
        <w:noBreakHyphen/>
        <w:t xml:space="preserve"> framför allt forskare </w:t>
      </w:r>
      <w:r w:rsidRPr="00780485">
        <w:noBreakHyphen/>
        <w:t xml:space="preserve"> har engagerats vid flera tillfällen. Rapporterna är av mycket disparat natur; och resultatet antyder att strategin bakom valet av ämnen – om det har fo</w:t>
      </w:r>
      <w:r w:rsidRPr="00780485">
        <w:t>r</w:t>
      </w:r>
      <w:r w:rsidRPr="00780485">
        <w:t>mulerats en sådan – är att täcka hela fältet av rapporttyper. I tabell 6 redov</w:t>
      </w:r>
      <w:r w:rsidRPr="00780485">
        <w:t>i</w:t>
      </w:r>
      <w:r w:rsidRPr="00780485">
        <w:t>sas resultatet av kategoriseringen av rapporter på kategori och primär må</w:t>
      </w:r>
      <w:r w:rsidRPr="00780485">
        <w:t>l</w:t>
      </w:r>
      <w:r w:rsidRPr="00780485">
        <w:t xml:space="preserve">grupp. </w:t>
      </w:r>
    </w:p>
    <w:p w:rsidR="007A6E3D" w:rsidRPr="00780485" w:rsidRDefault="007A6E3D">
      <w:pPr>
        <w:pStyle w:val="t"/>
      </w:pPr>
      <w:r w:rsidRPr="00780485">
        <w:t>Tabell 6. Rapporttyp och primär målgrupp</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421"/>
        <w:gridCol w:w="360"/>
        <w:gridCol w:w="2265"/>
        <w:gridCol w:w="360"/>
      </w:tblGrid>
      <w:tr w:rsidR="00000000" w:rsidRPr="00780485">
        <w:tblPrEx>
          <w:tblCellMar>
            <w:top w:w="0" w:type="dxa"/>
            <w:bottom w:w="0" w:type="dxa"/>
          </w:tblCellMar>
        </w:tblPrEx>
        <w:tc>
          <w:tcPr>
            <w:tcW w:w="2421" w:type="dxa"/>
            <w:tcBorders>
              <w:bottom w:val="single" w:sz="6" w:space="0" w:color="008000"/>
            </w:tcBorders>
          </w:tcPr>
          <w:p w:rsidR="007A6E3D" w:rsidRPr="00780485" w:rsidRDefault="007A6E3D">
            <w:pPr>
              <w:pStyle w:val="Tabellrubrik"/>
              <w:rPr>
                <w:b w:val="0"/>
              </w:rPr>
            </w:pPr>
            <w:r w:rsidRPr="00780485">
              <w:rPr>
                <w:b w:val="0"/>
              </w:rPr>
              <w:t>Rapporttyp</w:t>
            </w:r>
          </w:p>
        </w:tc>
        <w:tc>
          <w:tcPr>
            <w:tcW w:w="360" w:type="dxa"/>
            <w:tcBorders>
              <w:bottom w:val="single" w:sz="6" w:space="0" w:color="008000"/>
            </w:tcBorders>
          </w:tcPr>
          <w:p w:rsidR="007A6E3D" w:rsidRPr="00780485" w:rsidRDefault="007A6E3D">
            <w:pPr>
              <w:pStyle w:val="Tabellrubrik"/>
              <w:rPr>
                <w:b w:val="0"/>
              </w:rPr>
            </w:pPr>
          </w:p>
        </w:tc>
        <w:tc>
          <w:tcPr>
            <w:tcW w:w="2265" w:type="dxa"/>
            <w:tcBorders>
              <w:bottom w:val="single" w:sz="6" w:space="0" w:color="008000"/>
            </w:tcBorders>
          </w:tcPr>
          <w:p w:rsidR="007A6E3D" w:rsidRPr="00780485" w:rsidRDefault="007A6E3D">
            <w:pPr>
              <w:pStyle w:val="Tabellrubrik"/>
              <w:rPr>
                <w:b w:val="0"/>
              </w:rPr>
            </w:pPr>
            <w:r w:rsidRPr="00780485">
              <w:rPr>
                <w:b w:val="0"/>
              </w:rPr>
              <w:t>Rapportens primära må</w:t>
            </w:r>
            <w:r w:rsidRPr="00780485">
              <w:rPr>
                <w:b w:val="0"/>
              </w:rPr>
              <w:t>l</w:t>
            </w:r>
            <w:r w:rsidRPr="00780485">
              <w:rPr>
                <w:b w:val="0"/>
              </w:rPr>
              <w:t>grupp</w:t>
            </w:r>
          </w:p>
        </w:tc>
        <w:tc>
          <w:tcPr>
            <w:tcW w:w="360" w:type="dxa"/>
            <w:tcBorders>
              <w:bottom w:val="single" w:sz="6" w:space="0" w:color="008000"/>
            </w:tcBorders>
          </w:tcPr>
          <w:p w:rsidR="007A6E3D" w:rsidRPr="00780485" w:rsidRDefault="007A6E3D">
            <w:pPr>
              <w:pStyle w:val="Tabellrubrik"/>
              <w:rPr>
                <w:b w:val="0"/>
              </w:rPr>
            </w:pPr>
          </w:p>
        </w:tc>
      </w:tr>
      <w:tr w:rsidR="00000000" w:rsidRPr="00780485">
        <w:tblPrEx>
          <w:tblCellMar>
            <w:top w:w="0" w:type="dxa"/>
            <w:bottom w:w="0" w:type="dxa"/>
          </w:tblCellMar>
        </w:tblPrEx>
        <w:tc>
          <w:tcPr>
            <w:tcW w:w="2421" w:type="dxa"/>
          </w:tcPr>
          <w:p w:rsidR="007A6E3D" w:rsidRPr="00780485" w:rsidRDefault="007A6E3D">
            <w:pPr>
              <w:pStyle w:val="Tabell"/>
            </w:pPr>
            <w:r w:rsidRPr="00780485">
              <w:t xml:space="preserve">Program </w:t>
            </w:r>
          </w:p>
        </w:tc>
        <w:tc>
          <w:tcPr>
            <w:tcW w:w="360" w:type="dxa"/>
          </w:tcPr>
          <w:p w:rsidR="007A6E3D" w:rsidRPr="00780485" w:rsidRDefault="007A6E3D">
            <w:pPr>
              <w:pStyle w:val="Tabell"/>
            </w:pPr>
            <w:r w:rsidRPr="00780485">
              <w:t>3</w:t>
            </w:r>
          </w:p>
        </w:tc>
        <w:tc>
          <w:tcPr>
            <w:tcW w:w="2265" w:type="dxa"/>
          </w:tcPr>
          <w:p w:rsidR="007A6E3D" w:rsidRPr="00780485" w:rsidRDefault="007A6E3D">
            <w:pPr>
              <w:pStyle w:val="Tabell"/>
            </w:pPr>
            <w:r w:rsidRPr="00780485">
              <w:t xml:space="preserve">Regeringskansliet </w:t>
            </w:r>
          </w:p>
        </w:tc>
        <w:tc>
          <w:tcPr>
            <w:tcW w:w="360" w:type="dxa"/>
          </w:tcPr>
          <w:p w:rsidR="007A6E3D" w:rsidRPr="00780485" w:rsidRDefault="007A6E3D">
            <w:pPr>
              <w:pStyle w:val="Tabell"/>
            </w:pPr>
            <w:r w:rsidRPr="00780485">
              <w:t>7</w:t>
            </w:r>
          </w:p>
        </w:tc>
      </w:tr>
      <w:tr w:rsidR="00000000" w:rsidRPr="00780485">
        <w:tblPrEx>
          <w:tblCellMar>
            <w:top w:w="0" w:type="dxa"/>
            <w:bottom w:w="0" w:type="dxa"/>
          </w:tblCellMar>
        </w:tblPrEx>
        <w:tc>
          <w:tcPr>
            <w:tcW w:w="2421" w:type="dxa"/>
          </w:tcPr>
          <w:p w:rsidR="007A6E3D" w:rsidRPr="00780485" w:rsidRDefault="007A6E3D">
            <w:pPr>
              <w:pStyle w:val="Tabell"/>
            </w:pPr>
            <w:r w:rsidRPr="00780485">
              <w:t xml:space="preserve">Kunskapsöversikt </w:t>
            </w:r>
          </w:p>
        </w:tc>
        <w:tc>
          <w:tcPr>
            <w:tcW w:w="360" w:type="dxa"/>
          </w:tcPr>
          <w:p w:rsidR="007A6E3D" w:rsidRPr="00780485" w:rsidRDefault="007A6E3D">
            <w:pPr>
              <w:pStyle w:val="Tabell"/>
            </w:pPr>
            <w:r w:rsidRPr="00780485">
              <w:t>2</w:t>
            </w:r>
          </w:p>
        </w:tc>
        <w:tc>
          <w:tcPr>
            <w:tcW w:w="2265" w:type="dxa"/>
          </w:tcPr>
          <w:p w:rsidR="007A6E3D" w:rsidRPr="00780485" w:rsidRDefault="007A6E3D">
            <w:pPr>
              <w:pStyle w:val="Tabell"/>
            </w:pPr>
            <w:r w:rsidRPr="00780485">
              <w:t xml:space="preserve">Kommuner </w:t>
            </w:r>
          </w:p>
        </w:tc>
        <w:tc>
          <w:tcPr>
            <w:tcW w:w="360" w:type="dxa"/>
          </w:tcPr>
          <w:p w:rsidR="007A6E3D" w:rsidRPr="00780485" w:rsidRDefault="007A6E3D">
            <w:pPr>
              <w:pStyle w:val="Tabell"/>
            </w:pPr>
            <w:r w:rsidRPr="00780485">
              <w:t>6</w:t>
            </w:r>
          </w:p>
        </w:tc>
      </w:tr>
      <w:tr w:rsidR="00000000" w:rsidRPr="00780485">
        <w:tblPrEx>
          <w:tblCellMar>
            <w:top w:w="0" w:type="dxa"/>
            <w:bottom w:w="0" w:type="dxa"/>
          </w:tblCellMar>
        </w:tblPrEx>
        <w:tc>
          <w:tcPr>
            <w:tcW w:w="2421" w:type="dxa"/>
          </w:tcPr>
          <w:p w:rsidR="007A6E3D" w:rsidRPr="00780485" w:rsidRDefault="007A6E3D">
            <w:pPr>
              <w:pStyle w:val="Tabell"/>
            </w:pPr>
            <w:r w:rsidRPr="00780485">
              <w:t>Metod- eller utvec</w:t>
            </w:r>
            <w:r w:rsidRPr="00780485">
              <w:t>k</w:t>
            </w:r>
            <w:r w:rsidRPr="00780485">
              <w:t xml:space="preserve">lingsprojekt </w:t>
            </w:r>
          </w:p>
        </w:tc>
        <w:tc>
          <w:tcPr>
            <w:tcW w:w="360" w:type="dxa"/>
          </w:tcPr>
          <w:p w:rsidR="007A6E3D" w:rsidRPr="00780485" w:rsidRDefault="007A6E3D">
            <w:pPr>
              <w:pStyle w:val="Tabell"/>
            </w:pPr>
            <w:r w:rsidRPr="00780485">
              <w:t>2</w:t>
            </w:r>
          </w:p>
        </w:tc>
        <w:tc>
          <w:tcPr>
            <w:tcW w:w="2265" w:type="dxa"/>
          </w:tcPr>
          <w:p w:rsidR="007A6E3D" w:rsidRPr="00780485" w:rsidRDefault="007A6E3D">
            <w:pPr>
              <w:pStyle w:val="Tabell"/>
            </w:pPr>
            <w:r w:rsidRPr="00780485">
              <w:t>Länsstyrelser</w:t>
            </w:r>
          </w:p>
        </w:tc>
        <w:tc>
          <w:tcPr>
            <w:tcW w:w="360" w:type="dxa"/>
          </w:tcPr>
          <w:p w:rsidR="007A6E3D" w:rsidRPr="00780485" w:rsidRDefault="007A6E3D">
            <w:pPr>
              <w:pStyle w:val="Tabell"/>
            </w:pPr>
            <w:r w:rsidRPr="00780485">
              <w:t>3</w:t>
            </w:r>
          </w:p>
        </w:tc>
      </w:tr>
      <w:tr w:rsidR="00000000" w:rsidRPr="00780485">
        <w:tblPrEx>
          <w:tblCellMar>
            <w:top w:w="0" w:type="dxa"/>
            <w:bottom w:w="0" w:type="dxa"/>
          </w:tblCellMar>
        </w:tblPrEx>
        <w:tc>
          <w:tcPr>
            <w:tcW w:w="2421" w:type="dxa"/>
          </w:tcPr>
          <w:p w:rsidR="007A6E3D" w:rsidRPr="00780485" w:rsidRDefault="007A6E3D">
            <w:pPr>
              <w:pStyle w:val="Tabell"/>
            </w:pPr>
            <w:r w:rsidRPr="00780485">
              <w:t xml:space="preserve">Debattmaterial </w:t>
            </w:r>
          </w:p>
        </w:tc>
        <w:tc>
          <w:tcPr>
            <w:tcW w:w="360" w:type="dxa"/>
          </w:tcPr>
          <w:p w:rsidR="007A6E3D" w:rsidRPr="00780485" w:rsidRDefault="007A6E3D">
            <w:pPr>
              <w:pStyle w:val="Tabell"/>
            </w:pPr>
            <w:r w:rsidRPr="00780485">
              <w:t>2</w:t>
            </w:r>
          </w:p>
        </w:tc>
        <w:tc>
          <w:tcPr>
            <w:tcW w:w="2265" w:type="dxa"/>
          </w:tcPr>
          <w:p w:rsidR="007A6E3D" w:rsidRPr="00780485" w:rsidRDefault="007A6E3D">
            <w:pPr>
              <w:pStyle w:val="Tabell"/>
            </w:pPr>
            <w:r w:rsidRPr="00780485">
              <w:t xml:space="preserve">Sektorsmyndigheter </w:t>
            </w:r>
          </w:p>
        </w:tc>
        <w:tc>
          <w:tcPr>
            <w:tcW w:w="360" w:type="dxa"/>
          </w:tcPr>
          <w:p w:rsidR="007A6E3D" w:rsidRPr="00780485" w:rsidRDefault="007A6E3D">
            <w:pPr>
              <w:pStyle w:val="Tabell"/>
            </w:pPr>
            <w:r w:rsidRPr="00780485">
              <w:t>2</w:t>
            </w:r>
          </w:p>
        </w:tc>
      </w:tr>
      <w:tr w:rsidR="00000000" w:rsidRPr="00780485">
        <w:tblPrEx>
          <w:tblCellMar>
            <w:top w:w="0" w:type="dxa"/>
            <w:bottom w:w="0" w:type="dxa"/>
          </w:tblCellMar>
        </w:tblPrEx>
        <w:tc>
          <w:tcPr>
            <w:tcW w:w="2421" w:type="dxa"/>
            <w:tcBorders>
              <w:top w:val="nil"/>
            </w:tcBorders>
          </w:tcPr>
          <w:p w:rsidR="007A6E3D" w:rsidRPr="00780485" w:rsidRDefault="007A6E3D">
            <w:pPr>
              <w:pStyle w:val="Tabell"/>
            </w:pPr>
            <w:r w:rsidRPr="00780485">
              <w:t xml:space="preserve">Kunskapssyntes </w:t>
            </w:r>
          </w:p>
        </w:tc>
        <w:tc>
          <w:tcPr>
            <w:tcW w:w="360" w:type="dxa"/>
            <w:tcBorders>
              <w:top w:val="nil"/>
            </w:tcBorders>
          </w:tcPr>
          <w:p w:rsidR="007A6E3D" w:rsidRPr="00780485" w:rsidRDefault="007A6E3D">
            <w:pPr>
              <w:pStyle w:val="Tabell"/>
            </w:pPr>
            <w:r w:rsidRPr="00780485">
              <w:t>1</w:t>
            </w:r>
          </w:p>
        </w:tc>
        <w:tc>
          <w:tcPr>
            <w:tcW w:w="2265" w:type="dxa"/>
            <w:tcBorders>
              <w:top w:val="nil"/>
            </w:tcBorders>
          </w:tcPr>
          <w:p w:rsidR="007A6E3D" w:rsidRPr="00780485" w:rsidRDefault="007A6E3D">
            <w:pPr>
              <w:pStyle w:val="Tabell"/>
            </w:pPr>
            <w:r w:rsidRPr="00780485">
              <w:t>Hela kretsen (ospecif</w:t>
            </w:r>
            <w:r w:rsidRPr="00780485">
              <w:t>i</w:t>
            </w:r>
            <w:r w:rsidRPr="00780485">
              <w:t>cerat)</w:t>
            </w:r>
          </w:p>
        </w:tc>
        <w:tc>
          <w:tcPr>
            <w:tcW w:w="360" w:type="dxa"/>
            <w:tcBorders>
              <w:top w:val="nil"/>
            </w:tcBorders>
          </w:tcPr>
          <w:p w:rsidR="007A6E3D" w:rsidRPr="00780485" w:rsidRDefault="007A6E3D">
            <w:pPr>
              <w:pStyle w:val="Tabell"/>
            </w:pPr>
            <w:r w:rsidRPr="00780485">
              <w:t>2</w:t>
            </w:r>
          </w:p>
        </w:tc>
      </w:tr>
      <w:tr w:rsidR="00000000" w:rsidRPr="00780485">
        <w:tblPrEx>
          <w:tblCellMar>
            <w:top w:w="0" w:type="dxa"/>
            <w:bottom w:w="0" w:type="dxa"/>
          </w:tblCellMar>
        </w:tblPrEx>
        <w:tc>
          <w:tcPr>
            <w:tcW w:w="2421" w:type="dxa"/>
          </w:tcPr>
          <w:p w:rsidR="007A6E3D" w:rsidRPr="00780485" w:rsidRDefault="007A6E3D">
            <w:pPr>
              <w:pStyle w:val="Tabell"/>
            </w:pPr>
            <w:r w:rsidRPr="00780485">
              <w:t xml:space="preserve">Statistikrapport </w:t>
            </w:r>
          </w:p>
        </w:tc>
        <w:tc>
          <w:tcPr>
            <w:tcW w:w="360" w:type="dxa"/>
          </w:tcPr>
          <w:p w:rsidR="007A6E3D" w:rsidRPr="00780485" w:rsidRDefault="007A6E3D">
            <w:pPr>
              <w:pStyle w:val="Tabell"/>
            </w:pPr>
            <w:r w:rsidRPr="00780485">
              <w:t>1</w:t>
            </w:r>
          </w:p>
        </w:tc>
        <w:tc>
          <w:tcPr>
            <w:tcW w:w="2265" w:type="dxa"/>
          </w:tcPr>
          <w:p w:rsidR="007A6E3D" w:rsidRPr="00780485" w:rsidRDefault="007A6E3D">
            <w:pPr>
              <w:pStyle w:val="Tabell"/>
            </w:pPr>
            <w:r w:rsidRPr="00780485">
              <w:t xml:space="preserve">Landsting </w:t>
            </w:r>
          </w:p>
        </w:tc>
        <w:tc>
          <w:tcPr>
            <w:tcW w:w="360" w:type="dxa"/>
          </w:tcPr>
          <w:p w:rsidR="007A6E3D" w:rsidRPr="00780485" w:rsidRDefault="007A6E3D">
            <w:pPr>
              <w:pStyle w:val="Tabell"/>
            </w:pPr>
            <w:r w:rsidRPr="00780485">
              <w:t>1</w:t>
            </w:r>
          </w:p>
        </w:tc>
      </w:tr>
      <w:tr w:rsidR="00000000" w:rsidRPr="00780485">
        <w:tblPrEx>
          <w:tblCellMar>
            <w:top w:w="0" w:type="dxa"/>
            <w:bottom w:w="0" w:type="dxa"/>
          </w:tblCellMar>
        </w:tblPrEx>
        <w:tc>
          <w:tcPr>
            <w:tcW w:w="2421" w:type="dxa"/>
          </w:tcPr>
          <w:p w:rsidR="007A6E3D" w:rsidRPr="00780485" w:rsidRDefault="007A6E3D">
            <w:pPr>
              <w:pStyle w:val="Tabell"/>
            </w:pPr>
            <w:r w:rsidRPr="00780485">
              <w:t xml:space="preserve">Problemanalys </w:t>
            </w:r>
          </w:p>
        </w:tc>
        <w:tc>
          <w:tcPr>
            <w:tcW w:w="360" w:type="dxa"/>
          </w:tcPr>
          <w:p w:rsidR="007A6E3D" w:rsidRPr="00780485" w:rsidRDefault="007A6E3D">
            <w:pPr>
              <w:pStyle w:val="Tabell"/>
            </w:pPr>
            <w:r w:rsidRPr="00780485">
              <w:t>1</w:t>
            </w:r>
          </w:p>
        </w:tc>
        <w:tc>
          <w:tcPr>
            <w:tcW w:w="2265" w:type="dxa"/>
          </w:tcPr>
          <w:p w:rsidR="007A6E3D" w:rsidRPr="00780485" w:rsidRDefault="007A6E3D">
            <w:pPr>
              <w:pStyle w:val="Tabell"/>
            </w:pPr>
            <w:r w:rsidRPr="00780485">
              <w:t xml:space="preserve">Företag </w:t>
            </w:r>
          </w:p>
        </w:tc>
        <w:tc>
          <w:tcPr>
            <w:tcW w:w="360" w:type="dxa"/>
          </w:tcPr>
          <w:p w:rsidR="007A6E3D" w:rsidRPr="00780485" w:rsidRDefault="007A6E3D">
            <w:pPr>
              <w:pStyle w:val="Tabell"/>
            </w:pPr>
            <w:r w:rsidRPr="00780485">
              <w:t>1</w:t>
            </w:r>
          </w:p>
        </w:tc>
      </w:tr>
      <w:tr w:rsidR="00000000" w:rsidRPr="00780485">
        <w:tblPrEx>
          <w:tblCellMar>
            <w:top w:w="0" w:type="dxa"/>
            <w:bottom w:w="0" w:type="dxa"/>
          </w:tblCellMar>
        </w:tblPrEx>
        <w:tc>
          <w:tcPr>
            <w:tcW w:w="2421" w:type="dxa"/>
          </w:tcPr>
          <w:p w:rsidR="007A6E3D" w:rsidRPr="00780485" w:rsidRDefault="007A6E3D">
            <w:pPr>
              <w:pStyle w:val="Tabell"/>
            </w:pPr>
            <w:r w:rsidRPr="00780485">
              <w:t xml:space="preserve">Opinionsundersökning </w:t>
            </w:r>
          </w:p>
        </w:tc>
        <w:tc>
          <w:tcPr>
            <w:tcW w:w="360" w:type="dxa"/>
          </w:tcPr>
          <w:p w:rsidR="007A6E3D" w:rsidRPr="00780485" w:rsidRDefault="007A6E3D">
            <w:pPr>
              <w:pStyle w:val="Tabell"/>
            </w:pPr>
            <w:r w:rsidRPr="00780485">
              <w:t>1</w:t>
            </w:r>
          </w:p>
        </w:tc>
        <w:tc>
          <w:tcPr>
            <w:tcW w:w="2265" w:type="dxa"/>
          </w:tcPr>
          <w:p w:rsidR="007A6E3D" w:rsidRPr="00780485" w:rsidRDefault="007A6E3D">
            <w:pPr>
              <w:pStyle w:val="Tabell"/>
            </w:pPr>
            <w:r w:rsidRPr="00780485">
              <w:t xml:space="preserve">Allmänheten </w:t>
            </w:r>
          </w:p>
        </w:tc>
        <w:tc>
          <w:tcPr>
            <w:tcW w:w="360" w:type="dxa"/>
          </w:tcPr>
          <w:p w:rsidR="007A6E3D" w:rsidRPr="00780485" w:rsidRDefault="007A6E3D">
            <w:pPr>
              <w:pStyle w:val="Tabell"/>
            </w:pPr>
            <w:r w:rsidRPr="00780485">
              <w:t>1</w:t>
            </w:r>
          </w:p>
        </w:tc>
      </w:tr>
      <w:tr w:rsidR="00000000" w:rsidRPr="00780485">
        <w:tblPrEx>
          <w:tblCellMar>
            <w:top w:w="0" w:type="dxa"/>
            <w:bottom w:w="0" w:type="dxa"/>
          </w:tblCellMar>
        </w:tblPrEx>
        <w:tc>
          <w:tcPr>
            <w:tcW w:w="2421" w:type="dxa"/>
          </w:tcPr>
          <w:p w:rsidR="007A6E3D" w:rsidRPr="00780485" w:rsidRDefault="007A6E3D">
            <w:pPr>
              <w:pStyle w:val="Tabell"/>
            </w:pPr>
            <w:r w:rsidRPr="00780485">
              <w:t>Historik, prognos (antaga</w:t>
            </w:r>
            <w:r w:rsidRPr="00780485">
              <w:t>n</w:t>
            </w:r>
            <w:r w:rsidRPr="00780485">
              <w:t xml:space="preserve">den) </w:t>
            </w:r>
          </w:p>
        </w:tc>
        <w:tc>
          <w:tcPr>
            <w:tcW w:w="360" w:type="dxa"/>
          </w:tcPr>
          <w:p w:rsidR="007A6E3D" w:rsidRPr="00780485" w:rsidRDefault="007A6E3D">
            <w:pPr>
              <w:pStyle w:val="Tabell"/>
            </w:pPr>
            <w:r w:rsidRPr="00780485">
              <w:t>1</w:t>
            </w:r>
          </w:p>
        </w:tc>
        <w:tc>
          <w:tcPr>
            <w:tcW w:w="2265" w:type="dxa"/>
          </w:tcPr>
          <w:p w:rsidR="007A6E3D" w:rsidRPr="00780485" w:rsidRDefault="007A6E3D">
            <w:pPr>
              <w:pStyle w:val="Tabell"/>
            </w:pPr>
            <w:r w:rsidRPr="00780485">
              <w:t>Kunskapsproduce</w:t>
            </w:r>
            <w:r w:rsidRPr="00780485">
              <w:t>n</w:t>
            </w:r>
            <w:r w:rsidRPr="00780485">
              <w:t xml:space="preserve">ter </w:t>
            </w:r>
          </w:p>
        </w:tc>
        <w:tc>
          <w:tcPr>
            <w:tcW w:w="360" w:type="dxa"/>
          </w:tcPr>
          <w:p w:rsidR="007A6E3D" w:rsidRPr="00780485" w:rsidRDefault="007A6E3D">
            <w:pPr>
              <w:pStyle w:val="Tabell"/>
            </w:pPr>
            <w:r w:rsidRPr="00780485">
              <w:t>0</w:t>
            </w:r>
          </w:p>
        </w:tc>
      </w:tr>
      <w:tr w:rsidR="00000000" w:rsidRPr="00780485">
        <w:tblPrEx>
          <w:tblCellMar>
            <w:top w:w="0" w:type="dxa"/>
            <w:bottom w:w="0" w:type="dxa"/>
          </w:tblCellMar>
        </w:tblPrEx>
        <w:tc>
          <w:tcPr>
            <w:tcW w:w="2421" w:type="dxa"/>
          </w:tcPr>
          <w:p w:rsidR="007A6E3D" w:rsidRPr="00780485" w:rsidRDefault="007A6E3D">
            <w:pPr>
              <w:pStyle w:val="Tabell"/>
            </w:pPr>
          </w:p>
        </w:tc>
        <w:tc>
          <w:tcPr>
            <w:tcW w:w="360" w:type="dxa"/>
          </w:tcPr>
          <w:p w:rsidR="007A6E3D" w:rsidRPr="00780485" w:rsidRDefault="007A6E3D">
            <w:pPr>
              <w:pStyle w:val="Tabell"/>
            </w:pPr>
          </w:p>
        </w:tc>
        <w:tc>
          <w:tcPr>
            <w:tcW w:w="2265" w:type="dxa"/>
          </w:tcPr>
          <w:p w:rsidR="007A6E3D" w:rsidRPr="00780485" w:rsidRDefault="007A6E3D">
            <w:pPr>
              <w:pStyle w:val="Tabell"/>
            </w:pPr>
            <w:r w:rsidRPr="00780485">
              <w:t xml:space="preserve">Medier </w:t>
            </w:r>
          </w:p>
        </w:tc>
        <w:tc>
          <w:tcPr>
            <w:tcW w:w="360" w:type="dxa"/>
          </w:tcPr>
          <w:p w:rsidR="007A6E3D" w:rsidRPr="00780485" w:rsidRDefault="007A6E3D">
            <w:pPr>
              <w:pStyle w:val="Tabell"/>
            </w:pPr>
            <w:r w:rsidRPr="00780485">
              <w:t>0</w:t>
            </w:r>
          </w:p>
        </w:tc>
      </w:tr>
      <w:tr w:rsidR="00000000" w:rsidRPr="00780485">
        <w:tblPrEx>
          <w:tblCellMar>
            <w:top w:w="0" w:type="dxa"/>
            <w:bottom w:w="0" w:type="dxa"/>
          </w:tblCellMar>
        </w:tblPrEx>
        <w:tc>
          <w:tcPr>
            <w:tcW w:w="2421" w:type="dxa"/>
          </w:tcPr>
          <w:p w:rsidR="007A6E3D" w:rsidRPr="00780485" w:rsidRDefault="007A6E3D">
            <w:pPr>
              <w:pStyle w:val="Tabell"/>
            </w:pPr>
          </w:p>
        </w:tc>
        <w:tc>
          <w:tcPr>
            <w:tcW w:w="360" w:type="dxa"/>
          </w:tcPr>
          <w:p w:rsidR="007A6E3D" w:rsidRPr="00780485" w:rsidRDefault="007A6E3D">
            <w:pPr>
              <w:pStyle w:val="Tabell"/>
            </w:pPr>
          </w:p>
        </w:tc>
        <w:tc>
          <w:tcPr>
            <w:tcW w:w="2265" w:type="dxa"/>
          </w:tcPr>
          <w:p w:rsidR="007A6E3D" w:rsidRPr="00780485" w:rsidRDefault="007A6E3D">
            <w:pPr>
              <w:pStyle w:val="Tabell"/>
            </w:pPr>
            <w:r w:rsidRPr="00780485">
              <w:t>Intresseorganisati</w:t>
            </w:r>
            <w:r w:rsidRPr="00780485">
              <w:t>o</w:t>
            </w:r>
            <w:r w:rsidRPr="00780485">
              <w:t xml:space="preserve">ner </w:t>
            </w:r>
          </w:p>
        </w:tc>
        <w:tc>
          <w:tcPr>
            <w:tcW w:w="360" w:type="dxa"/>
          </w:tcPr>
          <w:p w:rsidR="007A6E3D" w:rsidRPr="00780485" w:rsidRDefault="007A6E3D">
            <w:pPr>
              <w:pStyle w:val="Tabell"/>
            </w:pPr>
            <w:r w:rsidRPr="00780485">
              <w:t>0</w:t>
            </w:r>
          </w:p>
        </w:tc>
      </w:tr>
    </w:tbl>
    <w:p w:rsidR="007A6E3D" w:rsidRPr="00780485" w:rsidRDefault="007A6E3D">
      <w:pPr>
        <w:pStyle w:val="Fotnotstext"/>
      </w:pPr>
      <w:r w:rsidRPr="00780485">
        <w:t>Anm. Flera svarsalternativ får avges per rapport.</w:t>
      </w:r>
    </w:p>
    <w:p w:rsidR="007A6E3D" w:rsidRPr="00780485" w:rsidRDefault="007A6E3D">
      <w:r w:rsidRPr="00780485">
        <w:t>Undersökningen av vilken typ av empiri rapporterna bygger på antyder att befintlig statistik och befintliga rapporter bearbetas och används så långt det är möjligt innan ny datainsamling företas. Enligt Nordeg går det att utläsa att rapporterna – även program och debattmaterial – har en koppling till ku</w:t>
      </w:r>
      <w:r w:rsidRPr="00780485">
        <w:t>n</w:t>
      </w:r>
      <w:r w:rsidRPr="00780485">
        <w:t>skapsproduktionen. I detta sammanhang är det dock viktigt att påminna om att urvalsmetoden ställer krav på att rapporterna ska ha en empirisk föran</w:t>
      </w:r>
      <w:r w:rsidRPr="00780485">
        <w:t>k</w:t>
      </w:r>
      <w:r w:rsidRPr="00780485">
        <w:t>ring.</w:t>
      </w:r>
    </w:p>
    <w:p w:rsidR="007A6E3D" w:rsidRPr="00780485" w:rsidRDefault="007A6E3D">
      <w:pPr>
        <w:pStyle w:val="Normaltindrag"/>
      </w:pPr>
      <w:r w:rsidRPr="00780485">
        <w:t>För att beskriva innehållet i kunskapsproduktionen har de studerade ra</w:t>
      </w:r>
      <w:r w:rsidRPr="00780485">
        <w:t>p</w:t>
      </w:r>
      <w:r w:rsidRPr="00780485">
        <w:t>porterna klassificerats utifrån vilken typ av frågor som behandlas i rapporten (aspekt) och om rapporten syftar till att beskriva, förklara eller att föreslå något (rapportens perspektiv). Resultatet av denna analys, som redovisas i tabell 7, visar att det är vanligt förekommande att rapporterna behandlar gles- och landsbygdsfrågor som ett eget ämnesområde (meta-nivå) och att de tar upp och beskriver olika problem. När det gäller Glesbygdsverkets förslag till åtgärder som bör vidtas är dessa vanligen allmä</w:t>
      </w:r>
      <w:r w:rsidRPr="00780485">
        <w:t>nt formulerade. Verket är vidare försiktigt med att i sina rapporter involvera sig i målsättningsarbetet. Däremot argumenterar man, enligt Nordeg, energiskt för vad som krävs för måluppfy</w:t>
      </w:r>
      <w:r w:rsidRPr="00780485">
        <w:t>l</w:t>
      </w:r>
      <w:r w:rsidRPr="00780485">
        <w:t xml:space="preserve">lelse. </w:t>
      </w:r>
    </w:p>
    <w:p w:rsidR="007A6E3D" w:rsidRPr="00780485" w:rsidRDefault="007A6E3D">
      <w:pPr>
        <w:pStyle w:val="t"/>
      </w:pPr>
      <w:r w:rsidRPr="00780485">
        <w:t>Tabell 7. Klassificering av innehållet i Glesbygdsverkets rapporter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776"/>
        <w:gridCol w:w="1075"/>
        <w:gridCol w:w="1047"/>
        <w:gridCol w:w="1138"/>
      </w:tblGrid>
      <w:tr w:rsidR="00000000" w:rsidRPr="00780485">
        <w:tblPrEx>
          <w:tblCellMar>
            <w:top w:w="0" w:type="dxa"/>
            <w:bottom w:w="0" w:type="dxa"/>
          </w:tblCellMar>
        </w:tblPrEx>
        <w:tc>
          <w:tcPr>
            <w:tcW w:w="2776" w:type="dxa"/>
            <w:tcBorders>
              <w:bottom w:val="single" w:sz="6" w:space="0" w:color="008000"/>
            </w:tcBorders>
          </w:tcPr>
          <w:p w:rsidR="007A6E3D" w:rsidRPr="00780485" w:rsidRDefault="007A6E3D">
            <w:pPr>
              <w:pStyle w:val="Tabellrubrik"/>
              <w:rPr>
                <w:b w:val="0"/>
              </w:rPr>
            </w:pPr>
            <w:r w:rsidRPr="00780485">
              <w:rPr>
                <w:b w:val="0"/>
              </w:rPr>
              <w:t>Aspekt</w:t>
            </w:r>
          </w:p>
        </w:tc>
        <w:tc>
          <w:tcPr>
            <w:tcW w:w="1075" w:type="dxa"/>
            <w:tcBorders>
              <w:bottom w:val="single" w:sz="6" w:space="0" w:color="008000"/>
            </w:tcBorders>
          </w:tcPr>
          <w:p w:rsidR="007A6E3D" w:rsidRPr="00780485" w:rsidRDefault="007A6E3D">
            <w:pPr>
              <w:pStyle w:val="Tabellrubrik"/>
              <w:rPr>
                <w:b w:val="0"/>
              </w:rPr>
            </w:pPr>
            <w:r w:rsidRPr="00780485">
              <w:rPr>
                <w:b w:val="0"/>
              </w:rPr>
              <w:t>Perspe</w:t>
            </w:r>
            <w:r w:rsidRPr="00780485">
              <w:rPr>
                <w:b w:val="0"/>
              </w:rPr>
              <w:t>k</w:t>
            </w:r>
            <w:r w:rsidRPr="00780485">
              <w:rPr>
                <w:b w:val="0"/>
              </w:rPr>
              <w:t>tiv</w:t>
            </w:r>
          </w:p>
        </w:tc>
        <w:tc>
          <w:tcPr>
            <w:tcW w:w="1047" w:type="dxa"/>
            <w:tcBorders>
              <w:bottom w:val="single" w:sz="6" w:space="0" w:color="008000"/>
            </w:tcBorders>
          </w:tcPr>
          <w:p w:rsidR="007A6E3D" w:rsidRPr="00780485" w:rsidRDefault="007A6E3D">
            <w:pPr>
              <w:pStyle w:val="Tabellrubrik"/>
              <w:rPr>
                <w:b w:val="0"/>
              </w:rPr>
            </w:pPr>
          </w:p>
        </w:tc>
        <w:tc>
          <w:tcPr>
            <w:tcW w:w="1138" w:type="dxa"/>
            <w:tcBorders>
              <w:bottom w:val="single" w:sz="6" w:space="0" w:color="008000"/>
            </w:tcBorders>
          </w:tcPr>
          <w:p w:rsidR="007A6E3D" w:rsidRPr="00780485" w:rsidRDefault="007A6E3D">
            <w:pPr>
              <w:pStyle w:val="Tabellrubrik"/>
              <w:rPr>
                <w:b w:val="0"/>
              </w:rPr>
            </w:pPr>
          </w:p>
        </w:tc>
      </w:tr>
      <w:tr w:rsidR="00000000" w:rsidRPr="00780485">
        <w:tblPrEx>
          <w:tblCellMar>
            <w:top w:w="0" w:type="dxa"/>
            <w:bottom w:w="0" w:type="dxa"/>
          </w:tblCellMar>
        </w:tblPrEx>
        <w:tc>
          <w:tcPr>
            <w:tcW w:w="2776" w:type="dxa"/>
            <w:tcBorders>
              <w:top w:val="nil"/>
            </w:tcBorders>
          </w:tcPr>
          <w:p w:rsidR="007A6E3D" w:rsidRPr="00780485" w:rsidRDefault="007A6E3D">
            <w:pPr>
              <w:pStyle w:val="Tabell"/>
            </w:pPr>
          </w:p>
        </w:tc>
        <w:tc>
          <w:tcPr>
            <w:tcW w:w="1075" w:type="dxa"/>
            <w:tcBorders>
              <w:top w:val="nil"/>
            </w:tcBorders>
          </w:tcPr>
          <w:p w:rsidR="007A6E3D" w:rsidRPr="00780485" w:rsidRDefault="007A6E3D">
            <w:pPr>
              <w:pStyle w:val="Tabell"/>
            </w:pPr>
            <w:r w:rsidRPr="00780485">
              <w:t>Beskr</w:t>
            </w:r>
            <w:r w:rsidRPr="00780485">
              <w:t>i</w:t>
            </w:r>
            <w:r w:rsidRPr="00780485">
              <w:t>vande</w:t>
            </w:r>
          </w:p>
        </w:tc>
        <w:tc>
          <w:tcPr>
            <w:tcW w:w="1047" w:type="dxa"/>
            <w:tcBorders>
              <w:top w:val="nil"/>
            </w:tcBorders>
          </w:tcPr>
          <w:p w:rsidR="007A6E3D" w:rsidRPr="00780485" w:rsidRDefault="007A6E3D">
            <w:pPr>
              <w:pStyle w:val="Tabell"/>
            </w:pPr>
            <w:r w:rsidRPr="00780485">
              <w:t>Förkl</w:t>
            </w:r>
            <w:r w:rsidRPr="00780485">
              <w:t>a</w:t>
            </w:r>
            <w:r w:rsidRPr="00780485">
              <w:t>rande</w:t>
            </w:r>
          </w:p>
        </w:tc>
        <w:tc>
          <w:tcPr>
            <w:tcW w:w="1138" w:type="dxa"/>
            <w:tcBorders>
              <w:top w:val="nil"/>
            </w:tcBorders>
          </w:tcPr>
          <w:p w:rsidR="007A6E3D" w:rsidRPr="00780485" w:rsidRDefault="007A6E3D">
            <w:pPr>
              <w:pStyle w:val="Tabell"/>
            </w:pPr>
            <w:r w:rsidRPr="00780485">
              <w:t>Förslag till han</w:t>
            </w:r>
            <w:r w:rsidRPr="00780485">
              <w:t>d</w:t>
            </w:r>
            <w:r w:rsidRPr="00780485">
              <w:t>ling</w:t>
            </w:r>
          </w:p>
        </w:tc>
      </w:tr>
      <w:tr w:rsidR="00000000" w:rsidRPr="00780485">
        <w:tblPrEx>
          <w:tblCellMar>
            <w:top w:w="0" w:type="dxa"/>
            <w:bottom w:w="0" w:type="dxa"/>
          </w:tblCellMar>
        </w:tblPrEx>
        <w:tc>
          <w:tcPr>
            <w:tcW w:w="2776" w:type="dxa"/>
          </w:tcPr>
          <w:p w:rsidR="007A6E3D" w:rsidRPr="00780485" w:rsidRDefault="007A6E3D">
            <w:pPr>
              <w:pStyle w:val="Tabell"/>
            </w:pPr>
            <w:r w:rsidRPr="00780485">
              <w:t>Problemanalys, område</w:t>
            </w:r>
            <w:r w:rsidRPr="00780485">
              <w:t>s</w:t>
            </w:r>
            <w:r w:rsidRPr="00780485">
              <w:t xml:space="preserve">beskrivning, </w:t>
            </w:r>
          </w:p>
          <w:p w:rsidR="007A6E3D" w:rsidRPr="00780485" w:rsidRDefault="007A6E3D">
            <w:pPr>
              <w:pStyle w:val="Tabell"/>
            </w:pPr>
            <w:r w:rsidRPr="00780485">
              <w:t>behovsb</w:t>
            </w:r>
            <w:r w:rsidRPr="00780485">
              <w:t>e</w:t>
            </w:r>
            <w:r w:rsidRPr="00780485">
              <w:t>dömning</w:t>
            </w:r>
          </w:p>
        </w:tc>
        <w:tc>
          <w:tcPr>
            <w:tcW w:w="1075" w:type="dxa"/>
          </w:tcPr>
          <w:p w:rsidR="007A6E3D" w:rsidRPr="00780485" w:rsidRDefault="007A6E3D">
            <w:pPr>
              <w:pStyle w:val="Tabell"/>
            </w:pPr>
            <w:r w:rsidRPr="00780485">
              <w:t>6</w:t>
            </w:r>
          </w:p>
        </w:tc>
        <w:tc>
          <w:tcPr>
            <w:tcW w:w="1047" w:type="dxa"/>
          </w:tcPr>
          <w:p w:rsidR="007A6E3D" w:rsidRPr="00780485" w:rsidRDefault="007A6E3D">
            <w:pPr>
              <w:pStyle w:val="Tabell"/>
            </w:pPr>
            <w:r w:rsidRPr="00780485">
              <w:t>2</w:t>
            </w:r>
          </w:p>
        </w:tc>
        <w:tc>
          <w:tcPr>
            <w:tcW w:w="1138" w:type="dxa"/>
          </w:tcPr>
          <w:p w:rsidR="007A6E3D" w:rsidRPr="00780485" w:rsidRDefault="007A6E3D">
            <w:pPr>
              <w:pStyle w:val="Tabell"/>
            </w:pPr>
          </w:p>
        </w:tc>
      </w:tr>
      <w:tr w:rsidR="00000000" w:rsidRPr="00780485">
        <w:tblPrEx>
          <w:tblCellMar>
            <w:top w:w="0" w:type="dxa"/>
            <w:bottom w:w="0" w:type="dxa"/>
          </w:tblCellMar>
        </w:tblPrEx>
        <w:tc>
          <w:tcPr>
            <w:tcW w:w="2776" w:type="dxa"/>
          </w:tcPr>
          <w:p w:rsidR="007A6E3D" w:rsidRPr="00780485" w:rsidRDefault="007A6E3D">
            <w:pPr>
              <w:pStyle w:val="Tabell"/>
            </w:pPr>
            <w:r w:rsidRPr="00780485">
              <w:t>Meta-nivå (styrsystem, U&amp;U)</w:t>
            </w:r>
          </w:p>
        </w:tc>
        <w:tc>
          <w:tcPr>
            <w:tcW w:w="1075" w:type="dxa"/>
          </w:tcPr>
          <w:p w:rsidR="007A6E3D" w:rsidRPr="00780485" w:rsidRDefault="007A6E3D">
            <w:pPr>
              <w:pStyle w:val="Tabell"/>
            </w:pPr>
            <w:r w:rsidRPr="00780485">
              <w:t>3</w:t>
            </w:r>
          </w:p>
        </w:tc>
        <w:tc>
          <w:tcPr>
            <w:tcW w:w="1047" w:type="dxa"/>
          </w:tcPr>
          <w:p w:rsidR="007A6E3D" w:rsidRPr="00780485" w:rsidRDefault="007A6E3D">
            <w:pPr>
              <w:pStyle w:val="Tabell"/>
            </w:pPr>
            <w:r w:rsidRPr="00780485">
              <w:t>2</w:t>
            </w:r>
          </w:p>
        </w:tc>
        <w:tc>
          <w:tcPr>
            <w:tcW w:w="1138" w:type="dxa"/>
          </w:tcPr>
          <w:p w:rsidR="007A6E3D" w:rsidRPr="00780485" w:rsidRDefault="007A6E3D">
            <w:pPr>
              <w:pStyle w:val="Tabell"/>
            </w:pPr>
            <w:r w:rsidRPr="00780485">
              <w:t>3</w:t>
            </w:r>
          </w:p>
        </w:tc>
      </w:tr>
      <w:tr w:rsidR="00000000" w:rsidRPr="00780485">
        <w:tblPrEx>
          <w:tblCellMar>
            <w:top w:w="0" w:type="dxa"/>
            <w:bottom w:w="0" w:type="dxa"/>
          </w:tblCellMar>
        </w:tblPrEx>
        <w:tc>
          <w:tcPr>
            <w:tcW w:w="2776" w:type="dxa"/>
          </w:tcPr>
          <w:p w:rsidR="007A6E3D" w:rsidRPr="00780485" w:rsidRDefault="007A6E3D">
            <w:pPr>
              <w:pStyle w:val="Tabell"/>
            </w:pPr>
            <w:r w:rsidRPr="00780485">
              <w:t>Styrmedel (val &amp; utfor</w:t>
            </w:r>
            <w:r w:rsidRPr="00780485">
              <w:t>m</w:t>
            </w:r>
            <w:r w:rsidRPr="00780485">
              <w:t>ning)</w:t>
            </w:r>
          </w:p>
        </w:tc>
        <w:tc>
          <w:tcPr>
            <w:tcW w:w="1075" w:type="dxa"/>
          </w:tcPr>
          <w:p w:rsidR="007A6E3D" w:rsidRPr="00780485" w:rsidRDefault="007A6E3D">
            <w:pPr>
              <w:pStyle w:val="Tabell"/>
            </w:pPr>
            <w:r w:rsidRPr="00780485">
              <w:t>1</w:t>
            </w:r>
          </w:p>
        </w:tc>
        <w:tc>
          <w:tcPr>
            <w:tcW w:w="1047" w:type="dxa"/>
          </w:tcPr>
          <w:p w:rsidR="007A6E3D" w:rsidRPr="00780485" w:rsidRDefault="007A6E3D">
            <w:pPr>
              <w:pStyle w:val="Tabell"/>
            </w:pPr>
            <w:r w:rsidRPr="00780485">
              <w:t>-</w:t>
            </w:r>
          </w:p>
        </w:tc>
        <w:tc>
          <w:tcPr>
            <w:tcW w:w="1138" w:type="dxa"/>
          </w:tcPr>
          <w:p w:rsidR="007A6E3D" w:rsidRPr="00780485" w:rsidRDefault="007A6E3D">
            <w:pPr>
              <w:pStyle w:val="Tabell"/>
            </w:pPr>
            <w:r w:rsidRPr="00780485">
              <w:t>3</w:t>
            </w:r>
          </w:p>
        </w:tc>
      </w:tr>
      <w:tr w:rsidR="00000000" w:rsidRPr="00780485">
        <w:tblPrEx>
          <w:tblCellMar>
            <w:top w:w="0" w:type="dxa"/>
            <w:bottom w:w="0" w:type="dxa"/>
          </w:tblCellMar>
        </w:tblPrEx>
        <w:tc>
          <w:tcPr>
            <w:tcW w:w="2776" w:type="dxa"/>
          </w:tcPr>
          <w:p w:rsidR="007A6E3D" w:rsidRPr="00780485" w:rsidRDefault="007A6E3D">
            <w:pPr>
              <w:pStyle w:val="Tabell"/>
            </w:pPr>
            <w:r w:rsidRPr="00780485">
              <w:t>Resurser, finans</w:t>
            </w:r>
            <w:r w:rsidRPr="00780485">
              <w:t>i</w:t>
            </w:r>
            <w:r w:rsidRPr="00780485">
              <w:t>ering</w:t>
            </w:r>
          </w:p>
        </w:tc>
        <w:tc>
          <w:tcPr>
            <w:tcW w:w="1075" w:type="dxa"/>
          </w:tcPr>
          <w:p w:rsidR="007A6E3D" w:rsidRPr="00780485" w:rsidRDefault="007A6E3D">
            <w:pPr>
              <w:pStyle w:val="Tabell"/>
            </w:pPr>
            <w:r w:rsidRPr="00780485">
              <w:t>-</w:t>
            </w:r>
          </w:p>
        </w:tc>
        <w:tc>
          <w:tcPr>
            <w:tcW w:w="1047" w:type="dxa"/>
          </w:tcPr>
          <w:p w:rsidR="007A6E3D" w:rsidRPr="00780485" w:rsidRDefault="007A6E3D">
            <w:pPr>
              <w:pStyle w:val="Tabell"/>
            </w:pPr>
            <w:r w:rsidRPr="00780485">
              <w:t>-</w:t>
            </w:r>
          </w:p>
        </w:tc>
        <w:tc>
          <w:tcPr>
            <w:tcW w:w="1138" w:type="dxa"/>
          </w:tcPr>
          <w:p w:rsidR="007A6E3D" w:rsidRPr="00780485" w:rsidRDefault="007A6E3D">
            <w:pPr>
              <w:pStyle w:val="Tabell"/>
            </w:pPr>
            <w:r w:rsidRPr="00780485">
              <w:t>2</w:t>
            </w:r>
          </w:p>
        </w:tc>
      </w:tr>
      <w:tr w:rsidR="00000000" w:rsidRPr="00780485">
        <w:tblPrEx>
          <w:tblCellMar>
            <w:top w:w="0" w:type="dxa"/>
            <w:bottom w:w="0" w:type="dxa"/>
          </w:tblCellMar>
        </w:tblPrEx>
        <w:tc>
          <w:tcPr>
            <w:tcW w:w="2776" w:type="dxa"/>
          </w:tcPr>
          <w:p w:rsidR="007A6E3D" w:rsidRPr="00780485" w:rsidRDefault="007A6E3D">
            <w:pPr>
              <w:pStyle w:val="Tabell"/>
            </w:pPr>
            <w:r w:rsidRPr="00780485">
              <w:t>Organisering, implement</w:t>
            </w:r>
            <w:r w:rsidRPr="00780485">
              <w:t>e</w:t>
            </w:r>
            <w:r w:rsidRPr="00780485">
              <w:t>ring,</w:t>
            </w:r>
          </w:p>
        </w:tc>
        <w:tc>
          <w:tcPr>
            <w:tcW w:w="1075" w:type="dxa"/>
          </w:tcPr>
          <w:p w:rsidR="007A6E3D" w:rsidRPr="00780485" w:rsidRDefault="007A6E3D">
            <w:pPr>
              <w:pStyle w:val="Tabell"/>
            </w:pPr>
            <w:r w:rsidRPr="00780485">
              <w:t>1</w:t>
            </w:r>
          </w:p>
        </w:tc>
        <w:tc>
          <w:tcPr>
            <w:tcW w:w="1047" w:type="dxa"/>
          </w:tcPr>
          <w:p w:rsidR="007A6E3D" w:rsidRPr="00780485" w:rsidRDefault="007A6E3D">
            <w:pPr>
              <w:pStyle w:val="Tabell"/>
            </w:pPr>
            <w:r w:rsidRPr="00780485">
              <w:t>-</w:t>
            </w:r>
          </w:p>
        </w:tc>
        <w:tc>
          <w:tcPr>
            <w:tcW w:w="1138" w:type="dxa"/>
          </w:tcPr>
          <w:p w:rsidR="007A6E3D" w:rsidRPr="00780485" w:rsidRDefault="007A6E3D">
            <w:pPr>
              <w:pStyle w:val="Tabell"/>
            </w:pPr>
            <w:r w:rsidRPr="00780485">
              <w:t>1</w:t>
            </w:r>
          </w:p>
        </w:tc>
      </w:tr>
      <w:tr w:rsidR="00000000" w:rsidRPr="00780485">
        <w:tblPrEx>
          <w:tblCellMar>
            <w:top w:w="0" w:type="dxa"/>
            <w:bottom w:w="0" w:type="dxa"/>
          </w:tblCellMar>
        </w:tblPrEx>
        <w:tc>
          <w:tcPr>
            <w:tcW w:w="2776" w:type="dxa"/>
          </w:tcPr>
          <w:p w:rsidR="007A6E3D" w:rsidRPr="00780485" w:rsidRDefault="007A6E3D">
            <w:pPr>
              <w:pStyle w:val="Tabell"/>
            </w:pPr>
            <w:r w:rsidRPr="00780485">
              <w:t>Effekter, effekt</w:t>
            </w:r>
            <w:r w:rsidRPr="00780485">
              <w:t>i</w:t>
            </w:r>
            <w:r w:rsidRPr="00780485">
              <w:t>vitet</w:t>
            </w:r>
          </w:p>
        </w:tc>
        <w:tc>
          <w:tcPr>
            <w:tcW w:w="1075" w:type="dxa"/>
          </w:tcPr>
          <w:p w:rsidR="007A6E3D" w:rsidRPr="00780485" w:rsidRDefault="007A6E3D">
            <w:pPr>
              <w:pStyle w:val="Tabell"/>
            </w:pPr>
            <w:r w:rsidRPr="00780485">
              <w:t>1</w:t>
            </w:r>
          </w:p>
        </w:tc>
        <w:tc>
          <w:tcPr>
            <w:tcW w:w="1047" w:type="dxa"/>
          </w:tcPr>
          <w:p w:rsidR="007A6E3D" w:rsidRPr="00780485" w:rsidRDefault="007A6E3D">
            <w:pPr>
              <w:pStyle w:val="Tabell"/>
            </w:pPr>
            <w:r w:rsidRPr="00780485">
              <w:t>1</w:t>
            </w:r>
          </w:p>
        </w:tc>
        <w:tc>
          <w:tcPr>
            <w:tcW w:w="1138" w:type="dxa"/>
          </w:tcPr>
          <w:p w:rsidR="007A6E3D" w:rsidRPr="00780485" w:rsidRDefault="007A6E3D">
            <w:pPr>
              <w:pStyle w:val="Tabell"/>
            </w:pPr>
            <w:r w:rsidRPr="00780485">
              <w:t>-</w:t>
            </w:r>
          </w:p>
        </w:tc>
      </w:tr>
      <w:tr w:rsidR="00000000" w:rsidRPr="00780485">
        <w:tblPrEx>
          <w:tblCellMar>
            <w:top w:w="0" w:type="dxa"/>
            <w:bottom w:w="0" w:type="dxa"/>
          </w:tblCellMar>
        </w:tblPrEx>
        <w:tc>
          <w:tcPr>
            <w:tcW w:w="2776" w:type="dxa"/>
          </w:tcPr>
          <w:p w:rsidR="007A6E3D" w:rsidRPr="00780485" w:rsidRDefault="007A6E3D">
            <w:pPr>
              <w:pStyle w:val="Tabell"/>
            </w:pPr>
            <w:r w:rsidRPr="00780485">
              <w:t>Prestationer</w:t>
            </w:r>
          </w:p>
        </w:tc>
        <w:tc>
          <w:tcPr>
            <w:tcW w:w="1075" w:type="dxa"/>
          </w:tcPr>
          <w:p w:rsidR="007A6E3D" w:rsidRPr="00780485" w:rsidRDefault="007A6E3D">
            <w:pPr>
              <w:pStyle w:val="Tabell"/>
            </w:pPr>
            <w:r w:rsidRPr="00780485">
              <w:t>1</w:t>
            </w:r>
          </w:p>
        </w:tc>
        <w:tc>
          <w:tcPr>
            <w:tcW w:w="1047" w:type="dxa"/>
          </w:tcPr>
          <w:p w:rsidR="007A6E3D" w:rsidRPr="00780485" w:rsidRDefault="007A6E3D">
            <w:pPr>
              <w:pStyle w:val="Tabell"/>
            </w:pPr>
            <w:r w:rsidRPr="00780485">
              <w:t>-</w:t>
            </w:r>
          </w:p>
        </w:tc>
        <w:tc>
          <w:tcPr>
            <w:tcW w:w="1138" w:type="dxa"/>
          </w:tcPr>
          <w:p w:rsidR="007A6E3D" w:rsidRPr="00780485" w:rsidRDefault="007A6E3D">
            <w:pPr>
              <w:pStyle w:val="Tabell"/>
            </w:pPr>
            <w:r w:rsidRPr="00780485">
              <w:t>-</w:t>
            </w:r>
          </w:p>
        </w:tc>
      </w:tr>
      <w:tr w:rsidR="00000000" w:rsidRPr="00780485">
        <w:tblPrEx>
          <w:tblCellMar>
            <w:top w:w="0" w:type="dxa"/>
            <w:bottom w:w="0" w:type="dxa"/>
          </w:tblCellMar>
        </w:tblPrEx>
        <w:tc>
          <w:tcPr>
            <w:tcW w:w="2776" w:type="dxa"/>
          </w:tcPr>
          <w:p w:rsidR="007A6E3D" w:rsidRPr="00780485" w:rsidRDefault="007A6E3D">
            <w:pPr>
              <w:pStyle w:val="Tabell"/>
            </w:pPr>
            <w:r w:rsidRPr="00780485">
              <w:t>Principer, mål, målsättning</w:t>
            </w:r>
            <w:r w:rsidRPr="00780485">
              <w:t>s</w:t>
            </w:r>
            <w:r w:rsidRPr="00780485">
              <w:t>arbete</w:t>
            </w:r>
          </w:p>
        </w:tc>
        <w:tc>
          <w:tcPr>
            <w:tcW w:w="1075" w:type="dxa"/>
          </w:tcPr>
          <w:p w:rsidR="007A6E3D" w:rsidRPr="00780485" w:rsidRDefault="007A6E3D">
            <w:pPr>
              <w:pStyle w:val="Tabell"/>
            </w:pPr>
            <w:r w:rsidRPr="00780485">
              <w:t>-</w:t>
            </w:r>
          </w:p>
        </w:tc>
        <w:tc>
          <w:tcPr>
            <w:tcW w:w="1047" w:type="dxa"/>
          </w:tcPr>
          <w:p w:rsidR="007A6E3D" w:rsidRPr="00780485" w:rsidRDefault="007A6E3D">
            <w:pPr>
              <w:pStyle w:val="Tabell"/>
            </w:pPr>
            <w:r w:rsidRPr="00780485">
              <w:t>-</w:t>
            </w:r>
          </w:p>
        </w:tc>
        <w:tc>
          <w:tcPr>
            <w:tcW w:w="1138" w:type="dxa"/>
          </w:tcPr>
          <w:p w:rsidR="007A6E3D" w:rsidRPr="00780485" w:rsidRDefault="007A6E3D">
            <w:pPr>
              <w:pStyle w:val="Tabell"/>
            </w:pPr>
            <w:r w:rsidRPr="00780485">
              <w:t>-</w:t>
            </w:r>
          </w:p>
        </w:tc>
      </w:tr>
    </w:tbl>
    <w:p w:rsidR="007A6E3D" w:rsidRPr="00780485" w:rsidRDefault="007A6E3D">
      <w:pPr>
        <w:pStyle w:val="Fotnotstext"/>
      </w:pPr>
      <w:r w:rsidRPr="00780485">
        <w:t>Anm. Som mest noteras tre aspekter per rapport: de tre viktigaste bestäms utifrån huvudkaraktären hos rapporten. Indelningen i aspekter följer i grova drag en enkel produktionsmodell. Med meta-nivå menas att rapporten behandlar gles- och land</w:t>
      </w:r>
      <w:r w:rsidRPr="00780485">
        <w:t>s</w:t>
      </w:r>
      <w:r w:rsidRPr="00780485">
        <w:t>bygdsfrågor som ett eget ämnesomr</w:t>
      </w:r>
      <w:r w:rsidRPr="00780485">
        <w:t>å</w:t>
      </w:r>
      <w:r w:rsidRPr="00780485">
        <w:t>de. U&amp;U står för utvärdering och uppföljning.</w:t>
      </w:r>
    </w:p>
    <w:p w:rsidR="007A6E3D" w:rsidRPr="00780485" w:rsidRDefault="007A6E3D">
      <w:r w:rsidRPr="00780485">
        <w:t>Nordeg sammanfattar sina intryck från genomgång av rapporterna med kommentaren ”att rapportproduktionen förmedlar ett ganska starkt intryck av en myndighet som fokuserar starkt på ansvarsområde, samverkar med andra aktörer inom sektorn och envetet trycker på genom att påvisa både möjli</w:t>
      </w:r>
      <w:r w:rsidRPr="00780485">
        <w:t>g</w:t>
      </w:r>
      <w:r w:rsidRPr="00780485">
        <w:t xml:space="preserve">heter och brister och drar sig inte för att klandra t.o.m. Regeringskansliet”. </w:t>
      </w:r>
    </w:p>
    <w:p w:rsidR="007A6E3D" w:rsidRPr="00780485" w:rsidRDefault="007A6E3D">
      <w:pPr>
        <w:pStyle w:val="Rubrik5"/>
        <w:rPr>
          <w:i/>
        </w:rPr>
      </w:pPr>
      <w:r w:rsidRPr="00780485">
        <w:rPr>
          <w:i/>
        </w:rPr>
        <w:t>Remissvar och genomslag i propositioner</w:t>
      </w:r>
    </w:p>
    <w:p w:rsidR="007A6E3D" w:rsidRPr="00780485" w:rsidRDefault="007A6E3D">
      <w:r w:rsidRPr="00780485">
        <w:t>De urvalskriterier som har tillämpats innebar att endast remissvar på betä</w:t>
      </w:r>
      <w:r w:rsidRPr="00780485">
        <w:t>n</w:t>
      </w:r>
      <w:r w:rsidRPr="00780485">
        <w:t>kanden (SOU, Ds) som mognat ut i propositioner</w:t>
      </w:r>
      <w:r w:rsidRPr="00780485">
        <w:rPr>
          <w:rStyle w:val="Fotnotsreferens"/>
        </w:rPr>
        <w:footnoteReference w:id="7"/>
      </w:r>
      <w:r w:rsidRPr="00780485">
        <w:t xml:space="preserve"> har studerats. Detta har resulterat i ett stort bortfall. Under den studerade perioden har Glesbygdsve</w:t>
      </w:r>
      <w:r w:rsidRPr="00780485">
        <w:t>r</w:t>
      </w:r>
      <w:r w:rsidRPr="00780485">
        <w:t>ket producerat ett 60-tal remissvar. En betydande del av bortfallet utgörs av yttranden till andra myndigheter. En ännu större andel faller bort eftersom utrednings- och remissarbetet inte resulterat i en proposition vid tidpunkten för undersökningens genomförande. Det stora bortfallet i undersökningen begränsar möjligheterna att dra slutsatser om Glesbygdsverkets arbete med att b</w:t>
      </w:r>
      <w:r w:rsidRPr="00780485">
        <w:t>e</w:t>
      </w:r>
      <w:r w:rsidRPr="00780485">
        <w:t xml:space="preserve">svara remisser. </w:t>
      </w:r>
    </w:p>
    <w:p w:rsidR="007A6E3D" w:rsidRPr="00780485" w:rsidRDefault="007A6E3D">
      <w:pPr>
        <w:pStyle w:val="Normaltindrag"/>
      </w:pPr>
      <w:r w:rsidRPr="00780485">
        <w:t>Den bil</w:t>
      </w:r>
      <w:r w:rsidRPr="00780485">
        <w:t>d som tonar fram genom den lilla undersökning som företagits visar att myndigheten i allt väsentligt svarar när man blir ombedd att lämna sy</w:t>
      </w:r>
      <w:r w:rsidRPr="00780485">
        <w:t>n</w:t>
      </w:r>
      <w:r w:rsidRPr="00780485">
        <w:t>punkter, att det finns en koppling av viss styrka till verkets uppdragsområde men att remisserna endast berör mindre delar av detta område. Till detta kommer att verket vanligen ingår i ett ganska stort sällskap av remissinsta</w:t>
      </w:r>
      <w:r w:rsidRPr="00780485">
        <w:t>n</w:t>
      </w:r>
      <w:r w:rsidRPr="00780485">
        <w:t>ser, varav flera har starkare kopplingar till de teman och frågor som aktual</w:t>
      </w:r>
      <w:r w:rsidRPr="00780485">
        <w:t>i</w:t>
      </w:r>
      <w:r w:rsidRPr="00780485">
        <w:t>seras genom (utrednin</w:t>
      </w:r>
      <w:r w:rsidRPr="00780485">
        <w:t>g</w:t>
      </w:r>
      <w:r w:rsidRPr="00780485">
        <w:t>arna och) propositionerna.</w:t>
      </w:r>
    </w:p>
    <w:p w:rsidR="007A6E3D" w:rsidRPr="00780485" w:rsidRDefault="007A6E3D">
      <w:pPr>
        <w:pStyle w:val="Normaltindrag"/>
      </w:pPr>
      <w:r w:rsidRPr="00780485">
        <w:t>Innehållsmässigt d</w:t>
      </w:r>
      <w:r w:rsidRPr="00780485">
        <w:t>omineras remissvaren av styrmedelsfrågor – framför allt utformning av styrmedel (t.ex. bidragsvillkor). Det förekommer även inslag som belyser förutsättningar för beslut och kvalitetskritik av bakomliggande utredningar. Argumenteringen för de ståndpunkter som intas är i regel kor</w:t>
      </w:r>
      <w:r w:rsidRPr="00780485">
        <w:t>t</w:t>
      </w:r>
      <w:r w:rsidRPr="00780485">
        <w:t>fattad. Referenser till egen kunskapsproduktion förekommer inte, och i 6 fall av 7 finns det inget som heller antyder att så skulle kunna vara fallet. Ett genomgående intryck är, enligt Nordeg, att synpunkterna har skrivits utifrån</w:t>
      </w:r>
      <w:r w:rsidRPr="00780485">
        <w:t xml:space="preserve"> ingående kunskap om villkoren för att driva företag, leva och bo i gles- och landsbygd.</w:t>
      </w:r>
    </w:p>
    <w:p w:rsidR="007A6E3D" w:rsidRPr="00780485" w:rsidRDefault="007A6E3D">
      <w:pPr>
        <w:pStyle w:val="Normaltindrag"/>
      </w:pPr>
      <w:r w:rsidRPr="00780485">
        <w:t>Det har inte gått att styrka något inflytande från verkets rapporter på de studerade remissvaren eller från remissvaren på propositionerna. Verkets kunskapsproduktion återspeglas alltså inte på något tydligt sätt ens i dess egna remissutlåta</w:t>
      </w:r>
      <w:r w:rsidRPr="00780485">
        <w:t>n</w:t>
      </w:r>
      <w:r w:rsidRPr="00780485">
        <w:t xml:space="preserve">den. </w:t>
      </w:r>
    </w:p>
    <w:p w:rsidR="007A6E3D" w:rsidRPr="00780485" w:rsidRDefault="007A6E3D">
      <w:pPr>
        <w:pStyle w:val="Normaltindrag"/>
      </w:pPr>
      <w:r w:rsidRPr="00780485">
        <w:t>Nordeg skriver att resultatet delvis kan förklaras av brister i undersö</w:t>
      </w:r>
      <w:r w:rsidRPr="00780485">
        <w:t>k</w:t>
      </w:r>
      <w:r w:rsidRPr="00780485">
        <w:t>ningstekniken men även av att propositioner inte har samma krav på källr</w:t>
      </w:r>
      <w:r w:rsidRPr="00780485">
        <w:t>e</w:t>
      </w:r>
      <w:r w:rsidRPr="00780485">
        <w:t>dovisning som exempelvis forskningsrapporter. Det är också troligt att u</w:t>
      </w:r>
      <w:r w:rsidRPr="00780485">
        <w:t>t</w:t>
      </w:r>
      <w:r w:rsidRPr="00780485">
        <w:t>fallet hade kunnat se annorlunda ut om det i urvalet propositioner hade ingått någon eller några propositioner inom Glesbygdsverkets primära ansvarso</w:t>
      </w:r>
      <w:r w:rsidRPr="00780485">
        <w:t>m</w:t>
      </w:r>
      <w:r w:rsidRPr="00780485">
        <w:t>råde.</w:t>
      </w:r>
    </w:p>
    <w:p w:rsidR="007A6E3D" w:rsidRPr="00780485" w:rsidRDefault="007A6E3D">
      <w:pPr>
        <w:pStyle w:val="e"/>
      </w:pPr>
      <w:r w:rsidRPr="00780485">
        <w:t>Syftet med bearbetningen av remisser och propositioner har varit att u</w:t>
      </w:r>
      <w:r w:rsidRPr="00780485">
        <w:t>n</w:t>
      </w:r>
      <w:r w:rsidRPr="00780485">
        <w:t>dersöka hela kedjan från myndighetens kunskapsproduktion till av regerin</w:t>
      </w:r>
      <w:r w:rsidRPr="00780485">
        <w:t>g</w:t>
      </w:r>
      <w:r w:rsidRPr="00780485">
        <w:t>en avgivna förslag. Att det i undersökningen inte går att styrka att Gle</w:t>
      </w:r>
      <w:r w:rsidRPr="00780485">
        <w:t>s</w:t>
      </w:r>
      <w:r w:rsidRPr="00780485">
        <w:t>bygdsverkets kunskapsproduktion utövat något inflytande över beslutsbere</w:t>
      </w:r>
      <w:r w:rsidRPr="00780485">
        <w:t>d</w:t>
      </w:r>
      <w:r w:rsidRPr="00780485">
        <w:t>ningen i Regeringskansliet, behöver inte betyda att Glesbygdsverket spelar en mindre viktig roll som stabsorgan. Enligt Nordeg kan det mycket väl vara så att Glesbygdsverket utövar stort inflytande i avseenden som inte fångas upp av denna undersökning, t.ex. genom att få gehör för förslag på</w:t>
      </w:r>
      <w:r w:rsidRPr="00780485">
        <w:t xml:space="preserve"> frågor som bör utredas, bemanning av utredningar och synpunkter framförda under hand. </w:t>
      </w:r>
    </w:p>
    <w:p w:rsidR="007A6E3D" w:rsidRPr="00780485" w:rsidRDefault="007A6E3D">
      <w:pPr>
        <w:pStyle w:val="Rubrik2"/>
      </w:pPr>
      <w:bookmarkStart w:id="141" w:name="_Toc515097914"/>
      <w:bookmarkStart w:id="142" w:name="_Toc526845462"/>
      <w:bookmarkStart w:id="143" w:name="_Toc526845784"/>
      <w:r w:rsidRPr="00780485">
        <w:t>Glesbygdsverkets årsbok 2000</w:t>
      </w:r>
      <w:bookmarkEnd w:id="141"/>
      <w:bookmarkEnd w:id="142"/>
      <w:bookmarkEnd w:id="143"/>
    </w:p>
    <w:p w:rsidR="007A6E3D" w:rsidRPr="00780485" w:rsidRDefault="007A6E3D">
      <w:r w:rsidRPr="00780485">
        <w:t>För att närmare undersöka Glesbygdsverkets arbete med att följa utvecklin</w:t>
      </w:r>
      <w:r w:rsidRPr="00780485">
        <w:t>g</w:t>
      </w:r>
      <w:r w:rsidRPr="00780485">
        <w:t>en i gles- och landsbygden har Riksdagens revisorer låtit Statisticon AB genomföra en översiktlig granskning av Glesbygdsverkets årsbok 2000. Syftet med undersökningen var att redovisa en värdering av de analyser och tolkningar som Glesbygdsverket gör i sin årsbok samt en bedömning av årsbokens tillgänglighet och förutsättningar att tjäna som beslutsu</w:t>
      </w:r>
      <w:r w:rsidRPr="00780485">
        <w:t>n</w:t>
      </w:r>
      <w:r w:rsidRPr="00780485">
        <w:t xml:space="preserve">derlag. </w:t>
      </w:r>
    </w:p>
    <w:p w:rsidR="007A6E3D" w:rsidRPr="00780485" w:rsidRDefault="007A6E3D">
      <w:pPr>
        <w:pStyle w:val="e"/>
      </w:pPr>
      <w:r w:rsidRPr="00780485">
        <w:t>Glesbygdsverket redovisar varje vår utvecklingen i gles- och landsbygder i en årlig rapport till regeringen. I juni 2000 utkom för första gången Gle</w:t>
      </w:r>
      <w:r w:rsidRPr="00780485">
        <w:t>s</w:t>
      </w:r>
      <w:r w:rsidRPr="00780485">
        <w:t>bygdsverkets årsbok. Tanken är att årligen ge en samlad bild av huvuddela</w:t>
      </w:r>
      <w:r w:rsidRPr="00780485">
        <w:t>r</w:t>
      </w:r>
      <w:r w:rsidRPr="00780485">
        <w:t>na i Glesbygdsverkets analysarbetet. Årsboken är den kanske viktigaste kunskapskällan för den som vill skaffa sig en bild av hur levnadsförhålland</w:t>
      </w:r>
      <w:r w:rsidRPr="00780485">
        <w:t>e</w:t>
      </w:r>
      <w:r w:rsidRPr="00780485">
        <w:t>na ser ut i landets gles- och landsbygder. Innehållet är, i enlighet med Gle</w:t>
      </w:r>
      <w:r w:rsidRPr="00780485">
        <w:t>s</w:t>
      </w:r>
      <w:r w:rsidRPr="00780485">
        <w:t xml:space="preserve">bygdsverkets uppdrag, främst inriktat mot frågor som rör arbetsmarknad, utbildning, infrastruktur och service. För varje år sker en fördjupad analys inom ett ämnesområde som presenteras i årsboken. I årsboken för </w:t>
      </w:r>
      <w:r w:rsidRPr="00780485">
        <w:t>år 2000 var temat flyttströmmar. I årsboken för år 2001 analyseras vad som karakt</w:t>
      </w:r>
      <w:r w:rsidRPr="00780485">
        <w:t>e</w:t>
      </w:r>
      <w:r w:rsidRPr="00780485">
        <w:t>riserar de landsbygd</w:t>
      </w:r>
      <w:r w:rsidRPr="00780485">
        <w:t>s</w:t>
      </w:r>
      <w:r w:rsidRPr="00780485">
        <w:t xml:space="preserve">områden som har en förhållandevis hög inflyttning. </w:t>
      </w:r>
    </w:p>
    <w:p w:rsidR="007A6E3D" w:rsidRPr="00780485" w:rsidRDefault="007A6E3D">
      <w:pPr>
        <w:pStyle w:val="Rubrik5"/>
        <w:rPr>
          <w:i/>
        </w:rPr>
      </w:pPr>
      <w:r w:rsidRPr="00780485">
        <w:rPr>
          <w:i/>
        </w:rPr>
        <w:t>Granskning av analyser och tolkningar i Glesbygdsverkets årsrapport 2000</w:t>
      </w:r>
    </w:p>
    <w:p w:rsidR="007A6E3D" w:rsidRPr="00780485" w:rsidRDefault="007A6E3D">
      <w:r w:rsidRPr="00780485">
        <w:t>Statisticons granskning av årsboken är i huvudsak fokuserad på de delar av årsboken som rör statistiska analyser av befolkningsutvecklingen. Grans</w:t>
      </w:r>
      <w:r w:rsidRPr="00780485">
        <w:t>k</w:t>
      </w:r>
      <w:r w:rsidRPr="00780485">
        <w:t>ningen har skett utifrån följande tre frågestäl</w:t>
      </w:r>
      <w:r w:rsidRPr="00780485">
        <w:t>l</w:t>
      </w:r>
      <w:r w:rsidRPr="00780485">
        <w:t>ningar:</w:t>
      </w:r>
    </w:p>
    <w:p w:rsidR="007A6E3D" w:rsidRPr="00780485" w:rsidRDefault="007A6E3D">
      <w:pPr>
        <w:pStyle w:val="Normaltindrag"/>
        <w:numPr>
          <w:ilvl w:val="0"/>
          <w:numId w:val="138"/>
        </w:numPr>
      </w:pPr>
      <w:r w:rsidRPr="00780485">
        <w:t>Är definitionerna bakom analyserna relevanta för beskrivningen av befolkningsutvecklin</w:t>
      </w:r>
      <w:r w:rsidRPr="00780485">
        <w:t>g</w:t>
      </w:r>
      <w:r w:rsidRPr="00780485">
        <w:t>en?</w:t>
      </w:r>
    </w:p>
    <w:p w:rsidR="007A6E3D" w:rsidRPr="00780485" w:rsidRDefault="007A6E3D">
      <w:pPr>
        <w:pStyle w:val="Normaltindrag"/>
        <w:numPr>
          <w:ilvl w:val="0"/>
          <w:numId w:val="138"/>
        </w:numPr>
      </w:pPr>
      <w:r w:rsidRPr="00780485">
        <w:t>Är analyserna relevanta och korrekta i förhållande till det statistiska underlag som föreli</w:t>
      </w:r>
      <w:r w:rsidRPr="00780485">
        <w:t>g</w:t>
      </w:r>
      <w:r w:rsidRPr="00780485">
        <w:t>ger?</w:t>
      </w:r>
    </w:p>
    <w:p w:rsidR="007A6E3D" w:rsidRPr="00780485" w:rsidRDefault="007A6E3D">
      <w:pPr>
        <w:pStyle w:val="Normaltindrag"/>
        <w:numPr>
          <w:ilvl w:val="0"/>
          <w:numId w:val="138"/>
        </w:numPr>
      </w:pPr>
      <w:r w:rsidRPr="00780485">
        <w:t>Är analyserna presenterade på ett lättillgängligt sätt?</w:t>
      </w:r>
    </w:p>
    <w:p w:rsidR="007A6E3D" w:rsidRPr="00780485" w:rsidRDefault="007A6E3D">
      <w:r w:rsidRPr="00780485">
        <w:t>Glesbygdsverket har utformat en definition av gles- och landsbygder som grundar sig på ett områdes tillgänglighet till tätorter. Som tätortsnära land</w:t>
      </w:r>
      <w:r w:rsidRPr="00780485">
        <w:t>s</w:t>
      </w:r>
      <w:r w:rsidRPr="00780485">
        <w:t>bygd räknar Glesbygdsverket ett område med 5 till 45 minuters pendlingsa</w:t>
      </w:r>
      <w:r w:rsidRPr="00780485">
        <w:t>v</w:t>
      </w:r>
      <w:r w:rsidRPr="00780485">
        <w:t>stånd med bil till tätorter med mer än 3 000 invånare. Till glesbygden hör de områden som har mer än 45 minuters pendlingsavstånd till tätorter med mer än 3 000 invånare. Detta är Glesbygdsverkets huvudsakliga definition av gles- och landsbygd. Verket använder även andra definitioner för att beskriva utvecklingen. I några avsnitt talar verket om glesbygd som områden utanför tätorter med fler än 200 invånare plus en buffertzon på en ki</w:t>
      </w:r>
      <w:r w:rsidRPr="00780485">
        <w:t>lometer. Ibland talas om glesbygdskommuner. Glesbygdsverket gör också en geografisk avgränsning i skogslän i inland, övriga skogslän samt storstäder och övriga Sverige. Detta är naturligt eftersom Glesbygdsverket utnyttjar kunskap som andra aktörer och andra kunskapsproducenter med andra definitioner tagit fram. I tabell 8 redovisas hur andelen boende i gles- och landsbygd varierar i olika källor med olika definitioner.</w:t>
      </w:r>
    </w:p>
    <w:p w:rsidR="007A6E3D" w:rsidRPr="00780485" w:rsidRDefault="007A6E3D">
      <w:pPr>
        <w:pStyle w:val="t"/>
      </w:pPr>
      <w:r w:rsidRPr="00780485">
        <w:t>Tabell 8. Andel boende i ”gles- och landsbygd” enligt olika definitioner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692"/>
        <w:gridCol w:w="2773"/>
      </w:tblGrid>
      <w:tr w:rsidR="00000000" w:rsidRPr="00780485">
        <w:tblPrEx>
          <w:tblCellMar>
            <w:top w:w="0" w:type="dxa"/>
            <w:bottom w:w="0" w:type="dxa"/>
          </w:tblCellMar>
        </w:tblPrEx>
        <w:tc>
          <w:tcPr>
            <w:tcW w:w="1692" w:type="dxa"/>
            <w:tcBorders>
              <w:bottom w:val="single" w:sz="6" w:space="0" w:color="008000"/>
            </w:tcBorders>
          </w:tcPr>
          <w:p w:rsidR="007A6E3D" w:rsidRPr="00780485" w:rsidRDefault="007A6E3D">
            <w:pPr>
              <w:pStyle w:val="Tabell"/>
            </w:pPr>
            <w:r w:rsidRPr="00780485">
              <w:t>Källa</w:t>
            </w:r>
          </w:p>
        </w:tc>
        <w:tc>
          <w:tcPr>
            <w:tcW w:w="2773" w:type="dxa"/>
            <w:tcBorders>
              <w:bottom w:val="single" w:sz="6" w:space="0" w:color="008000"/>
            </w:tcBorders>
          </w:tcPr>
          <w:p w:rsidR="007A6E3D" w:rsidRPr="00780485" w:rsidRDefault="007A6E3D">
            <w:pPr>
              <w:pStyle w:val="Tabell"/>
            </w:pPr>
            <w:r w:rsidRPr="00780485">
              <w:t>Andel boende i ”gles- och land</w:t>
            </w:r>
            <w:r w:rsidRPr="00780485">
              <w:t>s</w:t>
            </w:r>
            <w:r w:rsidRPr="00780485">
              <w:t>bygd”</w:t>
            </w:r>
          </w:p>
        </w:tc>
      </w:tr>
      <w:tr w:rsidR="00000000" w:rsidRPr="00780485">
        <w:tblPrEx>
          <w:tblCellMar>
            <w:top w:w="0" w:type="dxa"/>
            <w:bottom w:w="0" w:type="dxa"/>
          </w:tblCellMar>
        </w:tblPrEx>
        <w:tc>
          <w:tcPr>
            <w:tcW w:w="1692" w:type="dxa"/>
            <w:tcBorders>
              <w:top w:val="nil"/>
            </w:tcBorders>
          </w:tcPr>
          <w:p w:rsidR="007A6E3D" w:rsidRPr="00780485" w:rsidRDefault="007A6E3D">
            <w:pPr>
              <w:pStyle w:val="Tabell"/>
            </w:pPr>
            <w:r w:rsidRPr="00780485">
              <w:t>SCB</w:t>
            </w:r>
          </w:p>
        </w:tc>
        <w:tc>
          <w:tcPr>
            <w:tcW w:w="2773" w:type="dxa"/>
            <w:tcBorders>
              <w:top w:val="nil"/>
            </w:tcBorders>
          </w:tcPr>
          <w:p w:rsidR="007A6E3D" w:rsidRPr="00780485" w:rsidRDefault="007A6E3D">
            <w:pPr>
              <w:pStyle w:val="Tabell"/>
            </w:pPr>
            <w:r w:rsidRPr="00780485">
              <w:t>16 %</w:t>
            </w:r>
          </w:p>
        </w:tc>
      </w:tr>
      <w:tr w:rsidR="00000000" w:rsidRPr="00780485">
        <w:tblPrEx>
          <w:tblCellMar>
            <w:top w:w="0" w:type="dxa"/>
            <w:bottom w:w="0" w:type="dxa"/>
          </w:tblCellMar>
        </w:tblPrEx>
        <w:tc>
          <w:tcPr>
            <w:tcW w:w="1692" w:type="dxa"/>
          </w:tcPr>
          <w:p w:rsidR="007A6E3D" w:rsidRPr="00780485" w:rsidRDefault="007A6E3D">
            <w:pPr>
              <w:pStyle w:val="Tabell"/>
            </w:pPr>
            <w:r w:rsidRPr="00780485">
              <w:t>Länsstyrelsen</w:t>
            </w:r>
          </w:p>
        </w:tc>
        <w:tc>
          <w:tcPr>
            <w:tcW w:w="2773" w:type="dxa"/>
          </w:tcPr>
          <w:p w:rsidR="007A6E3D" w:rsidRPr="00780485" w:rsidRDefault="007A6E3D">
            <w:pPr>
              <w:pStyle w:val="Tabell"/>
            </w:pPr>
            <w:r w:rsidRPr="00780485">
              <w:t>29 %</w:t>
            </w:r>
          </w:p>
        </w:tc>
      </w:tr>
      <w:tr w:rsidR="00000000" w:rsidRPr="00780485">
        <w:tblPrEx>
          <w:tblCellMar>
            <w:top w:w="0" w:type="dxa"/>
            <w:bottom w:w="0" w:type="dxa"/>
          </w:tblCellMar>
        </w:tblPrEx>
        <w:tc>
          <w:tcPr>
            <w:tcW w:w="1692" w:type="dxa"/>
          </w:tcPr>
          <w:p w:rsidR="007A6E3D" w:rsidRPr="00780485" w:rsidRDefault="007A6E3D">
            <w:pPr>
              <w:pStyle w:val="Tabell"/>
            </w:pPr>
            <w:r w:rsidRPr="00780485">
              <w:t>Kommunfö</w:t>
            </w:r>
            <w:r w:rsidRPr="00780485">
              <w:t>r</w:t>
            </w:r>
            <w:r w:rsidRPr="00780485">
              <w:t>bundet</w:t>
            </w:r>
          </w:p>
        </w:tc>
        <w:tc>
          <w:tcPr>
            <w:tcW w:w="2773" w:type="dxa"/>
          </w:tcPr>
          <w:p w:rsidR="007A6E3D" w:rsidRPr="00780485" w:rsidRDefault="007A6E3D">
            <w:pPr>
              <w:pStyle w:val="Tabell"/>
            </w:pPr>
            <w:r w:rsidRPr="00780485">
              <w:t>7 %</w:t>
            </w:r>
          </w:p>
        </w:tc>
      </w:tr>
      <w:tr w:rsidR="00000000" w:rsidRPr="00780485">
        <w:tblPrEx>
          <w:tblCellMar>
            <w:top w:w="0" w:type="dxa"/>
            <w:bottom w:w="0" w:type="dxa"/>
          </w:tblCellMar>
        </w:tblPrEx>
        <w:tc>
          <w:tcPr>
            <w:tcW w:w="1692" w:type="dxa"/>
          </w:tcPr>
          <w:p w:rsidR="007A6E3D" w:rsidRPr="00780485" w:rsidRDefault="007A6E3D">
            <w:pPr>
              <w:pStyle w:val="Tabell"/>
            </w:pPr>
            <w:r w:rsidRPr="00780485">
              <w:t>EU</w:t>
            </w:r>
          </w:p>
        </w:tc>
        <w:tc>
          <w:tcPr>
            <w:tcW w:w="2773" w:type="dxa"/>
          </w:tcPr>
          <w:p w:rsidR="007A6E3D" w:rsidRPr="00780485" w:rsidRDefault="007A6E3D">
            <w:pPr>
              <w:pStyle w:val="Tabell"/>
            </w:pPr>
            <w:r w:rsidRPr="00780485">
              <w:t>13 %</w:t>
            </w:r>
          </w:p>
        </w:tc>
      </w:tr>
      <w:tr w:rsidR="00000000" w:rsidRPr="00780485">
        <w:tblPrEx>
          <w:tblCellMar>
            <w:top w:w="0" w:type="dxa"/>
            <w:bottom w:w="0" w:type="dxa"/>
          </w:tblCellMar>
        </w:tblPrEx>
        <w:tc>
          <w:tcPr>
            <w:tcW w:w="1692" w:type="dxa"/>
          </w:tcPr>
          <w:p w:rsidR="007A6E3D" w:rsidRPr="00780485" w:rsidRDefault="007A6E3D">
            <w:pPr>
              <w:pStyle w:val="Tabell"/>
            </w:pPr>
            <w:r w:rsidRPr="00780485">
              <w:t>Glesbygdsve</w:t>
            </w:r>
            <w:r w:rsidRPr="00780485">
              <w:t>r</w:t>
            </w:r>
            <w:r w:rsidRPr="00780485">
              <w:t>ket</w:t>
            </w:r>
          </w:p>
        </w:tc>
        <w:tc>
          <w:tcPr>
            <w:tcW w:w="2773" w:type="dxa"/>
          </w:tcPr>
          <w:p w:rsidR="007A6E3D" w:rsidRPr="00780485" w:rsidRDefault="007A6E3D">
            <w:pPr>
              <w:pStyle w:val="Tabell"/>
            </w:pPr>
            <w:r w:rsidRPr="00780485">
              <w:t>24 %</w:t>
            </w:r>
          </w:p>
        </w:tc>
      </w:tr>
    </w:tbl>
    <w:p w:rsidR="007A6E3D" w:rsidRPr="00780485" w:rsidRDefault="007A6E3D">
      <w:pPr>
        <w:pStyle w:val="Fotnotstext"/>
      </w:pPr>
      <w:r w:rsidRPr="00780485">
        <w:t>Källa: Statisticon 2001</w:t>
      </w:r>
    </w:p>
    <w:p w:rsidR="007A6E3D" w:rsidRPr="00780485" w:rsidRDefault="007A6E3D">
      <w:r w:rsidRPr="00780485">
        <w:t>Statisticons slutsats är att det är rimligt att olika glesbygdsdefinitioner fung</w:t>
      </w:r>
      <w:r w:rsidRPr="00780485">
        <w:t>e</w:t>
      </w:r>
      <w:r w:rsidRPr="00780485">
        <w:t>rar olika väl i olika sammanhang. Enligt dess bedömning redogör Gle</w:t>
      </w:r>
      <w:r w:rsidRPr="00780485">
        <w:t>s</w:t>
      </w:r>
      <w:r w:rsidRPr="00780485">
        <w:t>bygdsverket, i årsrapporten, på ett bra sätt för de olika möjliga definitionerna och är väl medvetet om problemat</w:t>
      </w:r>
      <w:r w:rsidRPr="00780485">
        <w:t>i</w:t>
      </w:r>
      <w:r w:rsidRPr="00780485">
        <w:t xml:space="preserve">ken. </w:t>
      </w:r>
    </w:p>
    <w:p w:rsidR="007A6E3D" w:rsidRPr="00780485" w:rsidRDefault="007A6E3D">
      <w:pPr>
        <w:pStyle w:val="Normaltindrag"/>
      </w:pPr>
      <w:r w:rsidRPr="00780485">
        <w:t>Att växla mellan olika definitioner och indelningar vid beskrivningen av befolkningsutvecklingen medför dock ett problem att få ett helhetsgrepp kring befolkningsu</w:t>
      </w:r>
      <w:r w:rsidRPr="00780485">
        <w:t>t</w:t>
      </w:r>
      <w:r w:rsidRPr="00780485">
        <w:t xml:space="preserve">vecklingen i olika delar av landet. </w:t>
      </w:r>
    </w:p>
    <w:p w:rsidR="007A6E3D" w:rsidRPr="00780485" w:rsidRDefault="007A6E3D">
      <w:pPr>
        <w:pStyle w:val="Normaltindrag"/>
      </w:pPr>
      <w:r w:rsidRPr="00780485">
        <w:t>Statisticon anser att Glesbygdsverket sammantaget väl täcker in såväl å</w:t>
      </w:r>
      <w:r w:rsidRPr="00780485">
        <w:t>l</w:t>
      </w:r>
      <w:r w:rsidRPr="00780485">
        <w:t>dersstruktur, utbildningsnivå, sysselsättningsaspekter, service som flyt</w:t>
      </w:r>
      <w:r w:rsidRPr="00780485">
        <w:t>t</w:t>
      </w:r>
      <w:r w:rsidRPr="00780485">
        <w:t>strömmar i sin presentation av glesbygdens befolkningsutveckling. Verket presenterar i sin rapport en rik informationsmängd av olika jämförelser me</w:t>
      </w:r>
      <w:r w:rsidRPr="00780485">
        <w:t>l</w:t>
      </w:r>
      <w:r w:rsidRPr="00780485">
        <w:t>lan olika regioner i landet. På några punkter är dock Statisticon kritiskt till den framställning som görs av utvecklingen i gles- och landsbygder.</w:t>
      </w:r>
    </w:p>
    <w:p w:rsidR="007A6E3D" w:rsidRPr="00780485" w:rsidRDefault="007A6E3D">
      <w:pPr>
        <w:pStyle w:val="Normaltindrag"/>
      </w:pPr>
      <w:r w:rsidRPr="00780485">
        <w:t>Enligt Statisticons bedömning är rapporten svårläst, vilket begränsar dess värde som beslutsunderlag. Det beror bl.a. på att Glesbygdsverket o</w:t>
      </w:r>
      <w:r w:rsidRPr="00780485">
        <w:t>fta växlar mellan olika definitioner och indelningar vid beskrivningar av befolkning</w:t>
      </w:r>
      <w:r w:rsidRPr="00780485">
        <w:t>s</w:t>
      </w:r>
      <w:r w:rsidRPr="00780485">
        <w:t>utveckling. Enligt rapportförfattarnas bedömning innebär det att det är svårt för en läsare att få ett helhetsgrepp kring befolkningsutvecklingen i olika delar av landet. Som exempel nämns bl.a. beskrivningar av demografiska aspekter i olika regioner där antalet jämförelser och definitioner är många.</w:t>
      </w:r>
    </w:p>
    <w:p w:rsidR="007A6E3D" w:rsidRPr="00780485" w:rsidRDefault="007A6E3D">
      <w:pPr>
        <w:pStyle w:val="Normaltindrag"/>
      </w:pPr>
      <w:r w:rsidRPr="00780485">
        <w:t>Sammanfattningen är främst inriktad mot att i huvudsak beskriva de pos</w:t>
      </w:r>
      <w:r w:rsidRPr="00780485">
        <w:t>i</w:t>
      </w:r>
      <w:r w:rsidRPr="00780485">
        <w:t>tiva tendenser som finns i statistiken. Det faktum att glesbygdsregioner minskar sin befolkning nämns, men denna information tenderar att försvinna i mängden av positiva skrivningar om utvecklingen på landsbygden. Statist</w:t>
      </w:r>
      <w:r w:rsidRPr="00780485">
        <w:t>i</w:t>
      </w:r>
      <w:r w:rsidRPr="00780485">
        <w:t>con skriver att den bild man får av årsrapporten är att det pågår en viss u</w:t>
      </w:r>
      <w:r w:rsidRPr="00780485">
        <w:t>t</w:t>
      </w:r>
      <w:r w:rsidRPr="00780485">
        <w:t>flyttning från glesbygden, men att inflyttningen är i stort sett lika stor som utflyttningen. Dessutom slås fast att fler människor än de som i dag bor i glesbygden vill bo där, om förutsättningar bara finns för d</w:t>
      </w:r>
      <w:r w:rsidRPr="00780485">
        <w:t>etta. Detta indik</w:t>
      </w:r>
      <w:r w:rsidRPr="00780485">
        <w:t>e</w:t>
      </w:r>
      <w:r w:rsidRPr="00780485">
        <w:t xml:space="preserve">rar en positiv bild inför framtiden. </w:t>
      </w:r>
    </w:p>
    <w:p w:rsidR="007A6E3D" w:rsidRPr="00780485" w:rsidRDefault="007A6E3D">
      <w:pPr>
        <w:pStyle w:val="Normaltindrag"/>
      </w:pPr>
      <w:r w:rsidRPr="00780485">
        <w:t>När Glesbygdsverket presenterade årsboken för 2001 valde verket även denna gång att fokusera på utflyttningen från tätorter till gles- och landsby</w:t>
      </w:r>
      <w:r w:rsidRPr="00780485">
        <w:t>g</w:t>
      </w:r>
      <w:r w:rsidRPr="00780485">
        <w:t>der. I rapporten jämförs bl.a. befolkningsutvecklingen i gles- och landsby</w:t>
      </w:r>
      <w:r w:rsidRPr="00780485">
        <w:t>g</w:t>
      </w:r>
      <w:r w:rsidRPr="00780485">
        <w:t>den totalt med ett urval av områden i gles- och landsbygden där inflyttningen varit större än utflyttningen under perioden 1994</w:t>
      </w:r>
      <w:r w:rsidRPr="00780485">
        <w:noBreakHyphen/>
        <w:t>1998. Glesbygdsverket presenterar denna jämförelse i pressmeddelande för årsrapporten under r</w:t>
      </w:r>
      <w:r w:rsidRPr="00780485">
        <w:t>u</w:t>
      </w:r>
      <w:r w:rsidRPr="00780485">
        <w:t>briken ”Ökad befolkning i många gles- och landsbygder” på fö</w:t>
      </w:r>
      <w:r w:rsidRPr="00780485">
        <w:t>l</w:t>
      </w:r>
      <w:r w:rsidRPr="00780485">
        <w:t xml:space="preserve">jande sätt. </w:t>
      </w:r>
    </w:p>
    <w:p w:rsidR="007A6E3D" w:rsidRPr="00780485" w:rsidRDefault="007A6E3D">
      <w:pPr>
        <w:pStyle w:val="Citat"/>
      </w:pPr>
      <w:r w:rsidRPr="00780485">
        <w:t>Resultaten från studien visar att när gles- och landsbygder generellt sett har haft befolkningsminskningar på 2 % har befolkningen i de infl</w:t>
      </w:r>
      <w:r w:rsidRPr="00780485">
        <w:t>yttningsrika gles- och landsbygdsområdena ökat med 2 %. Inflyttningen har alltså varit så omfattande att den uppväger minskande födelsetal och ungdomarnas utflyt</w:t>
      </w:r>
      <w:r w:rsidRPr="00780485">
        <w:t>t</w:t>
      </w:r>
      <w:r w:rsidRPr="00780485">
        <w:t xml:space="preserve">ning. Skillnaderna i skogslänens inland är mest uppseendeväckande. Där har befolkningen i de inflyttningsrika gles- och landsbygdsområdena ökat med 4 %. </w:t>
      </w:r>
    </w:p>
    <w:p w:rsidR="007A6E3D" w:rsidRPr="00780485" w:rsidRDefault="007A6E3D">
      <w:r w:rsidRPr="00780485">
        <w:t>Det framgår inte i pressmeddelandet att befolkningen i de inflyttningsrika bygder som valts ut består av 22 400 personer och att en befolkningsökning på 2 % motsvarar ca 450 personer, ca 90 person</w:t>
      </w:r>
      <w:r w:rsidRPr="00780485">
        <w:t>er per år i snitt. Den ökning som Glesbygdsverket beskriver som mest uppseendeväckande, dvs. befol</w:t>
      </w:r>
      <w:r w:rsidRPr="00780485">
        <w:t>k</w:t>
      </w:r>
      <w:r w:rsidRPr="00780485">
        <w:t>ningsökningen i vissa bygder i skogslänens inland motsvarar en befolknin</w:t>
      </w:r>
      <w:r w:rsidRPr="00780485">
        <w:t>g</w:t>
      </w:r>
      <w:r w:rsidRPr="00780485">
        <w:t>sökning på 190 personer under 5 år. Totalt bor 2,2 miljoner människor i gles- och land</w:t>
      </w:r>
      <w:r w:rsidRPr="00780485">
        <w:t>s</w:t>
      </w:r>
      <w:r w:rsidRPr="00780485">
        <w:t>bygden.</w:t>
      </w:r>
    </w:p>
    <w:p w:rsidR="007A6E3D" w:rsidRPr="00780485" w:rsidRDefault="007A6E3D">
      <w:pPr>
        <w:pStyle w:val="Normaltindrag"/>
      </w:pPr>
      <w:r w:rsidRPr="00780485">
        <w:t>Försörjningsbasen och i slutändan överlevnaden för glesbygden definieras i stor utsträckning av regionens försörjningskraft. Glesbygdsverket har g</w:t>
      </w:r>
      <w:r w:rsidRPr="00780485">
        <w:t>e</w:t>
      </w:r>
      <w:r w:rsidRPr="00780485">
        <w:t>nom sin definition av gles- och landsbygd definierat bort centralorterna ur sin statistik. Detta innebär att värdefull information om den omkringliggande regionen faller bort. Om centralorten utarmas påverkas livet för dem som bor i den kringliggande gles- och landsbygden. Om detta perspektiv ansätts är bilden mer alarmerande än vad verket presenterar i sin årsrapport enligt Statisticon. Befolkningen i tätorterna i glesbefolkade kommuner har minskat under 1990-talet. I diagram 2 åskådliggörs en beräkning s</w:t>
      </w:r>
      <w:r w:rsidRPr="00780485">
        <w:t>om Statisticon utfört utifrån Glesbygdsverkets statistik som visar hur ungdomar flyttade från glesbygdskommuner 1999. Diagrammet visar att det sker en kraftig utflyt</w:t>
      </w:r>
      <w:r w:rsidRPr="00780485">
        <w:t>t</w:t>
      </w:r>
      <w:r w:rsidRPr="00780485">
        <w:t>ning i åldersgruppen 20</w:t>
      </w:r>
      <w:r w:rsidRPr="00780485">
        <w:noBreakHyphen/>
        <w:t>30 år. Det är främst i åldersgrupperna kring 60 år som summan av inflyttare överstiger antalet u</w:t>
      </w:r>
      <w:r w:rsidRPr="00780485">
        <w:t>t</w:t>
      </w:r>
      <w:r w:rsidRPr="00780485">
        <w:t>flyttare i diagrammet.</w:t>
      </w:r>
    </w:p>
    <w:p w:rsidR="007A6E3D" w:rsidRPr="00780485" w:rsidRDefault="007A6E3D">
      <w:pPr>
        <w:pStyle w:val="t"/>
      </w:pPr>
      <w:r w:rsidRPr="00780485">
        <w:t>Diagram 2. Flyttströmmar brutto i 23 glesbygdskommuner 1999</w:t>
      </w:r>
    </w:p>
    <w:p w:rsidR="007A6E3D" w:rsidRPr="00780485" w:rsidRDefault="00780485">
      <w:pPr>
        <w:pStyle w:val="Tabellrubrik"/>
      </w:pPr>
      <w:r w:rsidRPr="00780485">
        <w:rPr>
          <w:noProof/>
        </w:rPr>
        <w:drawing>
          <wp:anchor distT="0" distB="0" distL="114300" distR="114300" simplePos="0" relativeHeight="251657216" behindDoc="0" locked="0" layoutInCell="0" allowOverlap="1">
            <wp:simplePos x="0" y="0"/>
            <wp:positionH relativeFrom="column">
              <wp:posOffset>-537210</wp:posOffset>
            </wp:positionH>
            <wp:positionV relativeFrom="paragraph">
              <wp:posOffset>125730</wp:posOffset>
            </wp:positionV>
            <wp:extent cx="4520565" cy="3359150"/>
            <wp:effectExtent l="0" t="0" r="0" b="0"/>
            <wp:wrapTopAndBottom/>
            <wp:docPr id="126455638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0565" cy="335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6E3D" w:rsidRPr="00780485" w:rsidRDefault="007A6E3D">
      <w:pPr>
        <w:pStyle w:val="Fotnotstext"/>
        <w:outlineLvl w:val="0"/>
      </w:pPr>
      <w:r w:rsidRPr="00780485">
        <w:t>Källa: Statisticon 2000</w:t>
      </w:r>
    </w:p>
    <w:p w:rsidR="007A6E3D" w:rsidRPr="00780485" w:rsidRDefault="007A6E3D">
      <w:pPr>
        <w:pStyle w:val="Rubrik2"/>
      </w:pPr>
      <w:bookmarkStart w:id="144" w:name="_Toc515097915"/>
      <w:bookmarkStart w:id="145" w:name="_Toc526845463"/>
      <w:bookmarkStart w:id="146" w:name="_Toc526845785"/>
      <w:r w:rsidRPr="00780485">
        <w:t>Glesbygdsverkets målgruppsundersökning</w:t>
      </w:r>
      <w:bookmarkEnd w:id="144"/>
      <w:bookmarkEnd w:id="145"/>
      <w:bookmarkEnd w:id="146"/>
    </w:p>
    <w:p w:rsidR="007A6E3D" w:rsidRPr="00780485" w:rsidRDefault="007A6E3D">
      <w:r w:rsidRPr="00780485">
        <w:t>Under hösten 2000 har opinionsundersökningsföretaget SKOP på uppdrag av Glesbygdsverket intervjuat drygt 200 personer som ingår i målgruppen för verkets informationsverksamhet. I undersökningen ställs bl.a. frågor om hur målgruppen upplever Glesbygdsverkets produkter och personal, vilken nytta de tillfrågade har av Glesbygdsverket och hur de kommit i kontakt med myndigheten. Stora delar av den bedömning som Glesbygdsverket gör av den egna verksamhetens effekter och resultat i årsredovisningen för 2000 base</w:t>
      </w:r>
      <w:r w:rsidRPr="00780485">
        <w:t>ras på SKOP-undersökningen.</w:t>
      </w:r>
    </w:p>
    <w:p w:rsidR="007A6E3D" w:rsidRPr="00780485" w:rsidRDefault="007A6E3D">
      <w:pPr>
        <w:pStyle w:val="Normaltindrag"/>
      </w:pPr>
      <w:r w:rsidRPr="00780485">
        <w:t>På uppdrag av Riksdagens revisorer genomförde statistikkonsultföretaget Bring Statistics &amp; Research AB en kvalitetsgranskning av motsvarande rapport för 1999. Kvalitetsgranskningen pekade på en rad brister i den red</w:t>
      </w:r>
      <w:r w:rsidRPr="00780485">
        <w:t>o</w:t>
      </w:r>
      <w:r w:rsidRPr="00780485">
        <w:t>visade undersökningen. Granskarna drog slutsatsen att det är svårt att utifrån den redovisade undersökningen dra några slutsatser om Glesbygdsverket och dess verksamhet och att undersökningen inte bör tillmätas för stor betydelse vid en bedömning av hur Glesbygdsverket fungerar. Flera av bristerna i 1999 års rapport återfinns även i 2000 års rappo</w:t>
      </w:r>
      <w:r w:rsidRPr="00780485">
        <w:t>r</w:t>
      </w:r>
      <w:r w:rsidRPr="00780485">
        <w:t xml:space="preserve">t. </w:t>
      </w:r>
    </w:p>
    <w:p w:rsidR="007A6E3D" w:rsidRPr="00780485" w:rsidRDefault="007A6E3D">
      <w:pPr>
        <w:pStyle w:val="Normaltindrag"/>
      </w:pPr>
      <w:r w:rsidRPr="00780485">
        <w:t>Glesbygdsverket har valt ut intervjupersonerna i undersökningen. Av u</w:t>
      </w:r>
      <w:r w:rsidRPr="00780485">
        <w:t>n</w:t>
      </w:r>
      <w:r w:rsidRPr="00780485">
        <w:t>dersökningen framgår inte vilket urvalsförfarande som använts. Detta, li</w:t>
      </w:r>
      <w:r w:rsidRPr="00780485">
        <w:t>k</w:t>
      </w:r>
      <w:r w:rsidRPr="00780485">
        <w:t>som avsaknaden av uppgifter om rapportens syfte och andra kvalitetsbrister, gör resultaten svårtolkade. Totalt tillfrågades 280 personer av vilka 78 % medverkade i undersökningen. Glesbygdsverket har redovisat en förteckning över vilka personer som ingick i urvalet för 2000 års undersökning för rev</w:t>
      </w:r>
      <w:r w:rsidRPr="00780485">
        <w:t>i</w:t>
      </w:r>
      <w:r w:rsidRPr="00780485">
        <w:t>sorerna. I diagrammet nedan visas hur många som ingått i urvalet för unde</w:t>
      </w:r>
      <w:r w:rsidRPr="00780485">
        <w:t>r</w:t>
      </w:r>
      <w:r w:rsidRPr="00780485">
        <w:t>sökningen uppdelat på 8 undergrupper.</w:t>
      </w:r>
    </w:p>
    <w:p w:rsidR="007A6E3D" w:rsidRPr="00780485" w:rsidRDefault="007A6E3D">
      <w:pPr>
        <w:pStyle w:val="t"/>
      </w:pPr>
      <w:r w:rsidRPr="00780485">
        <w:t>Diagram 3. Urvalspopulatio</w:t>
      </w:r>
      <w:r w:rsidRPr="00780485">
        <w:t>nen i Glesbygdsverkets målgruppsanalys</w:t>
      </w:r>
    </w:p>
    <w:p w:rsidR="007A6E3D" w:rsidRPr="00780485" w:rsidRDefault="007A6E3D">
      <w:pPr>
        <w:pStyle w:val="Tabellrubrik"/>
      </w:pPr>
    </w:p>
    <w:p w:rsidR="007A6E3D" w:rsidRPr="00780485" w:rsidRDefault="007A6E3D">
      <w:pPr>
        <w:pStyle w:val="Fotnotstext"/>
      </w:pPr>
      <w:r w:rsidRPr="0078048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85.75pt;height:192pt;z-index:251658240;mso-position-horizontal:absolute;mso-position-horizontal-relative:text;mso-position-vertical:absolute;mso-position-vertical-relative:text" o:allowincell="f">
            <v:imagedata r:id="rId13" o:title=""/>
            <w10:wrap type="topAndBottom"/>
          </v:shape>
          <o:OLEObject Type="Embed" ProgID="Excel.Sheet.8" ShapeID="_x0000_s2051" DrawAspect="Content" ObjectID="_1827357393" r:id="rId14"/>
        </w:object>
      </w:r>
    </w:p>
    <w:p w:rsidR="007A6E3D" w:rsidRPr="00780485" w:rsidRDefault="007A6E3D">
      <w:pPr>
        <w:pStyle w:val="Fotnotstext"/>
        <w:outlineLvl w:val="0"/>
      </w:pPr>
      <w:r w:rsidRPr="00780485">
        <w:t>Källa: Bring Statistics &amp; Research AB 2000</w:t>
      </w:r>
    </w:p>
    <w:p w:rsidR="007A6E3D" w:rsidRPr="00780485" w:rsidRDefault="007A6E3D">
      <w:r w:rsidRPr="00780485">
        <w:t>Enligt Glesbygdsverket rör det sig om en totalundersökning för samtliga undergrupper utom för gruppen Leader+. Detta innebär att diagram 3 även ger en god bild av hur verket ser på den totala målgruppen för sin inform</w:t>
      </w:r>
      <w:r w:rsidRPr="00780485">
        <w:t>a</w:t>
      </w:r>
      <w:r w:rsidRPr="00780485">
        <w:t>tionsver</w:t>
      </w:r>
      <w:r w:rsidRPr="00780485">
        <w:t>k</w:t>
      </w:r>
      <w:r w:rsidRPr="00780485">
        <w:t xml:space="preserve">samhet. </w:t>
      </w:r>
    </w:p>
    <w:p w:rsidR="007A6E3D" w:rsidRPr="00780485" w:rsidRDefault="007A6E3D">
      <w:pPr>
        <w:pStyle w:val="e"/>
      </w:pPr>
      <w:r w:rsidRPr="00780485">
        <w:t>Resultatet av SKOP:s undersökning visar att de som tillfrågas som grupp räknat överlag har goda erfarenheter av Glesbygdsverket och verkets pr</w:t>
      </w:r>
      <w:r w:rsidRPr="00780485">
        <w:t>o</w:t>
      </w:r>
      <w:r w:rsidRPr="00780485">
        <w:t>duktion. De som haft kontakter med Glesbygdsverket har ombetts betygsätta kontakterna på en femgradig skala där 5 motsvarar mycket bra och 1 mycket dåligt. Medelbetyget ligger på 3,9. Högst betyg ger undergruppen struktu</w:t>
      </w:r>
      <w:r w:rsidRPr="00780485">
        <w:t>r</w:t>
      </w:r>
      <w:r w:rsidRPr="00780485">
        <w:t xml:space="preserve">fonder med ett medelbetyg på 4,1. </w:t>
      </w:r>
    </w:p>
    <w:p w:rsidR="007A6E3D" w:rsidRPr="00780485" w:rsidRDefault="007A6E3D">
      <w:pPr>
        <w:pStyle w:val="e"/>
      </w:pPr>
      <w:r w:rsidRPr="00780485">
        <w:t>Svarande som uppger att de fått information från Glesbygdsverket under det senaste året har ombetts gradera denna information på en femgradig skala. Medelbetyget för verkets olika informationskanaler</w:t>
      </w:r>
      <w:r w:rsidRPr="00780485">
        <w:rPr>
          <w:rStyle w:val="Fotnotsreferens"/>
        </w:rPr>
        <w:footnoteReference w:id="8"/>
      </w:r>
      <w:r w:rsidRPr="00780485">
        <w:t xml:space="preserve"> ligger runt 3,5. Högst medelbetyg (4,1) får kategorin ”direktkontakter med anställda”. </w:t>
      </w:r>
    </w:p>
    <w:p w:rsidR="007A6E3D" w:rsidRPr="00780485" w:rsidRDefault="007A6E3D">
      <w:pPr>
        <w:pStyle w:val="e"/>
      </w:pPr>
      <w:r w:rsidRPr="00780485">
        <w:t>En av frågorna berör effekterna av Glesbygdsverkets verksamhet. De til</w:t>
      </w:r>
      <w:r w:rsidRPr="00780485">
        <w:t>l</w:t>
      </w:r>
      <w:r w:rsidRPr="00780485">
        <w:t>frågade ombads att uppge i vilken utsträckning de instämmer i påståendet att ”Glesbygdsverkets arbetet gör att man i större utsträckning tar hänsyn till glesbygdens och landsbygdens behov”. Genom att påståendet inte skiljer mellan om det är den svarande själv som faktiskt har ändrat sitt handlande eller om det är någon annan som förväntas ta ökad hänsyn till gles- och landsbygdens behov är det svårt att dra några slutsatser av resultatet. Knappt 40 % av de svarande uppgav att de instämmer helt och hållet i</w:t>
      </w:r>
      <w:r w:rsidRPr="00780485">
        <w:t xml:space="preserve"> påståendet. Drygt 50 % instämmer delvis. Ca 10 % av de svarande tar helt eller delvis avstånd från påståendet att Glesbygdsverkets arbete gör att man i större utsträckning tar hänsyn till gles- och landsbygdens behov. </w:t>
      </w:r>
    </w:p>
    <w:p w:rsidR="007A6E3D" w:rsidRPr="00780485" w:rsidRDefault="007A6E3D">
      <w:pPr>
        <w:pStyle w:val="Rubrik2"/>
        <w:tabs>
          <w:tab w:val="clear" w:pos="576"/>
        </w:tabs>
        <w:ind w:left="0" w:firstLine="0"/>
      </w:pPr>
      <w:bookmarkStart w:id="147" w:name="_Toc515097916"/>
      <w:bookmarkStart w:id="148" w:name="_Toc526845464"/>
      <w:bookmarkStart w:id="149" w:name="_Toc526845786"/>
      <w:r w:rsidRPr="00780485">
        <w:t>Kunskapsförmedling till länsstyrelser och självstyrelseorgan</w:t>
      </w:r>
      <w:bookmarkEnd w:id="147"/>
      <w:bookmarkEnd w:id="148"/>
      <w:bookmarkEnd w:id="149"/>
    </w:p>
    <w:p w:rsidR="007A6E3D" w:rsidRPr="00780485" w:rsidRDefault="007A6E3D">
      <w:r w:rsidRPr="00780485">
        <w:t>Glesbygdsverkets instruktion pekar särskilt ut länsstyrelser och självstyrels</w:t>
      </w:r>
      <w:r w:rsidRPr="00780485">
        <w:t>e</w:t>
      </w:r>
      <w:r w:rsidRPr="00780485">
        <w:t>organ som en viktig målgrupp för verkets kunskapsförmedling. Länsstyre</w:t>
      </w:r>
      <w:r w:rsidRPr="00780485">
        <w:t>l</w:t>
      </w:r>
      <w:r w:rsidRPr="00780485">
        <w:t>serna och självstyrelseorganen har också en mycket central roll inom regi</w:t>
      </w:r>
      <w:r w:rsidRPr="00780485">
        <w:t>o</w:t>
      </w:r>
      <w:r w:rsidRPr="00780485">
        <w:t>nalpolitiken som finansiär av regionalpolitiska insatser, samordnare av arb</w:t>
      </w:r>
      <w:r w:rsidRPr="00780485">
        <w:t>e</w:t>
      </w:r>
      <w:r w:rsidRPr="00780485">
        <w:t xml:space="preserve">tet med tillväxtavtalen och med ett uppdrag att samordna statlig verksamhet inom respektive län. </w:t>
      </w:r>
    </w:p>
    <w:p w:rsidR="007A6E3D" w:rsidRPr="00780485" w:rsidRDefault="007A6E3D">
      <w:pPr>
        <w:pStyle w:val="e"/>
      </w:pPr>
      <w:r w:rsidRPr="00780485">
        <w:t>I Glesbygdsverkets målgruppsundersökning som beskrevs i det föregående avsnittet ställdes frågan ”Hur stor nytta har du av Glesbygdsverket och dess material och utredningar i ditt arbete?”. Av</w:t>
      </w:r>
      <w:r w:rsidRPr="00780485">
        <w:t xml:space="preserve"> Glesbygdsverkets förteckning över målgruppen för verkets informationsverksamhet framgår att länsstyre</w:t>
      </w:r>
      <w:r w:rsidRPr="00780485">
        <w:t>l</w:t>
      </w:r>
      <w:r w:rsidRPr="00780485">
        <w:t>segruppen representeras av 42 personer, ett länsråd och en handläggare för stöd till offentlig service från varje län. Av de 31 personer som besvarat frågan uppgav 3 att de hade mycket stor nytta av Glesbygdsverket, 17 pers</w:t>
      </w:r>
      <w:r w:rsidRPr="00780485">
        <w:t>o</w:t>
      </w:r>
      <w:r w:rsidRPr="00780485">
        <w:t>ner svarade att de hade ganska stor nytta av Glesbygdsverket, 9 inte särskilt stor nytta och 2 ingen nytta alls. Det är oklart hur bortfallet på 11 personer fördelar sig me</w:t>
      </w:r>
      <w:r w:rsidRPr="00780485">
        <w:t>l</w:t>
      </w:r>
      <w:r w:rsidRPr="00780485">
        <w:t xml:space="preserve">lan länsråd </w:t>
      </w:r>
      <w:r w:rsidRPr="00780485">
        <w:t>och handläggare för kommersiell service.</w:t>
      </w:r>
    </w:p>
    <w:p w:rsidR="007A6E3D" w:rsidRPr="00780485" w:rsidRDefault="007A6E3D">
      <w:pPr>
        <w:pStyle w:val="e"/>
      </w:pPr>
      <w:r w:rsidRPr="00780485">
        <w:t>Kommungruppen representeras av 50 personer som var kommunstyrelsens ordförande i kommuner med en hög andel boende i glesbygd eller skärgård. Av de 41 personer som besvarat frågan uppgav en sjättedel (7 personer) att de hade mycket stor nytta av Glesbygdsverket och dess material och utre</w:t>
      </w:r>
      <w:r w:rsidRPr="00780485">
        <w:t>d</w:t>
      </w:r>
      <w:r w:rsidRPr="00780485">
        <w:t>ningar i sitt arbete. Drygt hälften av de svarande (24 personer) uppgav att de hade ganska stor nytta av Glesbygdsverket. En fjärdedel uppgav att de inte hade särskilt stor nytta (6 personer) eller ingen nytta alls (4 personer) av Glesbygdsverket i sitt arbete</w:t>
      </w:r>
      <w:r w:rsidRPr="00780485">
        <w:rPr>
          <w:rStyle w:val="Fotnotsreferens"/>
        </w:rPr>
        <w:footnoteReference w:id="9"/>
      </w:r>
      <w:r w:rsidRPr="00780485">
        <w:t xml:space="preserve">. </w:t>
      </w:r>
    </w:p>
    <w:p w:rsidR="007A6E3D" w:rsidRPr="00780485" w:rsidRDefault="007A6E3D">
      <w:pPr>
        <w:pStyle w:val="Normaltindrag"/>
      </w:pPr>
      <w:r w:rsidRPr="00780485">
        <w:t>För att kartlägga i vilken utsträckning Glesbygdsverkets kunskapsprodu</w:t>
      </w:r>
      <w:r w:rsidRPr="00780485">
        <w:t>k</w:t>
      </w:r>
      <w:r w:rsidRPr="00780485">
        <w:t>tion används på regional nivå har en intervjuundersökning genomförts inom ramen för revisorernas granskningsarbete. Den regionala enheten (eller mo</w:t>
      </w:r>
      <w:r w:rsidRPr="00780485">
        <w:t>t</w:t>
      </w:r>
      <w:r w:rsidRPr="00780485">
        <w:t>svarande) vid 4 länsstyrelser</w:t>
      </w:r>
      <w:r w:rsidRPr="00780485">
        <w:rPr>
          <w:rStyle w:val="Fotnotsreferens"/>
        </w:rPr>
        <w:footnoteReference w:id="10"/>
      </w:r>
      <w:r w:rsidRPr="00780485">
        <w:t xml:space="preserve"> har besökts. Dessutom har kompletterande intervjuer genomförts via telefon vid 2 länsstyrelser/självstyrelseorgan och 4 kommunala länsförbund. Syftet har varit att, utifrån den verksamhet som bedrivs, kartlägga vilka erfarenheter som finns av Glesbygdsverket och i vilken utsträckning Glesbygdsverkets kunskaper utnyttjas i det egna utvec</w:t>
      </w:r>
      <w:r w:rsidRPr="00780485">
        <w:t>k</w:t>
      </w:r>
      <w:r w:rsidRPr="00780485">
        <w:t xml:space="preserve">lingsarbetet. </w:t>
      </w:r>
    </w:p>
    <w:p w:rsidR="007A6E3D" w:rsidRPr="00780485" w:rsidRDefault="007A6E3D">
      <w:pPr>
        <w:pStyle w:val="Normaltindrag"/>
      </w:pPr>
      <w:r w:rsidRPr="00780485">
        <w:t>Den generella bilden av länsstyrelsernas och länsförbundens erfarenheter av Glesbygdsverket är att det är relativt sällan som man har kontakt med myndigheten</w:t>
      </w:r>
      <w:r w:rsidRPr="00780485">
        <w:t>. Huvuddelen av dem som tillfrågats har deltagit i de regionala konferenser som Glesbygdsverket anordnat för att presentera sin verksamhet. Konferenserna får i regel goda omdömen och uppges väcka intresse för myndighetens verksamhet. På länsstyrelsen tycks de handläggare som arbetar med stöd till kommersiell service och LEADER projekt vara de som har den tätaste kontakten med Glesbygd</w:t>
      </w:r>
      <w:r w:rsidRPr="00780485">
        <w:t>s</w:t>
      </w:r>
      <w:r w:rsidRPr="00780485">
        <w:t xml:space="preserve">verket. </w:t>
      </w:r>
    </w:p>
    <w:p w:rsidR="007A6E3D" w:rsidRPr="00780485" w:rsidRDefault="007A6E3D">
      <w:pPr>
        <w:pStyle w:val="Normaltindrag"/>
      </w:pPr>
      <w:r w:rsidRPr="00780485">
        <w:t>Flera av dem som arbetat med regionala utvecklingsfrågor under en längre period upplevde att Glesbygdsverket var en</w:t>
      </w:r>
      <w:r w:rsidRPr="00780485">
        <w:t xml:space="preserve"> tydligare aktör när det kunde finansiera pilotprojekt. Under senare år när verket renodlat sin roll som e</w:t>
      </w:r>
      <w:r w:rsidRPr="00780485">
        <w:t>x</w:t>
      </w:r>
      <w:r w:rsidRPr="00780485">
        <w:t xml:space="preserve">pertmyndighet uppfattar man det som att verkets fokus flyttats från länsnivån till förmån för den centrala nivån (regering, centrala myndigheter). </w:t>
      </w:r>
    </w:p>
    <w:p w:rsidR="007A6E3D" w:rsidRPr="00780485" w:rsidRDefault="007A6E3D">
      <w:pPr>
        <w:pStyle w:val="Rubrik5"/>
        <w:rPr>
          <w:i/>
        </w:rPr>
      </w:pPr>
      <w:r w:rsidRPr="00780485">
        <w:rPr>
          <w:i/>
        </w:rPr>
        <w:t>Länsstyrelsernas insatser för att främja gles- och landsbygdsutvecklingen</w:t>
      </w:r>
    </w:p>
    <w:p w:rsidR="007A6E3D" w:rsidRPr="00780485" w:rsidRDefault="007A6E3D">
      <w:r w:rsidRPr="00780485">
        <w:t xml:space="preserve">Utvecklingsarbetet i länen kretsar kring tillväxtavtalet och är främst inriktat mot näringslivsutveckling. Den naturliga samarbetspartnern i frågor som rör regional utveckling är NUTEK. De finansiella medel som finns avsatta för regional utveckling går i huvudsak till företagsutveckling. I Norrlandslänen kommer en stor del av finansieringen från mål 1-programmet. </w:t>
      </w:r>
    </w:p>
    <w:p w:rsidR="007A6E3D" w:rsidRPr="00780485" w:rsidRDefault="007A6E3D">
      <w:pPr>
        <w:pStyle w:val="Normaltindrag"/>
      </w:pPr>
      <w:r w:rsidRPr="00780485">
        <w:t>Det är svårt att få någon samstämmig bild av vilka insatser som ska b</w:t>
      </w:r>
      <w:r w:rsidRPr="00780485">
        <w:t>e</w:t>
      </w:r>
      <w:r w:rsidRPr="00780485">
        <w:t>traktas som gles- och landsbygdsutveckling. Landsbygdsutveckling spänner över alla fält och gles- och landsbygden är på samma sätt som övriga delar av länet föremål för länsstyrelsens utvecklingsinsatser. Vissa enskilda projekt som länsstyrelserna finansierar upplevs dock som utpräglade landsbygdsu</w:t>
      </w:r>
      <w:r w:rsidRPr="00780485">
        <w:t>t</w:t>
      </w:r>
      <w:r w:rsidRPr="00780485">
        <w:t>vecklingsprojekt. I Norrlandslänen återfinns dessa främst inom ramen för mål 1-verksamheten.</w:t>
      </w:r>
    </w:p>
    <w:p w:rsidR="007A6E3D" w:rsidRPr="00780485" w:rsidRDefault="007A6E3D">
      <w:pPr>
        <w:pStyle w:val="Rubrik5"/>
        <w:rPr>
          <w:i/>
        </w:rPr>
      </w:pPr>
      <w:r w:rsidRPr="00780485">
        <w:rPr>
          <w:i/>
        </w:rPr>
        <w:t>Stöd till kommersiell service</w:t>
      </w:r>
    </w:p>
    <w:p w:rsidR="007A6E3D" w:rsidRPr="00780485" w:rsidRDefault="007A6E3D">
      <w:r w:rsidRPr="00780485">
        <w:t>Länsstyrelserna och de regionala självstyrelseorganen förfogar över de medel som finns avsatta för att stödja kommersiell service i gles- och landsbygden. Länsstyrelsen stöttar handlare med investeringsbidrag. Länsstyrelsens han</w:t>
      </w:r>
      <w:r w:rsidRPr="00780485">
        <w:t>d</w:t>
      </w:r>
      <w:r w:rsidRPr="00780485">
        <w:t>läggare bidrar med kunskap och kan förmedla erfarenheter mellan butiker. Det uppges vara viktigt att hjälpa handlarna att knyta extra tjänster till but</w:t>
      </w:r>
      <w:r w:rsidRPr="00780485">
        <w:t>i</w:t>
      </w:r>
      <w:r w:rsidRPr="00780485">
        <w:t>ken som tipstjänst, systembolag, post etc. Det kan även vara värdefullt med en ”neutral länk” mellan olika butiker för att få till stånd ett sama</w:t>
      </w:r>
      <w:r w:rsidRPr="00780485">
        <w:t>r</w:t>
      </w:r>
      <w:r w:rsidRPr="00780485">
        <w:t xml:space="preserve">bete. </w:t>
      </w:r>
    </w:p>
    <w:p w:rsidR="007A6E3D" w:rsidRPr="00780485" w:rsidRDefault="007A6E3D">
      <w:pPr>
        <w:pStyle w:val="Normaltindrag"/>
      </w:pPr>
      <w:r w:rsidRPr="00780485">
        <w:t>Det sammantagna intrycket från de intervjuer som genomförts är att län</w:t>
      </w:r>
      <w:r w:rsidRPr="00780485">
        <w:t>s</w:t>
      </w:r>
      <w:r w:rsidRPr="00780485">
        <w:t>styrelserna har positiva erfarenheter av Glesbygdsverkets insatser på detta område. Vissa handläggare såg Konsumentverket som en viktigare sama</w:t>
      </w:r>
      <w:r w:rsidRPr="00780485">
        <w:t>r</w:t>
      </w:r>
      <w:r w:rsidRPr="00780485">
        <w:t>betspartner på riksplanet. Det finns förhoppningar om att den servicedatabas som Konsumentverket och Glesbygdsverket utvecklar ska komma att utgöra ett värdefullt underlag för arbetet med stöd till kommers</w:t>
      </w:r>
      <w:r w:rsidRPr="00780485">
        <w:t>i</w:t>
      </w:r>
      <w:r w:rsidRPr="00780485">
        <w:t>ell service.</w:t>
      </w:r>
    </w:p>
    <w:p w:rsidR="007A6E3D" w:rsidRPr="00780485" w:rsidRDefault="007A6E3D">
      <w:pPr>
        <w:pStyle w:val="Rubrik5"/>
        <w:rPr>
          <w:i/>
        </w:rPr>
      </w:pPr>
      <w:r w:rsidRPr="00780485">
        <w:rPr>
          <w:i/>
        </w:rPr>
        <w:t>Analyser på länsnivå</w:t>
      </w:r>
    </w:p>
    <w:p w:rsidR="007A6E3D" w:rsidRPr="00780485" w:rsidRDefault="007A6E3D">
      <w:r w:rsidRPr="00780485">
        <w:t>De besökta länsstyrelserna uppger att de själva har brist på resurser för att göra analyser. De stora greppen tas inför utarbetandet av regionala planer och tillväxtavtal. Samarbete sker ofta med länsarbetsnämnden, landstinget och länets kommuner. Befolkningsanalyser görs löpande och rapporteras till SCB. Intrycket från de intervjuer som genomförts är att Glesbygdsverkets kunskapsunderlag inte används i någon större utsträckning i detta arbete. Vid länsstyrelser uttrycktes förvåning över att de inte haft m</w:t>
      </w:r>
      <w:r w:rsidRPr="00780485">
        <w:t>er kontakter med Glesbygdsverket med tanke på att verket har ett så uttalat uppdrag att bistå länsstyrelserna med kunskapsunderlag. Samtidigt som denna kritik uttalades var man också noga med att påpeka att länsstyrelsen själv kunde ha varit mer aktiv i att efterfråga stöd från Glesbygdsve</w:t>
      </w:r>
      <w:r w:rsidRPr="00780485">
        <w:t>r</w:t>
      </w:r>
      <w:r w:rsidRPr="00780485">
        <w:t xml:space="preserve">ket. </w:t>
      </w:r>
    </w:p>
    <w:p w:rsidR="007A6E3D" w:rsidRPr="00780485" w:rsidRDefault="007A6E3D">
      <w:pPr>
        <w:pStyle w:val="Normaltindrag"/>
      </w:pPr>
      <w:r w:rsidRPr="00780485">
        <w:t>Länsstyrelsen följer inte i någon större utsträckning hur välfärdsnivån i olika delar av länet utvecklas baserat på tätorter, landsbygd och glesbygd. Orsaken är bl.a. att kommuner och landsting ansvarar för stora de</w:t>
      </w:r>
      <w:r w:rsidRPr="00780485">
        <w:t>lar av de</w:t>
      </w:r>
      <w:r w:rsidRPr="00780485">
        <w:t>n</w:t>
      </w:r>
      <w:r w:rsidRPr="00780485">
        <w:t>na verksamhet. Länsstyrelsens samordningsinsatser sker främst inom ramen för arbetet med tillvä</w:t>
      </w:r>
      <w:r w:rsidRPr="00780485">
        <w:t>x</w:t>
      </w:r>
      <w:r w:rsidRPr="00780485">
        <w:t>tavtalen.</w:t>
      </w:r>
    </w:p>
    <w:p w:rsidR="007A6E3D" w:rsidRPr="00780485" w:rsidRDefault="007A6E3D">
      <w:pPr>
        <w:pStyle w:val="Rubrik5"/>
        <w:rPr>
          <w:i/>
        </w:rPr>
      </w:pPr>
      <w:r w:rsidRPr="00780485">
        <w:rPr>
          <w:i/>
        </w:rPr>
        <w:t>Hur kan Glesbygdsverket bättre stödja länsstyrelser och självstyrelseorgan?</w:t>
      </w:r>
    </w:p>
    <w:p w:rsidR="007A6E3D" w:rsidRPr="00780485" w:rsidRDefault="007A6E3D">
      <w:r w:rsidRPr="00780485">
        <w:t>Länsstyrelserna känner i regel till Glesbygdsverkets analyser av befolkning</w:t>
      </w:r>
      <w:r w:rsidRPr="00780485">
        <w:t>s</w:t>
      </w:r>
      <w:r w:rsidRPr="00780485">
        <w:t>utvecklingen och den statistik som tas fram inom ramen för Glesbygdsve</w:t>
      </w:r>
      <w:r w:rsidRPr="00780485">
        <w:t>r</w:t>
      </w:r>
      <w:r w:rsidRPr="00780485">
        <w:t>kets och Konsumentverkets uppdrag att utveckla en servicedatabas. Intrycket från de intervjuer som genomförts är att länsstyrelserna anser att statistiken är intressant men att den inte används i det egna arbetet i någon större u</w:t>
      </w:r>
      <w:r w:rsidRPr="00780485">
        <w:t>t</w:t>
      </w:r>
      <w:r w:rsidRPr="00780485">
        <w:t>sträckning. En anledning till detta är att det finns ett starkt intresse av att följa utvecklingen på kommunal nivå och att Glesbygdsverkets statistik är ko</w:t>
      </w:r>
      <w:r w:rsidRPr="00780485">
        <w:t>m</w:t>
      </w:r>
      <w:r w:rsidRPr="00780485">
        <w:t xml:space="preserve">mun- och länsövergripande. </w:t>
      </w:r>
    </w:p>
    <w:p w:rsidR="007A6E3D" w:rsidRPr="00780485" w:rsidRDefault="007A6E3D">
      <w:pPr>
        <w:pStyle w:val="Normaltindrag"/>
      </w:pPr>
      <w:r w:rsidRPr="00780485">
        <w:t>Vid intervjuerna har läns</w:t>
      </w:r>
      <w:r w:rsidRPr="00780485">
        <w:t>styrelserna fått frågor om vilken typ av kunskap det råder brist på och som Glesbygdsverket skulle kunna bidra med. Enligt de tillfrågade skulle Glesbygdsverket kunna stödja verksamheten genom att:</w:t>
      </w:r>
    </w:p>
    <w:p w:rsidR="007A6E3D" w:rsidRPr="00780485" w:rsidRDefault="007A6E3D">
      <w:pPr>
        <w:pStyle w:val="Normaltindrag"/>
        <w:numPr>
          <w:ilvl w:val="0"/>
          <w:numId w:val="139"/>
        </w:numPr>
      </w:pPr>
      <w:r w:rsidRPr="00780485">
        <w:t>Samla och sprida exempel på lyckade projekt (utvärderingar) mellan olika delar av landet.</w:t>
      </w:r>
    </w:p>
    <w:p w:rsidR="007A6E3D" w:rsidRPr="00780485" w:rsidRDefault="007A6E3D">
      <w:pPr>
        <w:pStyle w:val="Normaltindrag"/>
        <w:numPr>
          <w:ilvl w:val="0"/>
          <w:numId w:val="139"/>
        </w:numPr>
      </w:pPr>
      <w:r w:rsidRPr="00780485">
        <w:t>Genomföra regionala analyser i syfte att ge beslutsfattare en fullständ</w:t>
      </w:r>
      <w:r w:rsidRPr="00780485">
        <w:t>i</w:t>
      </w:r>
      <w:r w:rsidRPr="00780485">
        <w:t>gare bild av näringslivsstruktur, sysselsättning, serviceutbud, befolkning m.m. i länens gles- och landsbygdsregioner.</w:t>
      </w:r>
    </w:p>
    <w:p w:rsidR="007A6E3D" w:rsidRPr="00780485" w:rsidRDefault="007A6E3D">
      <w:pPr>
        <w:pStyle w:val="Normaltindrag"/>
        <w:numPr>
          <w:ilvl w:val="0"/>
          <w:numId w:val="139"/>
        </w:numPr>
      </w:pPr>
      <w:r w:rsidRPr="00780485">
        <w:t>Följa upp hur länsstyrelsens stöd riktas geogr</w:t>
      </w:r>
      <w:r w:rsidRPr="00780485">
        <w:t>a</w:t>
      </w:r>
      <w:r w:rsidRPr="00780485">
        <w:t>fiskt inom länet.</w:t>
      </w:r>
    </w:p>
    <w:p w:rsidR="007A6E3D" w:rsidRPr="00780485" w:rsidRDefault="007A6E3D">
      <w:pPr>
        <w:pStyle w:val="Normaltindrag"/>
        <w:numPr>
          <w:ilvl w:val="0"/>
          <w:numId w:val="139"/>
        </w:numPr>
      </w:pPr>
      <w:r w:rsidRPr="00780485">
        <w:t>Arbeta med kompetensutveckling av handläggare i frågor som rör landsbygdsutvec</w:t>
      </w:r>
      <w:r w:rsidRPr="00780485">
        <w:t>k</w:t>
      </w:r>
      <w:r w:rsidRPr="00780485">
        <w:t xml:space="preserve">ling. </w:t>
      </w:r>
    </w:p>
    <w:p w:rsidR="007A6E3D" w:rsidRPr="00780485" w:rsidRDefault="007A6E3D">
      <w:pPr>
        <w:pStyle w:val="Rubrik1"/>
      </w:pPr>
      <w:r w:rsidRPr="00780485">
        <w:br w:type="page"/>
      </w:r>
      <w:bookmarkStart w:id="150" w:name="_Toc513989185"/>
      <w:bookmarkStart w:id="151" w:name="_Toc515097917"/>
      <w:bookmarkStart w:id="152" w:name="_Toc526845465"/>
      <w:bookmarkStart w:id="153" w:name="_Toc526845787"/>
      <w:r w:rsidRPr="00780485">
        <w:t>Diskussion</w:t>
      </w:r>
      <w:bookmarkEnd w:id="150"/>
      <w:bookmarkEnd w:id="151"/>
      <w:bookmarkEnd w:id="152"/>
      <w:bookmarkEnd w:id="153"/>
    </w:p>
    <w:p w:rsidR="007A6E3D" w:rsidRPr="00780485" w:rsidRDefault="007A6E3D">
      <w:pPr>
        <w:pStyle w:val="Rubrik2"/>
      </w:pPr>
      <w:bookmarkStart w:id="154" w:name="_Toc510325291"/>
      <w:bookmarkStart w:id="155" w:name="_Toc513989186"/>
      <w:bookmarkStart w:id="156" w:name="_Toc515097918"/>
      <w:bookmarkStart w:id="157" w:name="_Toc526845466"/>
      <w:bookmarkStart w:id="158" w:name="_Toc526845788"/>
      <w:r w:rsidRPr="00780485">
        <w:t>Mål för Glesbygdsverket</w:t>
      </w:r>
      <w:bookmarkEnd w:id="154"/>
      <w:bookmarkEnd w:id="155"/>
      <w:bookmarkEnd w:id="156"/>
      <w:bookmarkEnd w:id="157"/>
      <w:bookmarkEnd w:id="158"/>
    </w:p>
    <w:p w:rsidR="007A6E3D" w:rsidRPr="00780485" w:rsidRDefault="007A6E3D">
      <w:r w:rsidRPr="00780485">
        <w:t>Granskningen av Glesbygdsverket utgår från de mål statsmakterna uttalat för myndigheten. De nuvarande regionalpolitiska målen har kritiserats för att vara otydliga och svåra att följa upp (SOU 2000:87). En otydlighet på polit</w:t>
      </w:r>
      <w:r w:rsidRPr="00780485">
        <w:t>i</w:t>
      </w:r>
      <w:r w:rsidRPr="00780485">
        <w:t>kområdesnivå ställer höga krav på att de mål som formuleras på myndighet</w:t>
      </w:r>
      <w:r w:rsidRPr="00780485">
        <w:t>s</w:t>
      </w:r>
      <w:r w:rsidRPr="00780485">
        <w:t>nivå är tydliga. Ett tydligt uppdrag är en grundläggande förutsättning för att Glesbygdsverket ska kunna identifiera vad det är myndigheten ska åsta</w:t>
      </w:r>
      <w:r w:rsidRPr="00780485">
        <w:t>d</w:t>
      </w:r>
      <w:r w:rsidRPr="00780485">
        <w:t xml:space="preserve">komma inom regionalpolitiken. </w:t>
      </w:r>
    </w:p>
    <w:p w:rsidR="007A6E3D" w:rsidRPr="00780485" w:rsidRDefault="007A6E3D">
      <w:pPr>
        <w:pStyle w:val="Normaltindrag"/>
      </w:pPr>
      <w:r w:rsidRPr="00780485">
        <w:t>Generellt kan de mål som har formulerats för verksamhetsgr</w:t>
      </w:r>
      <w:r w:rsidRPr="00780485">
        <w:t>e</w:t>
      </w:r>
      <w:r w:rsidRPr="00780485">
        <w:t>nar/verksam-hetsmål under budgetåren 1999</w:t>
      </w:r>
      <w:r w:rsidRPr="00780485">
        <w:noBreakHyphen/>
        <w:t>2001 sägas tala om vad Glesbygdsverket ska göra. De pekar dock inte ut vilka effekter det är tänkt att verksamheten ska leda till under en viss period. Utgår man från Regeringskansliets kriterier för mål av god kvalitet kan verksamhetsmålen kritiseras för att inte vara specif</w:t>
      </w:r>
      <w:r w:rsidRPr="00780485">
        <w:t>i</w:t>
      </w:r>
      <w:r w:rsidRPr="00780485">
        <w:t>ka, mätbara eller tidssatta i någon större utsträckning. Detta gör det enligt revisorernas uppfattning svårt att värdera Glesbygdsve</w:t>
      </w:r>
      <w:r w:rsidRPr="00780485">
        <w:t>r</w:t>
      </w:r>
      <w:r w:rsidRPr="00780485">
        <w:t xml:space="preserve">kets insatser. </w:t>
      </w:r>
    </w:p>
    <w:p w:rsidR="007A6E3D" w:rsidRPr="00780485" w:rsidRDefault="007A6E3D">
      <w:pPr>
        <w:pStyle w:val="Normaltindrag"/>
      </w:pPr>
      <w:r w:rsidRPr="00780485">
        <w:t xml:space="preserve">En uppföljning av huruvida Glesbygdsverket </w:t>
      </w:r>
      <w:r w:rsidRPr="00780485">
        <w:t>lever upp till de mål som r</w:t>
      </w:r>
      <w:r w:rsidRPr="00780485">
        <w:t>e</w:t>
      </w:r>
      <w:r w:rsidRPr="00780485">
        <w:t>geringen formulerat för myndigheten blir därmed relativt trivial. Det hänger samman med att det främst går att undersöka om verket bedrivit de olika verksamhetstyper som pekats ut i regleringsbrevet. Den återrapportering som sker från Glesbygdsverket till regering och från regering till riksdag påverkas också av en otydlig målformul</w:t>
      </w:r>
      <w:r w:rsidRPr="00780485">
        <w:t>e</w:t>
      </w:r>
      <w:r w:rsidRPr="00780485">
        <w:t xml:space="preserve">ring. </w:t>
      </w:r>
    </w:p>
    <w:p w:rsidR="007A6E3D" w:rsidRPr="00780485" w:rsidRDefault="007A6E3D">
      <w:pPr>
        <w:pStyle w:val="Normaltindrag"/>
      </w:pPr>
      <w:r w:rsidRPr="00780485">
        <w:t>De brister som revisorerna kan konstatera i målstyrningen av Glesbygd</w:t>
      </w:r>
      <w:r w:rsidRPr="00780485">
        <w:t>s</w:t>
      </w:r>
      <w:r w:rsidRPr="00780485">
        <w:t>verket hänger delvis ihop med uppdragets karaktär, dvs. att verka genom att producera och sprida kunskap. Det är svårt att i en målformulering beskriva vad det är man önskar att myndigheten ska uppnå under ett budgetår. Det är likaså svårt att härleda Glesbygdsverkets prestationer till den faktiska u</w:t>
      </w:r>
      <w:r w:rsidRPr="00780485">
        <w:t>t</w:t>
      </w:r>
      <w:r w:rsidRPr="00780485">
        <w:t>vecklingen i gles- och landsbygdsregioner. En jämförelse som gjorts med andra myndigheter vars verksamhet också har information som huvudsakligt påverkansmedel visar dock att det är möjligt att formulera skarp</w:t>
      </w:r>
      <w:r w:rsidRPr="00780485">
        <w:t>are mål och återrapport</w:t>
      </w:r>
      <w:r w:rsidRPr="00780485">
        <w:t>e</w:t>
      </w:r>
      <w:r w:rsidRPr="00780485">
        <w:t xml:space="preserve">ringskrav. </w:t>
      </w:r>
    </w:p>
    <w:p w:rsidR="007A6E3D" w:rsidRPr="00780485" w:rsidRDefault="007A6E3D">
      <w:pPr>
        <w:pStyle w:val="Rubrik2"/>
      </w:pPr>
      <w:bookmarkStart w:id="159" w:name="_Toc513989187"/>
      <w:bookmarkStart w:id="160" w:name="_Toc515097919"/>
      <w:bookmarkStart w:id="161" w:name="_Toc526845467"/>
      <w:bookmarkStart w:id="162" w:name="_Toc526845789"/>
      <w:r w:rsidRPr="00780485">
        <w:t>Den regionalpolitiska myndighetsorganisationen</w:t>
      </w:r>
      <w:bookmarkEnd w:id="159"/>
      <w:bookmarkEnd w:id="160"/>
      <w:bookmarkEnd w:id="161"/>
      <w:bookmarkEnd w:id="162"/>
    </w:p>
    <w:p w:rsidR="007A6E3D" w:rsidRPr="00780485" w:rsidRDefault="007A6E3D">
      <w:r w:rsidRPr="00780485">
        <w:t>I det utredningsarbete och i de direktiv som låg till grund för bildandet av den nya myndighetsorganisationen på det närings- och regionalpolitiska området diskuteras överhuvudtaget inte Glesbygdsverkets roll. I reglering</w:t>
      </w:r>
      <w:r w:rsidRPr="00780485">
        <w:t>s</w:t>
      </w:r>
      <w:r w:rsidRPr="00780485">
        <w:t>brev respektive ägardirektiv för NUTEK, ALMI, Institutet för tillväxtpoliti</w:t>
      </w:r>
      <w:r w:rsidRPr="00780485">
        <w:t>s</w:t>
      </w:r>
      <w:r w:rsidRPr="00780485">
        <w:t>ka studier (ITPS) och Verket för innovationssystem läggs stor vikt vid sa</w:t>
      </w:r>
      <w:r w:rsidRPr="00780485">
        <w:t>m</w:t>
      </w:r>
      <w:r w:rsidRPr="00780485">
        <w:t>ordning och samarbete mellan de olika aktörerna. Några motsvarande dire</w:t>
      </w:r>
      <w:r w:rsidRPr="00780485">
        <w:t>k</w:t>
      </w:r>
      <w:r w:rsidRPr="00780485">
        <w:t xml:space="preserve">tiv om hur dessa myndigheter ska förhålla sig till Glesbygdsverket och vice versa finns inte. </w:t>
      </w:r>
    </w:p>
    <w:p w:rsidR="007A6E3D" w:rsidRPr="00780485" w:rsidRDefault="007A6E3D">
      <w:pPr>
        <w:pStyle w:val="Normaltindrag"/>
      </w:pPr>
      <w:r w:rsidRPr="00780485">
        <w:t>I den nya myndighetsorganisationen bär NUTEK det centrala myndi</w:t>
      </w:r>
      <w:r w:rsidRPr="00780485">
        <w:t>g</w:t>
      </w:r>
      <w:r w:rsidRPr="00780485">
        <w:t>hetsansvaret för genomförandet av regionalpolitiken medan ITPS givits huvudansvaret för uppföljning och utvärdering av politiken. Revisorernas bild av Glesbygdsverkets uppdrag är att det överlappar dessa två myndigh</w:t>
      </w:r>
      <w:r w:rsidRPr="00780485">
        <w:t>e</w:t>
      </w:r>
      <w:r w:rsidRPr="00780485">
        <w:t>ters uppdrag, dels när det gäller att stödja andra regionalpolitiska aktörer, dels när det gäller uppföljning. Sett till Glesbygdsverkets faktiska verksa</w:t>
      </w:r>
      <w:r w:rsidRPr="00780485">
        <w:t>m</w:t>
      </w:r>
      <w:r w:rsidRPr="00780485">
        <w:t>het ligger verket framför allt nära ITPS. Glesbygdsverket har tolkat sitt up</w:t>
      </w:r>
      <w:r w:rsidRPr="00780485">
        <w:t>p</w:t>
      </w:r>
      <w:r w:rsidRPr="00780485">
        <w:t>drag som att frågor som rör företags- och näringslivsutveckling,</w:t>
      </w:r>
      <w:r w:rsidRPr="00780485">
        <w:t xml:space="preserve"> dvs. stim</w:t>
      </w:r>
      <w:r w:rsidRPr="00780485">
        <w:t>u</w:t>
      </w:r>
      <w:r w:rsidRPr="00780485">
        <w:t>lanspolitiska insatser, ligger utanför verkets uppdrag vilket innebär en tydl</w:t>
      </w:r>
      <w:r w:rsidRPr="00780485">
        <w:t>i</w:t>
      </w:r>
      <w:r w:rsidRPr="00780485">
        <w:t>gare avgränsning mot NUTEK.</w:t>
      </w:r>
    </w:p>
    <w:p w:rsidR="007A6E3D" w:rsidRPr="00780485" w:rsidRDefault="007A6E3D">
      <w:pPr>
        <w:pStyle w:val="Normaltindrag"/>
      </w:pPr>
      <w:r w:rsidRPr="00780485">
        <w:t>Förutom Glesbygdsverkets geografiska avgränsning är det tydligt att ve</w:t>
      </w:r>
      <w:r w:rsidRPr="00780485">
        <w:t>r</w:t>
      </w:r>
      <w:r w:rsidRPr="00780485">
        <w:t>ket lägger större vikt vid regionalpolitikens välfärdspolitiska mål än vad övriga myndigheter fått i uppdrag att göra. Förenklat kan den regionalpoliti</w:t>
      </w:r>
      <w:r w:rsidRPr="00780485">
        <w:t>s</w:t>
      </w:r>
      <w:r w:rsidRPr="00780485">
        <w:t>ka myndighetsorganisationen på central nivå sägas bestå av två stora my</w:t>
      </w:r>
      <w:r w:rsidRPr="00780485">
        <w:t>n</w:t>
      </w:r>
      <w:r w:rsidRPr="00780485">
        <w:t>digheter som fokuserar på tillväxt- och strukturfrågor samt en mindre my</w:t>
      </w:r>
      <w:r w:rsidRPr="00780485">
        <w:t>n</w:t>
      </w:r>
      <w:r w:rsidRPr="00780485">
        <w:t xml:space="preserve">dighet, dvs. Glesbygdsverket, som fokuserar på struktur- och välfärdsfrågor i vissa delar av landet. </w:t>
      </w:r>
    </w:p>
    <w:p w:rsidR="007A6E3D" w:rsidRPr="00780485" w:rsidRDefault="007A6E3D">
      <w:pPr>
        <w:pStyle w:val="Rubrik2"/>
      </w:pPr>
      <w:bookmarkStart w:id="163" w:name="_Toc513989188"/>
      <w:bookmarkStart w:id="164" w:name="_Toc515097920"/>
      <w:bookmarkStart w:id="165" w:name="_Toc526845468"/>
      <w:bookmarkStart w:id="166" w:name="_Toc526845790"/>
      <w:r w:rsidRPr="00780485">
        <w:t>Glesbygdsverkets verksamhet</w:t>
      </w:r>
      <w:bookmarkEnd w:id="163"/>
      <w:bookmarkEnd w:id="164"/>
      <w:bookmarkEnd w:id="165"/>
      <w:bookmarkEnd w:id="166"/>
    </w:p>
    <w:p w:rsidR="007A6E3D" w:rsidRPr="00780485" w:rsidRDefault="007A6E3D">
      <w:r w:rsidRPr="00780485">
        <w:t>Glesbygdsverket har inte något eget operativt ansvar för direkta insatser som kan påverka utvecklingen i gles- och landsbygd. Verket kan heller inte b</w:t>
      </w:r>
      <w:r w:rsidRPr="00780485">
        <w:t>e</w:t>
      </w:r>
      <w:r w:rsidRPr="00780485">
        <w:t>stämma hur andra aktörer ska agera utan endast argumentera för sin sak. Revisorerna drar slutsatsen att Glesbygdsverket i princip har två möjligheter att påverka utvecklingen i gles- och landsbygden. Det kan antingen ske g</w:t>
      </w:r>
      <w:r w:rsidRPr="00780485">
        <w:t>e</w:t>
      </w:r>
      <w:r w:rsidRPr="00780485">
        <w:t xml:space="preserve">nom att den kunskap verket producerar resulterar i att mer resurser fördelas till gles- och landsbygden eller att den kunskap man förmedlar leder till att befintliga resurser utnyttjas på ett mer effektivt sätt. </w:t>
      </w:r>
    </w:p>
    <w:p w:rsidR="007A6E3D" w:rsidRPr="00780485" w:rsidRDefault="007A6E3D">
      <w:pPr>
        <w:pStyle w:val="Normaltindrag"/>
      </w:pPr>
      <w:r w:rsidRPr="00780485">
        <w:t>Möjligheten att påverka resursfördelningen mellan gles- och landsbygden och</w:t>
      </w:r>
      <w:r w:rsidRPr="00780485">
        <w:t xml:space="preserve"> andra delar av landet bygger på att verket lyckas följa upp i vilken u</w:t>
      </w:r>
      <w:r w:rsidRPr="00780485">
        <w:t>t</w:t>
      </w:r>
      <w:r w:rsidRPr="00780485">
        <w:t>sträckning de regionalpolitiska målen nås. Beroende på vilken målavvikelse det rör sig om kan resultatet bestå i att mer resurser fördelas till välfärds- eller tillväxtpolitiska insatser.</w:t>
      </w:r>
    </w:p>
    <w:p w:rsidR="007A6E3D" w:rsidRPr="00780485" w:rsidRDefault="007A6E3D">
      <w:pPr>
        <w:pStyle w:val="Normaltindrag"/>
      </w:pPr>
      <w:r w:rsidRPr="00780485">
        <w:t>Glesbygdsverkets möjligheter att främja utvecklingen i gles- och land</w:t>
      </w:r>
      <w:r w:rsidRPr="00780485">
        <w:t>s</w:t>
      </w:r>
      <w:r w:rsidRPr="00780485">
        <w:t>bygden utan att det sker en omfördelning av resurser bygger på att offentliga och privata resurser utnyttjas mer effektivt eller att man medverkar till n</w:t>
      </w:r>
      <w:r w:rsidRPr="00780485">
        <w:t>ä</w:t>
      </w:r>
      <w:r w:rsidRPr="00780485">
        <w:t xml:space="preserve">ringslivets utveckling i gles- och landsbygden. </w:t>
      </w:r>
    </w:p>
    <w:p w:rsidR="007A6E3D" w:rsidRPr="00780485" w:rsidRDefault="007A6E3D">
      <w:pPr>
        <w:pStyle w:val="Rubrik3"/>
      </w:pPr>
      <w:bookmarkStart w:id="167" w:name="_Toc513989189"/>
      <w:bookmarkStart w:id="168" w:name="_Toc515097921"/>
      <w:bookmarkStart w:id="169" w:name="_Toc526845469"/>
      <w:bookmarkStart w:id="170" w:name="_Toc526845791"/>
      <w:r w:rsidRPr="00780485">
        <w:t>Uppföljning av den regionalpolitiska utvecklingen</w:t>
      </w:r>
      <w:bookmarkEnd w:id="167"/>
      <w:bookmarkEnd w:id="168"/>
      <w:bookmarkEnd w:id="169"/>
      <w:bookmarkEnd w:id="170"/>
    </w:p>
    <w:p w:rsidR="007A6E3D" w:rsidRPr="00780485" w:rsidRDefault="007A6E3D">
      <w:r w:rsidRPr="00780485">
        <w:t>Målet för regionalpolitiken är att skapa förutsättningar för uthållig ekon</w:t>
      </w:r>
      <w:r w:rsidRPr="00780485">
        <w:t>o</w:t>
      </w:r>
      <w:r w:rsidRPr="00780485">
        <w:t>misk tillväxt, rättvisa och valfrihet så att likvärdiga levnadsvillkor skapas för medborgarna i hela riket. Av de analyser som gjorts av Glesbygdsverkets arbete med att följa den regionala utvecklingen drar revisorerna slutsatsen att uppföljningen främst är inriktad mot de välfärds- och fördelningspolitiska målen. Uppföljningen av de tillväxtpolitiska målen täcks i stor utsträckning av andra aktörer. ITPS är huvudaktör och har bl.a. regeringens uppdrag att beskriva och analysera den ekonomiska utvecklingen</w:t>
      </w:r>
      <w:r w:rsidRPr="00780485">
        <w:t xml:space="preserve"> i landets regioner. Glesbygdsverket lägger heller inte ner så stor kraft på att följa upp i vilken utsträckning de tillväxtpolitiska målen nås ur lands- och glesbygdsbefol</w:t>
      </w:r>
      <w:r w:rsidRPr="00780485">
        <w:t>k</w:t>
      </w:r>
      <w:r w:rsidRPr="00780485">
        <w:t>ningens perspe</w:t>
      </w:r>
      <w:r w:rsidRPr="00780485">
        <w:t>k</w:t>
      </w:r>
      <w:r w:rsidRPr="00780485">
        <w:t xml:space="preserve">tiv. </w:t>
      </w:r>
    </w:p>
    <w:p w:rsidR="007A6E3D" w:rsidRPr="00780485" w:rsidRDefault="007A6E3D">
      <w:pPr>
        <w:pStyle w:val="Normaltindrag"/>
      </w:pPr>
      <w:r w:rsidRPr="00780485">
        <w:t>Regionalpolitisk uppföljning bedrivs av många olika myndigheter. Vad är det då som är unikt med Glesbygdsverkets uppföljning? Glesbygdsverket har utvecklat egna mätmetoder som utgår från var människor bor. Det gör det möjligt att bl.a. beräkna avstånd till serviceställen, kommunikationer, större orter, sysselsättning</w:t>
      </w:r>
      <w:r w:rsidRPr="00780485">
        <w:t xml:space="preserve"> och service. Glesbygdsverket är dock inte helt ensamt om att göra funktionella regionala analyser. Inom kommunikationsområdet gör t.ex. Statens institut för kommunikationsanalys (SIKA) analyser av transporter som utgår från var befolkningen bor. Inom området kommersiell service delar verket sitt uppföljningsuppdrag med Konsumentverket. </w:t>
      </w:r>
    </w:p>
    <w:p w:rsidR="007A6E3D" w:rsidRPr="00780485" w:rsidRDefault="007A6E3D">
      <w:pPr>
        <w:pStyle w:val="Normaltindrag"/>
      </w:pPr>
      <w:r w:rsidRPr="00780485">
        <w:t>En styrka med Glesbygdsverkets uppföljningsarbete är att det utgår från ett sektorsövergripande perspektiv. Genom att summera iakttagelser från olika sektorer kan man få en</w:t>
      </w:r>
      <w:r w:rsidRPr="00780485">
        <w:t xml:space="preserve"> bättre bild av gles- och landsbygdsbefolkningens levnadsvillkor. </w:t>
      </w:r>
    </w:p>
    <w:p w:rsidR="007A6E3D" w:rsidRPr="00780485" w:rsidRDefault="007A6E3D">
      <w:pPr>
        <w:pStyle w:val="Normaltindrag"/>
      </w:pPr>
      <w:r w:rsidRPr="00780485">
        <w:t>Verket har ambitiösa planer för den fortsatta utbyggnaden av en servic</w:t>
      </w:r>
      <w:r w:rsidRPr="00780485">
        <w:t>e</w:t>
      </w:r>
      <w:r w:rsidRPr="00780485">
        <w:t>databas över offentlig service. Förverkligas dessa planer kan det bli möjligt att göra relativt omfattande analyser av gles- och landsbygdsbefolkningens tillgänglighet till både privat och offentlig service. Uppdelningen av befol</w:t>
      </w:r>
      <w:r w:rsidRPr="00780485">
        <w:t>k</w:t>
      </w:r>
      <w:r w:rsidRPr="00780485">
        <w:t>ningen i tätorts-, glesbygds- och landsbygdsbor begränsar dock möjligheten att samköra verkets egna statistik med andra statistikkällor. Det går att anal</w:t>
      </w:r>
      <w:r w:rsidRPr="00780485">
        <w:t>y</w:t>
      </w:r>
      <w:r w:rsidRPr="00780485">
        <w:t>sera hur långt barn och ungdomar har till närmaste skola, men det säger ingenting om kvaliteten på den undervisning som erbjuds</w:t>
      </w:r>
      <w:r w:rsidRPr="00780485">
        <w:t>. Detta begränsar naturligtvis informationsvärdet. För att kunna dra slutsatser på basis av mer kvalitativa uppgifter är även Glesbygdsverket hänvisat till statistik som bas</w:t>
      </w:r>
      <w:r w:rsidRPr="00780485">
        <w:t>e</w:t>
      </w:r>
      <w:r w:rsidRPr="00780485">
        <w:t>ras på kommungru</w:t>
      </w:r>
      <w:r w:rsidRPr="00780485">
        <w:t>p</w:t>
      </w:r>
      <w:r w:rsidRPr="00780485">
        <w:t xml:space="preserve">per eller regionala arbetsmarknader. </w:t>
      </w:r>
    </w:p>
    <w:p w:rsidR="007A6E3D" w:rsidRPr="00780485" w:rsidRDefault="007A6E3D">
      <w:pPr>
        <w:pStyle w:val="Normaltindrag"/>
      </w:pPr>
      <w:r w:rsidRPr="00780485">
        <w:t>Enligt revisorernas bedömning täcks en stor del av den välfärdspolitiska uppföljningen genom den sektorsvisa uppföljningen. Inom de flesta sektorer finns ett system för att bevaka att olika välfärdstjänster håller en jämn och likvärdig kvalitet. I regel finns en eller flera myndighe</w:t>
      </w:r>
      <w:r w:rsidRPr="00780485">
        <w:t>ter med ansvar att bevaka kvaliteten på den verksamhet som bedrivs och att följa i vilken u</w:t>
      </w:r>
      <w:r w:rsidRPr="00780485">
        <w:t>t</w:t>
      </w:r>
      <w:r w:rsidRPr="00780485">
        <w:t>sträckning uppsatta mål nås. Genom Skolverkets uppföljning kan t.ex. barn- och ungdomsskolan, särskolan och vuxenutbildningen i landets glesbygd</w:t>
      </w:r>
      <w:r w:rsidRPr="00780485">
        <w:t>s</w:t>
      </w:r>
      <w:r w:rsidRPr="00780485">
        <w:t>kommuner jämföras med resten av riket. Genom Skolverkets tillsynsver</w:t>
      </w:r>
      <w:r w:rsidRPr="00780485">
        <w:t>k</w:t>
      </w:r>
      <w:r w:rsidRPr="00780485">
        <w:t>samhet är det möjligt att ingripa om det finns brister i en kommuns skolver</w:t>
      </w:r>
      <w:r w:rsidRPr="00780485">
        <w:t>k</w:t>
      </w:r>
      <w:r w:rsidRPr="00780485">
        <w:t xml:space="preserve">samhet. Möjligheten att göra sektorsvisa och sektorsövergripande analyser inom det välfärdspolitiska området kommer sannolikt att </w:t>
      </w:r>
      <w:r w:rsidRPr="00780485">
        <w:t>öka som en följd av Regeringskansliets arbete med att bygga upp en databas för uppföljning inom den kommunala sektorn. Möjligheten att analysera skillnader mellan gle</w:t>
      </w:r>
      <w:r w:rsidRPr="00780485">
        <w:t>s</w:t>
      </w:r>
      <w:r w:rsidRPr="00780485">
        <w:t xml:space="preserve">bygdskommuner och andra kommuner kommer därmed också att öka. </w:t>
      </w:r>
    </w:p>
    <w:p w:rsidR="007A6E3D" w:rsidRPr="00780485" w:rsidRDefault="007A6E3D">
      <w:pPr>
        <w:pStyle w:val="Normaltindrag"/>
      </w:pPr>
      <w:r w:rsidRPr="00780485">
        <w:t xml:space="preserve">Ett generellt problem för Glesbygdsverkets möjligheter att påverka gles- och landsbygdsbefolkningens villkor genom den uppföljande verksamheten är, enligt revisorernas bedömning, bristen på mål eller norm att jämföra med. Det är t.ex. mycket ovanligt att det finns mål eller regler </w:t>
      </w:r>
      <w:r w:rsidRPr="00780485">
        <w:t>om tillgänglighet, dvs. det är ovanligt att det inom respektive politikområde finns preciserat hur lång tid någon maximalt ska anses behöva färdas för att få tillgång till en viss välfärdstjänst. Glesbygdsverket är därmed hänvisat till att redovisa skillnader mellan olika delar av befolkningen. Revisorerna gör bedömningen att det är oklart vad som bör följas upp och hur result</w:t>
      </w:r>
      <w:r w:rsidRPr="00780485">
        <w:t>a</w:t>
      </w:r>
      <w:r w:rsidRPr="00780485">
        <w:t xml:space="preserve">ten ska tolkas. </w:t>
      </w:r>
    </w:p>
    <w:p w:rsidR="007A6E3D" w:rsidRPr="00780485" w:rsidRDefault="007A6E3D">
      <w:pPr>
        <w:pStyle w:val="Rubrik5"/>
        <w:rPr>
          <w:i/>
        </w:rPr>
      </w:pPr>
      <w:r w:rsidRPr="00780485">
        <w:rPr>
          <w:i/>
        </w:rPr>
        <w:t>Analys av befolkningsutvecklingen i gles- och landsbygd.</w:t>
      </w:r>
    </w:p>
    <w:p w:rsidR="007A6E3D" w:rsidRPr="00780485" w:rsidRDefault="007A6E3D">
      <w:r w:rsidRPr="00780485">
        <w:t xml:space="preserve">De flesta som flyttar gör det för att de vill flytta och inte för att de måste flytta. Regionalpolitiken innehåller inga mål om att styra befolkningens val av boende i förhållande till någon idealbild. Däremot finns en strävan efter att möjliggöra för människor att välja var de vill bo. </w:t>
      </w:r>
    </w:p>
    <w:p w:rsidR="007A6E3D" w:rsidRPr="00780485" w:rsidRDefault="007A6E3D">
      <w:pPr>
        <w:pStyle w:val="Normaltindrag"/>
      </w:pPr>
      <w:r w:rsidRPr="00780485">
        <w:t>Glesbygdsverket följer befolkningsutvecklingen noga utifrån de tre gru</w:t>
      </w:r>
      <w:r w:rsidRPr="00780485">
        <w:t>p</w:t>
      </w:r>
      <w:r w:rsidRPr="00780485">
        <w:t>perna tätortsbor, landsbygdsbor och glesbygdsbor och de fyra regionerna: skogslänens inland, skogslänen övrigt, storstadsregioner och övriga Sverige. Däremot är verket försiktigt när det gäller att göra prognoser om den framt</w:t>
      </w:r>
      <w:r w:rsidRPr="00780485">
        <w:t>i</w:t>
      </w:r>
      <w:r w:rsidRPr="00780485">
        <w:t>da befolkningsstrukturen. Glesbygdsverkets analyser innebär att vi i Sverige har en god bild av hur många som bor på landsbygden, i glesbygden och i tätorter med fler än 3 000 invånare samt hur befolkningen flyttar mellan och inom respektive kategori. Information om hur befolkningen r</w:t>
      </w:r>
      <w:r w:rsidRPr="00780485">
        <w:t>ör sig över tätortsgränsen till gles- och landsbygden är intressant ur ett samhällsplan</w:t>
      </w:r>
      <w:r w:rsidRPr="00780485">
        <w:t>e</w:t>
      </w:r>
      <w:r w:rsidRPr="00780485">
        <w:t xml:space="preserve">ringsperspektiv. Boverket är central myndighet inom denna sektor. </w:t>
      </w:r>
    </w:p>
    <w:p w:rsidR="007A6E3D" w:rsidRPr="00780485" w:rsidRDefault="007A6E3D">
      <w:pPr>
        <w:pStyle w:val="Normaltindrag"/>
      </w:pPr>
      <w:r w:rsidRPr="00780485">
        <w:t>En myndighet ska i sin verksamhet iaktta saklighet och opartiskhet i sin verksamhet (SFS 1974:152). Enligt revisorernas bedömning finns det brister i det sätt som Glesbygdsverket skildrar befolkningsutvecklingen i gles- och landsbygden genom att verket i alltför stor utsträckning lyfter fram de posit</w:t>
      </w:r>
      <w:r w:rsidRPr="00780485">
        <w:t>i</w:t>
      </w:r>
      <w:r w:rsidRPr="00780485">
        <w:t xml:space="preserve">va tendenser som finns. Årsrapporter och annan statistik bör på ett objektivt sätt skildra verkligheten. </w:t>
      </w:r>
    </w:p>
    <w:p w:rsidR="007A6E3D" w:rsidRPr="00780485" w:rsidRDefault="007A6E3D">
      <w:pPr>
        <w:pStyle w:val="Normaltindrag"/>
      </w:pPr>
      <w:r w:rsidRPr="00780485">
        <w:t>Ur ett regionalpolitiskt perspektiv gör revisorerna bedömningen att info</w:t>
      </w:r>
      <w:r w:rsidRPr="00780485">
        <w:t>r</w:t>
      </w:r>
      <w:r w:rsidRPr="00780485">
        <w:t>mation om befolkningsförändringar är värdefull eftersom den kan fungera som en prognos för var det kan uppstå regionalpolitiska problem. Utbudet av offentlig och kommersiell service riskerar att avta med en glesare befol</w:t>
      </w:r>
      <w:r w:rsidRPr="00780485">
        <w:t>k</w:t>
      </w:r>
      <w:r w:rsidRPr="00780485">
        <w:t>ningsstruktur. Ett begränsat arbetskraftsutbud försvårar näringslivets utvec</w:t>
      </w:r>
      <w:r w:rsidRPr="00780485">
        <w:t>k</w:t>
      </w:r>
      <w:r w:rsidRPr="00780485">
        <w:t>ling. Ur ett välfärdsperspektiv är det därför intressant att följa var i landet människor bor uppdelat på tätorter och glesbygder. Ur ett tillväxtperspektiv är det dock inte lika motiverat att skilja på tätortsbef</w:t>
      </w:r>
      <w:r w:rsidRPr="00780485">
        <w:t>olkningen och dem som bor på pendlingsavstånd utanför täto</w:t>
      </w:r>
      <w:r w:rsidRPr="00780485">
        <w:t>r</w:t>
      </w:r>
      <w:r w:rsidRPr="00780485">
        <w:t xml:space="preserve">ten. </w:t>
      </w:r>
    </w:p>
    <w:p w:rsidR="007A6E3D" w:rsidRPr="00780485" w:rsidRDefault="007A6E3D">
      <w:pPr>
        <w:pStyle w:val="Normaltindrag"/>
      </w:pPr>
      <w:r w:rsidRPr="00780485">
        <w:t xml:space="preserve">Enligt Glesbygdsverket speglar verkets definition av landsbygden väl de flesta människors uppfattning om vad som är landsbygd. Detta behöver dock inte vara styrande för var centrala myndighetsinsatser gör mest nytta ur ett regionalpolitiskt perspektiv. Revisorerna gör bedömningen att det finns stora skillnader i behovet av regionalpolitiskt stöd mellan de områden som ryms inom definitionen av landsbygd. Förutom att det är stor skillnad mellan </w:t>
      </w:r>
      <w:r w:rsidRPr="00780485">
        <w:t>att bo 5 minuter och 40 minuter utanför en tätort har det sannolikt också stor bet</w:t>
      </w:r>
      <w:r w:rsidRPr="00780485">
        <w:t>y</w:t>
      </w:r>
      <w:r w:rsidRPr="00780485">
        <w:t>delse var i landet man bor, hur långt det är till sjukhus, BB, universitet etc. Av den totala landsbygdsbefolkningen bor knappt 5 % i skogslänens inre delar. Det är rimligt att anta att det är en mindre del av de två miljoner land</w:t>
      </w:r>
      <w:r w:rsidRPr="00780485">
        <w:t>s</w:t>
      </w:r>
      <w:r w:rsidRPr="00780485">
        <w:t xml:space="preserve">bygdsborna som upplever betydande problem med tillgången till offentlig och kommersiell service. Av Glesbygdsverkets årsbok för 2000 framgår t.ex. att 84 % av familjerna på landsbygden har mellan 5 </w:t>
      </w:r>
      <w:r w:rsidRPr="00780485">
        <w:t xml:space="preserve">och 10 minuters bilresa till närmaste butik. Det är likaså rimligt att anta att det är en mindre del av landsbygdsborna som har nämnvärt svårare att försörja sig än dem som bor innanför närmaste tätortsgräns. </w:t>
      </w:r>
    </w:p>
    <w:p w:rsidR="007A6E3D" w:rsidRPr="00780485" w:rsidRDefault="007A6E3D">
      <w:pPr>
        <w:pStyle w:val="Rubrik3"/>
      </w:pPr>
      <w:bookmarkStart w:id="171" w:name="_Toc513989190"/>
      <w:bookmarkStart w:id="172" w:name="_Toc515097922"/>
      <w:bookmarkStart w:id="173" w:name="_Toc526845470"/>
      <w:bookmarkStart w:id="174" w:name="_Toc526845792"/>
      <w:r w:rsidRPr="00780485">
        <w:t>Påverkan på genomförandet av regionalpolitiken</w:t>
      </w:r>
      <w:bookmarkEnd w:id="171"/>
      <w:bookmarkEnd w:id="172"/>
      <w:bookmarkEnd w:id="173"/>
      <w:bookmarkEnd w:id="174"/>
    </w:p>
    <w:p w:rsidR="007A6E3D" w:rsidRPr="00780485" w:rsidRDefault="007A6E3D">
      <w:pPr>
        <w:pStyle w:val="Rubrik5"/>
        <w:rPr>
          <w:i/>
        </w:rPr>
      </w:pPr>
      <w:r w:rsidRPr="00780485">
        <w:rPr>
          <w:i/>
        </w:rPr>
        <w:t>Regeringens expertmyndighet</w:t>
      </w:r>
    </w:p>
    <w:p w:rsidR="007A6E3D" w:rsidRPr="00780485" w:rsidRDefault="007A6E3D">
      <w:r w:rsidRPr="00780485">
        <w:t>Av diskussioner med Glesbygdsverket har framgått att man anser sig ha goda kontakter med Regeringskansliet och att det finns en efterfrågan på myndi</w:t>
      </w:r>
      <w:r w:rsidRPr="00780485">
        <w:t>g</w:t>
      </w:r>
      <w:r w:rsidRPr="00780485">
        <w:t>hetens tjänster från flera olika departement. Verket utnyttjas flitigt som r</w:t>
      </w:r>
      <w:r w:rsidRPr="00780485">
        <w:t>e</w:t>
      </w:r>
      <w:r w:rsidRPr="00780485">
        <w:t>missinstans. De efterforskningar som gjorts efter spår av Glesbygdsverkets remissvar och kunskapsproduktion i propositioner har dock gett liten utde</w:t>
      </w:r>
      <w:r w:rsidRPr="00780485">
        <w:t>l</w:t>
      </w:r>
      <w:r w:rsidRPr="00780485">
        <w:t>ning. Det går inte att dra några långtgående slutsatser av detta eftersom a</w:t>
      </w:r>
      <w:r w:rsidRPr="00780485">
        <w:t>n</w:t>
      </w:r>
      <w:r w:rsidRPr="00780485">
        <w:t>talet propositioner som var möjliga att studera var få samt att de innehåll</w:t>
      </w:r>
      <w:r w:rsidRPr="00780485">
        <w:t>s</w:t>
      </w:r>
      <w:r w:rsidRPr="00780485">
        <w:t xml:space="preserve">mässigt låg en bit ifrån Glesbygdsverkets kärnområden. </w:t>
      </w:r>
    </w:p>
    <w:p w:rsidR="007A6E3D" w:rsidRPr="00780485" w:rsidRDefault="007A6E3D">
      <w:pPr>
        <w:pStyle w:val="Normaltindrag"/>
      </w:pPr>
      <w:r w:rsidRPr="00780485">
        <w:t>Revisorerna bedömer att remissverksamheten och verkets analyser av samhällsut</w:t>
      </w:r>
      <w:r w:rsidRPr="00780485">
        <w:t>vecklingen är en viktig uppgift. Myndighetens uppdrag innebär en försäkring om att gles- och landsbygdens perspektiv inte faller bort i det politiska beslutsfattandet. Glesbygdsverket kan sägas ha till uppgift att stä</w:t>
      </w:r>
      <w:r w:rsidRPr="00780485">
        <w:t>n</w:t>
      </w:r>
      <w:r w:rsidRPr="00780485">
        <w:t>digt påminna sin uppdragsgivare om att ta hänsyn till gles- och landsbygd</w:t>
      </w:r>
      <w:r w:rsidRPr="00780485">
        <w:t>s</w:t>
      </w:r>
      <w:r w:rsidRPr="00780485">
        <w:t>befolkningen. Även om regeringen väljer att bortse från Glesbygdsverkets påpekanden, konsekvensanalyser, etc. kan verket sägas ha gjort nytta genom att gles- och landsbygdsperspektivet funnits med i bere</w:t>
      </w:r>
      <w:r w:rsidRPr="00780485">
        <w:t>d</w:t>
      </w:r>
      <w:r w:rsidRPr="00780485">
        <w:t xml:space="preserve">ningsarbetet. </w:t>
      </w:r>
    </w:p>
    <w:p w:rsidR="007A6E3D" w:rsidRPr="00780485" w:rsidRDefault="007A6E3D">
      <w:pPr>
        <w:pStyle w:val="Normaltindrag"/>
      </w:pPr>
      <w:r w:rsidRPr="00780485">
        <w:t>I</w:t>
      </w:r>
      <w:r w:rsidRPr="00780485">
        <w:t xml:space="preserve"> myndighetsuppdraget ligger att genomföra central utvärdering av gle</w:t>
      </w:r>
      <w:r w:rsidRPr="00780485">
        <w:t>s</w:t>
      </w:r>
      <w:r w:rsidRPr="00780485">
        <w:t>bygdsinsatser. Några större utvärderingar av hur olika regionalpolitiska insatser fungerar ur ett gles- och landsbygdsperspektiv har dock inte geno</w:t>
      </w:r>
      <w:r w:rsidRPr="00780485">
        <w:t>m</w:t>
      </w:r>
      <w:r w:rsidRPr="00780485">
        <w:t>förts under senare år. Enligt revisorernas bedömning borde utvärderingar av hur den förda politiken fungerar tillhöra kärnan i en expertmyndighets ver</w:t>
      </w:r>
      <w:r w:rsidRPr="00780485">
        <w:t>k</w:t>
      </w:r>
      <w:r w:rsidRPr="00780485">
        <w:t>samhet. Att undersöka hur gles- och landsbygdspolitiska insatser fungerar är viktigt för att kunna förbättra pågående regionalpolitiska satsning</w:t>
      </w:r>
      <w:r w:rsidRPr="00780485">
        <w:t xml:space="preserve">ar liksom för arbetet med att ta fram nya regionalpolitiska program. </w:t>
      </w:r>
    </w:p>
    <w:p w:rsidR="007A6E3D" w:rsidRPr="00780485" w:rsidRDefault="007A6E3D">
      <w:pPr>
        <w:pStyle w:val="Normaltindrag"/>
      </w:pPr>
      <w:r w:rsidRPr="00780485">
        <w:t>Glesbygdsverket har i uppdrag att redovisa i vilken utsträckning centrala statliga verk och myndigheter tar hänsyn till gles- och landsbygdens behov. Av de uppföljningsresultat som redovisats hittills att döma har dock Gle</w:t>
      </w:r>
      <w:r w:rsidRPr="00780485">
        <w:t>s</w:t>
      </w:r>
      <w:r w:rsidRPr="00780485">
        <w:t>bygdsverket inte lyckats fullt ut med att bedöma om de studerade myndi</w:t>
      </w:r>
      <w:r w:rsidRPr="00780485">
        <w:t>g</w:t>
      </w:r>
      <w:r w:rsidRPr="00780485">
        <w:t>heterna borde ha tagit mer regionalpolitisk hänsyn än vad man faktiskt gjort. Detta är sannolikt en svår uppgift. Glesbygdsverket konstaterar bl.a. att otydliga målfo</w:t>
      </w:r>
      <w:r w:rsidRPr="00780485">
        <w:t>r</w:t>
      </w:r>
      <w:r w:rsidRPr="00780485">
        <w:t>muleringar försvårar uppföljningsarbetet.</w:t>
      </w:r>
    </w:p>
    <w:p w:rsidR="007A6E3D" w:rsidRPr="00780485" w:rsidRDefault="007A6E3D">
      <w:pPr>
        <w:pStyle w:val="Normaltindrag"/>
      </w:pPr>
      <w:r w:rsidRPr="00780485">
        <w:t>Enligt revisorernas bedömning är det viktigt att Glesbygdsverkets stäl</w:t>
      </w:r>
      <w:r w:rsidRPr="00780485">
        <w:t>l</w:t>
      </w:r>
      <w:r w:rsidRPr="00780485">
        <w:t>ningstaganden i frågor som rör fördelning av resurser mellan olika delar av befolkningen vilar på väl genomförda analyser. Granskningen av Glesbygd</w:t>
      </w:r>
      <w:r w:rsidRPr="00780485">
        <w:t>s</w:t>
      </w:r>
      <w:r w:rsidRPr="00780485">
        <w:t>verket tyder på att verkets strategi är att täcka så många frågor som rör gles- och landsbygdsbefolkningen som möjligt i stället för att satsa på att belysa några få frågor grundligt. Verket har t.ex. inte prioriterat djupare sektorsvisa analyser i sin rapportproduktion. Detta gör att verket har svårt att hänvisa till den egna kunskapsproduktionen i sakfrågor s</w:t>
      </w:r>
      <w:r w:rsidRPr="00780485">
        <w:t>om rör kommunikationer, u</w:t>
      </w:r>
      <w:r w:rsidRPr="00780485">
        <w:t>t</w:t>
      </w:r>
      <w:r w:rsidRPr="00780485">
        <w:t xml:space="preserve">bildningsväsendet, infrastrukturinvesteringar etc. </w:t>
      </w:r>
    </w:p>
    <w:p w:rsidR="007A6E3D" w:rsidRPr="00780485" w:rsidRDefault="007A6E3D">
      <w:pPr>
        <w:pStyle w:val="Normaltindrag"/>
      </w:pPr>
      <w:r w:rsidRPr="00780485">
        <w:t>Revisorerna bedömer att det finns en inneboende konflikt mellan att leve-rera ett så bra beslutsunderlag som möjligt och att verka för bättre levnads- och utvecklingsmöjligheter för en viss del av befolkningen. Den naturliga myndighetsuppgiften är att fördjupa kunskapen om olika regionalpolitiska problem för att förbättra regeringens och riksdagens beslutsunderlag. Om huvudsyftet i stället är att verka för att mer resurser ska sat</w:t>
      </w:r>
      <w:r w:rsidRPr="00780485">
        <w:t xml:space="preserve">sas på de glest befolkade delarna av landet kan det på kort sikt vara mer verkningsfullt att med kraft peka på de problem som finns. På lång sikt riskerar det dock enligt revisorernas uppfattning att urholka förtroendet. </w:t>
      </w:r>
    </w:p>
    <w:p w:rsidR="007A6E3D" w:rsidRPr="00780485" w:rsidRDefault="007A6E3D">
      <w:pPr>
        <w:pStyle w:val="Rubrik5"/>
        <w:rPr>
          <w:i/>
        </w:rPr>
      </w:pPr>
      <w:r w:rsidRPr="00780485">
        <w:rPr>
          <w:i/>
        </w:rPr>
        <w:t>Målgrupper</w:t>
      </w:r>
    </w:p>
    <w:p w:rsidR="007A6E3D" w:rsidRPr="00780485" w:rsidRDefault="007A6E3D">
      <w:r w:rsidRPr="00780485">
        <w:t>De mål som formulerats för två av Glesbygdsverkets tre verksamhetsgrenar talar om att stödja organ som har betydelse för gles- och landsbygdens u</w:t>
      </w:r>
      <w:r w:rsidRPr="00780485">
        <w:t>t</w:t>
      </w:r>
      <w:r w:rsidRPr="00780485">
        <w:t>veckling så att dessa kan verka mer effektivt. Till de regionalpolitiska akt</w:t>
      </w:r>
      <w:r w:rsidRPr="00780485">
        <w:t>ö</w:t>
      </w:r>
      <w:r w:rsidRPr="00780485">
        <w:t>rerna brukar länsstyrelser, självstyrelseorgan, landsting och kommuner, andra myndigheter och statliga bolag räknas. Därtill kommer aktörer som bedriver regionalt utvecklingsarbete på eget initiativ, företag, ideella organ</w:t>
      </w:r>
      <w:r w:rsidRPr="00780485">
        <w:t>i</w:t>
      </w:r>
      <w:r w:rsidRPr="00780485">
        <w:t xml:space="preserve">sationer, byalag m.m. Vissa tilldelas regionalpolitiskt stöd medan andra arbetar ideellt. De ca 4 000 lokala utvecklingsgrupperna återfinns i denna grupp. </w:t>
      </w:r>
    </w:p>
    <w:p w:rsidR="007A6E3D" w:rsidRPr="00780485" w:rsidRDefault="007A6E3D">
      <w:pPr>
        <w:pStyle w:val="Normaltindrag"/>
      </w:pPr>
      <w:r w:rsidRPr="00780485">
        <w:t>Glesbygdsverket betonar vikten av kunskapsförmedling på</w:t>
      </w:r>
      <w:r w:rsidRPr="00780485">
        <w:t xml:space="preserve"> regional, ko</w:t>
      </w:r>
      <w:r w:rsidRPr="00780485">
        <w:t>m</w:t>
      </w:r>
      <w:r w:rsidRPr="00780485">
        <w:t>munal och lokal nivå. Av årsredovisningen framgår också att man lägger stor vikt vid kontakter med kommunerna. Under 2000 genomfördes exempelvis 30 kommunbesök och 9 länsbesök. Glesbygdsverkets personalresurser mo</w:t>
      </w:r>
      <w:r w:rsidRPr="00780485">
        <w:t>t</w:t>
      </w:r>
      <w:r w:rsidRPr="00780485">
        <w:t>svarar drygt 30 helårstjänster. Utgår man från de 2,2 miljoner människor som bor i gles- och landsbygden över hela landet är det, enligt revisorernas up</w:t>
      </w:r>
      <w:r w:rsidRPr="00780485">
        <w:t>p</w:t>
      </w:r>
      <w:r w:rsidRPr="00780485">
        <w:t xml:space="preserve">fattning, uppenbart att verket inte har förutsättningar att förmedla ett lokalt anpassat stöd till alla de organ som har betydelse </w:t>
      </w:r>
      <w:r w:rsidRPr="00780485">
        <w:t>för gles- och landsbygdens utveckling. Även om Glesbygdsverket skulle avgränsa sina insatser till de 120 000 personer som bor i glesbygden i skogslänens inland och till skä</w:t>
      </w:r>
      <w:r w:rsidRPr="00780485">
        <w:t>r</w:t>
      </w:r>
      <w:r w:rsidRPr="00780485">
        <w:t>gårdsbefolkningen utgörs målgru</w:t>
      </w:r>
      <w:r w:rsidRPr="00780485">
        <w:t>p</w:t>
      </w:r>
      <w:r w:rsidRPr="00780485">
        <w:t>pen av ett betydande antal aktörer.</w:t>
      </w:r>
    </w:p>
    <w:p w:rsidR="007A6E3D" w:rsidRPr="00780485" w:rsidRDefault="007A6E3D">
      <w:pPr>
        <w:pStyle w:val="Rubrik5"/>
        <w:rPr>
          <w:i/>
        </w:rPr>
      </w:pPr>
      <w:r w:rsidRPr="00780485">
        <w:rPr>
          <w:i/>
        </w:rPr>
        <w:t>Glesbygdsverket och stimulanspolitiken</w:t>
      </w:r>
    </w:p>
    <w:p w:rsidR="007A6E3D" w:rsidRPr="00780485" w:rsidRDefault="007A6E3D">
      <w:r w:rsidRPr="00780485">
        <w:t>Målet för den lilla regionalpolitiken är att underlätta för näringslivet att u</w:t>
      </w:r>
      <w:r w:rsidRPr="00780485">
        <w:t>t</w:t>
      </w:r>
      <w:r w:rsidRPr="00780485">
        <w:t>vecklas så att det bidrar till att uppfylla de regionalpolitiska målen. Huvu</w:t>
      </w:r>
      <w:r w:rsidRPr="00780485">
        <w:t>d</w:t>
      </w:r>
      <w:r w:rsidRPr="00780485">
        <w:t>delen av insatserna i den lilla regionalpolitiken är av stimulanspolitisk k</w:t>
      </w:r>
      <w:r w:rsidRPr="00780485">
        <w:t>a</w:t>
      </w:r>
      <w:r w:rsidRPr="00780485">
        <w:t>raktär. Genomförandet av tillväxt- och stimulanspolitiken kretsar kring de regionala tillväxtavtalen. Den uppföljning som gjorts av tillväxtavtalen visar att Glesbygdsverket inte medverkat i arbetet i någon större utsträckning. En anledning till detta kan enligt revisorernas bedömning vara att verkets ku</w:t>
      </w:r>
      <w:r w:rsidRPr="00780485">
        <w:t>n</w:t>
      </w:r>
      <w:r w:rsidRPr="00780485">
        <w:t>skaper inte efterfrågats i någon större utsträc</w:t>
      </w:r>
      <w:r w:rsidRPr="00780485">
        <w:t>k</w:t>
      </w:r>
      <w:r w:rsidRPr="00780485">
        <w:t>ning</w:t>
      </w:r>
      <w:r w:rsidRPr="00780485">
        <w:t>.</w:t>
      </w:r>
    </w:p>
    <w:p w:rsidR="007A6E3D" w:rsidRPr="00780485" w:rsidRDefault="007A6E3D">
      <w:pPr>
        <w:pStyle w:val="Normaltindrag"/>
      </w:pPr>
      <w:r w:rsidRPr="00780485">
        <w:t>Av det faktum att Glesbygdsverket inte prioriterar stöd till företag och n</w:t>
      </w:r>
      <w:r w:rsidRPr="00780485">
        <w:t>ä</w:t>
      </w:r>
      <w:r w:rsidRPr="00780485">
        <w:t xml:space="preserve">ringslivsutveckling drar revisorerna slutsatsen att fokus riktas mot offentlig sektor när det gäller insatser för att främja tillväxten i gles- och landsbygden. </w:t>
      </w:r>
    </w:p>
    <w:p w:rsidR="007A6E3D" w:rsidRPr="00780485" w:rsidRDefault="007A6E3D">
      <w:pPr>
        <w:pStyle w:val="Rubrik5"/>
        <w:rPr>
          <w:i/>
        </w:rPr>
      </w:pPr>
      <w:r w:rsidRPr="00780485">
        <w:rPr>
          <w:i/>
        </w:rPr>
        <w:t>Struktur- och välfärdspolitik</w:t>
      </w:r>
    </w:p>
    <w:p w:rsidR="007A6E3D" w:rsidRPr="00780485" w:rsidRDefault="007A6E3D">
      <w:r w:rsidRPr="00780485">
        <w:t>En fungerande välfärd är en förutsättning för tillväxt. Glesbygdsverket har, i enlighet med sitt uppdrag, engagerat sig hårt i frågor som rör bredbandsu</w:t>
      </w:r>
      <w:r w:rsidRPr="00780485">
        <w:t>t</w:t>
      </w:r>
      <w:r w:rsidRPr="00780485">
        <w:t>byggnad, väg- och transportfrågor, universitet och högskolor, post- och tel</w:t>
      </w:r>
      <w:r w:rsidRPr="00780485">
        <w:t>e</w:t>
      </w:r>
      <w:r w:rsidRPr="00780485">
        <w:t>frågor etc. Detta är exempel på frågor som är viktiga både för befolkningens levnadsförhållanden och för föret</w:t>
      </w:r>
      <w:r w:rsidRPr="00780485">
        <w:t>a</w:t>
      </w:r>
      <w:r w:rsidRPr="00780485">
        <w:t xml:space="preserve">gens möjligheter att utvecklas. </w:t>
      </w:r>
    </w:p>
    <w:p w:rsidR="007A6E3D" w:rsidRPr="00780485" w:rsidRDefault="007A6E3D">
      <w:pPr>
        <w:pStyle w:val="Normaltindrag"/>
      </w:pPr>
      <w:r w:rsidRPr="00780485">
        <w:t>Glesbygdsverket ska verka för sektorssamordning av centrala statliga o</w:t>
      </w:r>
      <w:r w:rsidRPr="00780485">
        <w:t>r</w:t>
      </w:r>
      <w:r w:rsidRPr="00780485">
        <w:t>gan inom områdena arbete, utbildning, service och infrastruktur. Det är oklart vilka dessa glesbygds- och landsbygdsinsatser är. Som redovisats i avsnitt 3.1 pekas sex insatser ut inom den lilla regionalpolitiken som gles- och landsbygdspolitiska insatser i budgetpropositionen för 2001. Ingen av dessa är dock egentligen aktuell för någon sektorssamordning från Gle</w:t>
      </w:r>
      <w:r w:rsidRPr="00780485">
        <w:t>s</w:t>
      </w:r>
      <w:r w:rsidRPr="00780485">
        <w:t>bygdsve</w:t>
      </w:r>
      <w:r w:rsidRPr="00780485">
        <w:t>r</w:t>
      </w:r>
      <w:r w:rsidRPr="00780485">
        <w:t xml:space="preserve">ket. </w:t>
      </w:r>
    </w:p>
    <w:p w:rsidR="007A6E3D" w:rsidRPr="00780485" w:rsidRDefault="007A6E3D">
      <w:pPr>
        <w:pStyle w:val="Normaltindrag"/>
      </w:pPr>
      <w:r w:rsidRPr="00780485">
        <w:t>Enligt ordboken innebär samordning att organisera olika verksamheter för ett gemensamt syfte. Sedan Glesbygdsverket bildades har d</w:t>
      </w:r>
      <w:r w:rsidRPr="00780485">
        <w:t>et skett en deleg</w:t>
      </w:r>
      <w:r w:rsidRPr="00780485">
        <w:t>e</w:t>
      </w:r>
      <w:r w:rsidRPr="00780485">
        <w:t>ring av uppgifter från centrala myndigheter till regionala myndighetsorgan</w:t>
      </w:r>
      <w:r w:rsidRPr="00780485">
        <w:t>i</w:t>
      </w:r>
      <w:r w:rsidRPr="00780485">
        <w:t>sationer. Detta märks särskilt inom näringspolitiken, kommunikationerna, arbetsmarknadspolitiken och EG:s strukturfondsprogram (SOU 2000:85). Vidare har verksamhet flyttats över från staten till kommuner och landsting. Under 1999 bildades två nya myndigheter, Distansutbildningsmyndigheten respektive Rikstrafiken, med ansvar för samordning som berör gles- och landsbygdsbefolkningen. På regional nivå har länsstyrelser</w:t>
      </w:r>
      <w:r w:rsidRPr="00780485">
        <w:t>nas samordning</w:t>
      </w:r>
      <w:r w:rsidRPr="00780485">
        <w:t>s</w:t>
      </w:r>
      <w:r w:rsidRPr="00780485">
        <w:t>möjli</w:t>
      </w:r>
      <w:r w:rsidRPr="00780485">
        <w:t>g</w:t>
      </w:r>
      <w:r w:rsidRPr="00780485">
        <w:t xml:space="preserve">heter ökat genom de regionala tillväxtavtalen. </w:t>
      </w:r>
    </w:p>
    <w:p w:rsidR="007A6E3D" w:rsidRPr="00780485" w:rsidRDefault="007A6E3D">
      <w:pPr>
        <w:pStyle w:val="Normaltindrag"/>
      </w:pPr>
      <w:r w:rsidRPr="00780485">
        <w:t>Revisorerna bedömer att Glesbygdsverkets möjligheter att åstadkomma ett effektivare resursutnyttjande genom att medverka till att centrala statliga aktörer sinsemellan samordnar sin verksamhet har minskat sedan verket bildades. Den verksamhet som Glesbygdsverket redovisar i sina årsredovi</w:t>
      </w:r>
      <w:r w:rsidRPr="00780485">
        <w:t>s</w:t>
      </w:r>
      <w:r w:rsidRPr="00780485">
        <w:t>ningar under verksamhetsgrenen sektorssamordning beskriver heller inte den typen av samordningsinsatser. Enligt Glesbygdsverket är målsättningen med sektorssamordningen att ”skapa ett ökat hänsynstagande hos de myndigheter verket har kontakt med”. Detta pekar på att det underliggande målet för verksamheten är omfördelning, dvs. att myndigheter och bolag ska satsa mer resurser på gles- och landsbygdsb</w:t>
      </w:r>
      <w:r w:rsidRPr="00780485">
        <w:t>e</w:t>
      </w:r>
      <w:r w:rsidRPr="00780485">
        <w:t xml:space="preserve">folkningen. </w:t>
      </w:r>
    </w:p>
    <w:p w:rsidR="007A6E3D" w:rsidRPr="00780485" w:rsidRDefault="007A6E3D">
      <w:pPr>
        <w:pStyle w:val="Normaltindrag"/>
      </w:pPr>
      <w:r w:rsidRPr="00780485">
        <w:t>Glesbygdsverket beskriver att sektorssamordningsverksamheten även b</w:t>
      </w:r>
      <w:r w:rsidRPr="00780485">
        <w:t>e</w:t>
      </w:r>
      <w:r w:rsidRPr="00780485">
        <w:t>står av att på handläggarnivå delta i och följa planerings- och utveckling</w:t>
      </w:r>
      <w:r w:rsidRPr="00780485">
        <w:t>s</w:t>
      </w:r>
      <w:r w:rsidRPr="00780485">
        <w:t>processer i olika myndigheter. De exempel på insatser som Glesbygdsverket lämnar tyder på att verket kan medverka till att befintliga resurser utnyttjas på ett effektivare sätt, t.ex. analyser av tillgänglighet till ambulans- och räd</w:t>
      </w:r>
      <w:r w:rsidRPr="00780485">
        <w:t>d</w:t>
      </w:r>
      <w:r w:rsidRPr="00780485">
        <w:t>ningstjänst och deltagande i Rikstrafikens referensgrupp. Det går dock att ifrågasätta om det rör sig om ”sektorssamordning av centrala statliga organ”. Enligt revisorernas bedömning ligger den här type</w:t>
      </w:r>
      <w:r w:rsidRPr="00780485">
        <w:t>n av insatser närmare målet att stödja och informera organ som har betydelse för gles- och land</w:t>
      </w:r>
      <w:r w:rsidRPr="00780485">
        <w:t>s</w:t>
      </w:r>
      <w:r w:rsidRPr="00780485">
        <w:t>bygdens utvec</w:t>
      </w:r>
      <w:r w:rsidRPr="00780485">
        <w:t>k</w:t>
      </w:r>
      <w:r w:rsidRPr="00780485">
        <w:t xml:space="preserve">ling. </w:t>
      </w:r>
    </w:p>
    <w:p w:rsidR="007A6E3D" w:rsidRPr="00780485" w:rsidRDefault="007A6E3D">
      <w:pPr>
        <w:pStyle w:val="Rubrik1"/>
      </w:pPr>
      <w:r w:rsidRPr="00780485">
        <w:br w:type="page"/>
      </w:r>
      <w:bookmarkStart w:id="175" w:name="_Toc513989191"/>
      <w:bookmarkStart w:id="176" w:name="_Toc515097923"/>
      <w:bookmarkStart w:id="177" w:name="_Toc526845471"/>
      <w:bookmarkStart w:id="178" w:name="_Toc526845793"/>
      <w:r w:rsidRPr="00780485">
        <w:t>Överväganden</w:t>
      </w:r>
      <w:bookmarkEnd w:id="175"/>
      <w:r w:rsidRPr="00780485">
        <w:t xml:space="preserve"> och förslag</w:t>
      </w:r>
      <w:bookmarkEnd w:id="176"/>
      <w:bookmarkEnd w:id="177"/>
      <w:bookmarkEnd w:id="178"/>
    </w:p>
    <w:p w:rsidR="007A6E3D" w:rsidRPr="00780485" w:rsidRDefault="007A6E3D">
      <w:r w:rsidRPr="00780485">
        <w:t>Kärnan i Glesbygdsverkets uppdrag är att analysera regionala skillnader i välfärd och tillväxt som hänger samman med en gles befolkningsstruktur. Det finns sannolikt ett värde med institutioner som sätter gles- och land</w:t>
      </w:r>
      <w:r w:rsidRPr="00780485">
        <w:t>s</w:t>
      </w:r>
      <w:r w:rsidRPr="00780485">
        <w:t>bygdsbefolkningens bästa i centrum för sin analys av samhällsutvecklingen. Den kartläggning som revisorerna genomfört av Glesbygdsverkets verksa</w:t>
      </w:r>
      <w:r w:rsidRPr="00780485">
        <w:t>m</w:t>
      </w:r>
      <w:r w:rsidRPr="00780485">
        <w:t>het tyder inte på att myndigheten fungerar dåligt. Glesbygdsverket egna undersökningar ger en bild av att verket är uppskattat av dem som man ser som sina målgrupper. I brist på uppföljningsbara mål är det dock svårt att uttala sig om huruvida Glesbygdsverket är ett effektivt verktyg för att stim</w:t>
      </w:r>
      <w:r w:rsidRPr="00780485">
        <w:t>u</w:t>
      </w:r>
      <w:r w:rsidRPr="00780485">
        <w:t>lera utvecklingen i gles- och landsbygden. De mål som formulerats fö</w:t>
      </w:r>
      <w:r w:rsidRPr="00780485">
        <w:t>r my</w:t>
      </w:r>
      <w:r w:rsidRPr="00780485">
        <w:t>n</w:t>
      </w:r>
      <w:r w:rsidRPr="00780485">
        <w:t>digheten är inte realistiska i förhållande till de resurser som avsatts för ver</w:t>
      </w:r>
      <w:r w:rsidRPr="00780485">
        <w:t>k</w:t>
      </w:r>
      <w:r w:rsidRPr="00780485">
        <w:t>samheten. Revisorerna är medvetna om att det kan vara svårt att formulera specifika, mätbara och uppföljningsbara mål för kunskapsproducerande myndigheter. Det bör dock vara möjligt att nå längre än vad man gjort hi</w:t>
      </w:r>
      <w:r w:rsidRPr="00780485">
        <w:t>t</w:t>
      </w:r>
      <w:r w:rsidRPr="00780485">
        <w:t xml:space="preserve">tills. </w:t>
      </w:r>
    </w:p>
    <w:p w:rsidR="007A6E3D" w:rsidRPr="00780485" w:rsidRDefault="007A6E3D">
      <w:pPr>
        <w:pStyle w:val="Normaltindrag"/>
      </w:pPr>
      <w:r w:rsidRPr="00780485">
        <w:t>Utgångspunkten för revisorernas överväganden är de förändringar som skett i regionalpolitiken sedan myndigheten bildades. Under 1990-talet har näringspolitiken och regionalpolitiken närmat sig varandra a</w:t>
      </w:r>
      <w:r w:rsidRPr="00780485">
        <w:t>lltmer. Regi</w:t>
      </w:r>
      <w:r w:rsidRPr="00780485">
        <w:t>o</w:t>
      </w:r>
      <w:r w:rsidRPr="00780485">
        <w:t>nalpolitiken liksom sektorspolitiken har regionaliserats. Kommunerna har fått ett ökat ansvar för välfärdspolitiken. De regionala tillväxtavtalen är tänkta att fungera som effektiva samordningsinstrument på den regionala nivån. Sverige har gått med i EU. Vidare har nyligen en stor omorganisation genomförts av myndighetsstrukturen inom det regional-, närings- och inn</w:t>
      </w:r>
      <w:r w:rsidRPr="00780485">
        <w:t>o</w:t>
      </w:r>
      <w:r w:rsidRPr="00780485">
        <w:t>vationspolitiska området utan att Glesbygdsverkets roll analyserats närm</w:t>
      </w:r>
      <w:r w:rsidRPr="00780485">
        <w:t>a</w:t>
      </w:r>
      <w:r w:rsidRPr="00780485">
        <w:t xml:space="preserve">re. </w:t>
      </w:r>
    </w:p>
    <w:p w:rsidR="007A6E3D" w:rsidRPr="00780485" w:rsidRDefault="007A6E3D">
      <w:pPr>
        <w:pStyle w:val="Rubrik5"/>
        <w:rPr>
          <w:i/>
        </w:rPr>
      </w:pPr>
      <w:r w:rsidRPr="00780485">
        <w:rPr>
          <w:i/>
        </w:rPr>
        <w:t>Se över Glesbygdsverkets roll inom regionalpolitiken</w:t>
      </w:r>
    </w:p>
    <w:p w:rsidR="007A6E3D" w:rsidRPr="00780485" w:rsidRDefault="007A6E3D">
      <w:r w:rsidRPr="00780485">
        <w:t>Revisorerna anser att regeringen bör ta initiativ till en översyn av Glesbygd</w:t>
      </w:r>
      <w:r w:rsidRPr="00780485">
        <w:t>s</w:t>
      </w:r>
      <w:r w:rsidRPr="00780485">
        <w:t>verkets roll i den regionalpolitiska myndighetsorganisationen. I fokus för en sådan översyn bör regionalpolitiska problem som hänger samman med en gles befolkningsstruktur ställas. Översynen bör klargöra ansvarsfördelningen mellan de regionalpolitiska myndigheterna för att dels följa upp dels främja den regionala välfärds- och tillväxtpolitiken ur ett glesbygds- och land</w:t>
      </w:r>
      <w:r w:rsidRPr="00780485">
        <w:t>s</w:t>
      </w:r>
      <w:r w:rsidRPr="00780485">
        <w:t>bygdsper</w:t>
      </w:r>
      <w:r w:rsidRPr="00780485">
        <w:t>s</w:t>
      </w:r>
      <w:r w:rsidRPr="00780485">
        <w:t xml:space="preserve">pektiv. </w:t>
      </w:r>
    </w:p>
    <w:p w:rsidR="007A6E3D" w:rsidRPr="00780485" w:rsidRDefault="007A6E3D">
      <w:pPr>
        <w:pStyle w:val="Normaltindrag"/>
      </w:pPr>
      <w:r w:rsidRPr="00780485">
        <w:t>Glesbygdsverket ska medverka till att effektivisera sektorspolitiken. Det är dock oklart i vilken utsträckning Glesbygd</w:t>
      </w:r>
      <w:r w:rsidRPr="00780485">
        <w:t>sverket har möjlighet att stödja kommuner, landsting, länsstyrelser, självstyrelseorgan, andra regionala och centrala myndigheter och övriga organ som har betydelse för gles- och landsbygdens utveckling så att dessa på ett effektivt sätt kan fullgöra sina uppgifter. Revisorerna menar att det vore värdefullt med en långsiktig strat</w:t>
      </w:r>
      <w:r w:rsidRPr="00780485">
        <w:t>e</w:t>
      </w:r>
      <w:r w:rsidRPr="00780485">
        <w:t>gi för dessa stödinsatser. Enligt revisorernas mening bör det ingå i den för</w:t>
      </w:r>
      <w:r w:rsidRPr="00780485">
        <w:t>e</w:t>
      </w:r>
      <w:r w:rsidRPr="00780485">
        <w:t>slagna översynen att kartlägga på vilka sätt de regionalpolitiska myndigh</w:t>
      </w:r>
      <w:r w:rsidRPr="00780485">
        <w:t>e</w:t>
      </w:r>
      <w:r w:rsidRPr="00780485">
        <w:t>terna kan stödja de olika or</w:t>
      </w:r>
      <w:r w:rsidRPr="00780485">
        <w:t>gan som har betydelse för gles- och landsbygdens u</w:t>
      </w:r>
      <w:r w:rsidRPr="00780485">
        <w:t>t</w:t>
      </w:r>
      <w:r w:rsidRPr="00780485">
        <w:t>veckling.</w:t>
      </w:r>
    </w:p>
    <w:p w:rsidR="007A6E3D" w:rsidRPr="00780485" w:rsidRDefault="007A6E3D">
      <w:pPr>
        <w:pStyle w:val="Normaltindrag"/>
        <w:rPr>
          <w:i/>
        </w:rPr>
      </w:pPr>
      <w:r w:rsidRPr="00780485">
        <w:t>Den regionalpolitiska utredningen konstaterade att det råder en viss oty</w:t>
      </w:r>
      <w:r w:rsidRPr="00780485">
        <w:t>d</w:t>
      </w:r>
      <w:r w:rsidRPr="00780485">
        <w:t>lighet om vilken myndighet som bär ansvaret för utvecklingsinsatser för stöd till kommersiell</w:t>
      </w:r>
      <w:r w:rsidRPr="00780485">
        <w:rPr>
          <w:i/>
        </w:rPr>
        <w:t xml:space="preserve"> </w:t>
      </w:r>
      <w:r w:rsidRPr="00780485">
        <w:t>service. Revisorerna instämmer i denna bedömning. Revis</w:t>
      </w:r>
      <w:r w:rsidRPr="00780485">
        <w:t>o</w:t>
      </w:r>
      <w:r w:rsidRPr="00780485">
        <w:t>rerna anser att regeringen bör renodla ansvaret för utvecklings- och uppföl</w:t>
      </w:r>
      <w:r w:rsidRPr="00780485">
        <w:t>j</w:t>
      </w:r>
      <w:r w:rsidRPr="00780485">
        <w:t xml:space="preserve">ningsinsatser av stödet till kommersiell service. </w:t>
      </w:r>
    </w:p>
    <w:p w:rsidR="007A6E3D" w:rsidRPr="00780485" w:rsidRDefault="007A6E3D">
      <w:pPr>
        <w:pStyle w:val="Normaltindrag"/>
      </w:pPr>
      <w:r w:rsidRPr="00780485">
        <w:t>Revisorerna anser att regeringen bör förtydliga den geografiska avgrän</w:t>
      </w:r>
      <w:r w:rsidRPr="00780485">
        <w:t>s</w:t>
      </w:r>
      <w:r w:rsidRPr="00780485">
        <w:t>ningen av Glesbygdsverkets uppdrag. Definitionen för gles- och landsbygden är framför allt lämplig för att beskriva var befolkningen bor och hur befol</w:t>
      </w:r>
      <w:r w:rsidRPr="00780485">
        <w:t>k</w:t>
      </w:r>
      <w:r w:rsidRPr="00780485">
        <w:t>ningen flyttar</w:t>
      </w:r>
      <w:r w:rsidRPr="00780485">
        <w:rPr>
          <w:rStyle w:val="Fotnotsreferens"/>
        </w:rPr>
        <w:footnoteReference w:id="11"/>
      </w:r>
      <w:r w:rsidRPr="00780485">
        <w:t>. Revisorerna anser att den nuvarande definitionen av gles- och landsbygdsbefolkningen är alltför vid ur ett regionalpolitiskt perspektiv. En alltför bred målgrupp minskar möjligheterna att fokusera på de regiona</w:t>
      </w:r>
      <w:r w:rsidRPr="00780485">
        <w:t>l</w:t>
      </w:r>
      <w:r w:rsidRPr="00780485">
        <w:t>politiska problem som uppkommer till följd av en gles befolkning</w:t>
      </w:r>
      <w:r w:rsidRPr="00780485">
        <w:t>s</w:t>
      </w:r>
      <w:r w:rsidRPr="00780485">
        <w:t>struktur.</w:t>
      </w:r>
    </w:p>
    <w:p w:rsidR="007A6E3D" w:rsidRPr="00780485" w:rsidRDefault="007A6E3D">
      <w:pPr>
        <w:pStyle w:val="Normaltindrag"/>
      </w:pPr>
      <w:r w:rsidRPr="00780485">
        <w:t>Den granskning som gjorts av Glesbygdsverkets befolkningsanalyser visar att verket lyfter fram de små positiva tendenser som finns på bekostnad av de problem som finns med ett minskande befolkningsunderlag i redan glest befo</w:t>
      </w:r>
      <w:r w:rsidRPr="00780485">
        <w:t>lkade regioner. Det är viktigt att belysa den komplexitet som finns i befolkningens flyttrörelser.</w:t>
      </w:r>
    </w:p>
    <w:p w:rsidR="007A6E3D" w:rsidRPr="00780485" w:rsidRDefault="007A6E3D">
      <w:pPr>
        <w:pStyle w:val="Rubrik1-Utannumrering"/>
      </w:pPr>
      <w:r w:rsidRPr="00780485">
        <w:br w:type="page"/>
      </w:r>
      <w:bookmarkStart w:id="179" w:name="_Toc526845472"/>
      <w:bookmarkStart w:id="180" w:name="_Toc526845794"/>
      <w:r w:rsidRPr="00780485">
        <w:t>Referenser</w:t>
      </w:r>
      <w:bookmarkEnd w:id="179"/>
      <w:bookmarkEnd w:id="180"/>
    </w:p>
    <w:p w:rsidR="007A6E3D" w:rsidRPr="00780485" w:rsidRDefault="007A6E3D">
      <w:r w:rsidRPr="00780485">
        <w:t xml:space="preserve">Arbetsmarknadsutskottets betänkande 1997/98:AU:11, </w:t>
      </w:r>
      <w:r w:rsidRPr="00780485">
        <w:rPr>
          <w:i/>
        </w:rPr>
        <w:t>Regional tillväxt – för arbete och välfärd.</w:t>
      </w:r>
    </w:p>
    <w:p w:rsidR="007A6E3D" w:rsidRPr="00780485" w:rsidRDefault="007A6E3D">
      <w:pPr>
        <w:ind w:right="-625"/>
      </w:pPr>
      <w:r w:rsidRPr="00780485">
        <w:t xml:space="preserve">Arbetsmarknadsutskottets betänkande 1989/90:AU13, </w:t>
      </w:r>
      <w:r w:rsidRPr="00780485">
        <w:rPr>
          <w:i/>
        </w:rPr>
        <w:t>Regionalpolitik för 90-talet</w:t>
      </w:r>
      <w:r w:rsidRPr="00780485">
        <w:t>.</w:t>
      </w:r>
    </w:p>
    <w:p w:rsidR="007A6E3D" w:rsidRPr="00780485" w:rsidRDefault="007A6E3D">
      <w:r w:rsidRPr="00780485">
        <w:t xml:space="preserve">Bring Statistics and Research AB 2000, </w:t>
      </w:r>
      <w:r w:rsidRPr="00780485">
        <w:rPr>
          <w:i/>
        </w:rPr>
        <w:t>Promemoria angående Skops Ra</w:t>
      </w:r>
      <w:r w:rsidRPr="00780485">
        <w:rPr>
          <w:i/>
        </w:rPr>
        <w:t>p</w:t>
      </w:r>
      <w:r w:rsidRPr="00780485">
        <w:rPr>
          <w:i/>
        </w:rPr>
        <w:t>port till Glesbygdsverket</w:t>
      </w:r>
      <w:r w:rsidRPr="00780485">
        <w:t>. Redovisning av ett uppdrag från Riksdagens rev</w:t>
      </w:r>
      <w:r w:rsidRPr="00780485">
        <w:t>i</w:t>
      </w:r>
      <w:r w:rsidRPr="00780485">
        <w:t xml:space="preserve">sorer (dnr 2000:64(4)). </w:t>
      </w:r>
    </w:p>
    <w:p w:rsidR="007A6E3D" w:rsidRPr="00780485" w:rsidRDefault="007A6E3D">
      <w:r w:rsidRPr="00780485">
        <w:t xml:space="preserve">Ds 2000:27, </w:t>
      </w:r>
      <w:r w:rsidRPr="00780485">
        <w:rPr>
          <w:i/>
        </w:rPr>
        <w:t>Vad kostar det att regera?</w:t>
      </w:r>
    </w:p>
    <w:p w:rsidR="007A6E3D" w:rsidRPr="00780485" w:rsidRDefault="007A6E3D">
      <w:r w:rsidRPr="00780485">
        <w:t xml:space="preserve">Ds 2000:48, </w:t>
      </w:r>
      <w:r w:rsidRPr="00780485">
        <w:rPr>
          <w:i/>
        </w:rPr>
        <w:t xml:space="preserve">Snabbt och riktigt, utvalt och viktigt </w:t>
      </w:r>
      <w:r w:rsidRPr="00780485">
        <w:rPr>
          <w:i/>
        </w:rPr>
        <w:noBreakHyphen/>
        <w:t xml:space="preserve"> förslag till kommunal databas.</w:t>
      </w:r>
    </w:p>
    <w:p w:rsidR="007A6E3D" w:rsidRPr="00780485" w:rsidRDefault="007A6E3D">
      <w:r w:rsidRPr="00780485">
        <w:t xml:space="preserve">Ds 1999:50, </w:t>
      </w:r>
      <w:r w:rsidRPr="00780485">
        <w:rPr>
          <w:i/>
        </w:rPr>
        <w:t>Regionalpolitiken.</w:t>
      </w:r>
    </w:p>
    <w:p w:rsidR="007A6E3D" w:rsidRPr="00780485" w:rsidRDefault="007A6E3D">
      <w:r w:rsidRPr="00780485">
        <w:t xml:space="preserve">Finansdepartementet 2000, </w:t>
      </w:r>
      <w:r w:rsidRPr="00780485">
        <w:rPr>
          <w:i/>
        </w:rPr>
        <w:t>Regleringsbrev och andra styrdokument för år 2001, en handledning för Regeringskansliet</w:t>
      </w:r>
      <w:r w:rsidRPr="00780485">
        <w:t xml:space="preserve">. </w:t>
      </w:r>
    </w:p>
    <w:p w:rsidR="007A6E3D" w:rsidRPr="00780485" w:rsidRDefault="007A6E3D">
      <w:r w:rsidRPr="00780485">
        <w:t xml:space="preserve">Finansutskottets betänkande 1999/2000:FiU20, </w:t>
      </w:r>
      <w:r w:rsidRPr="00780485">
        <w:rPr>
          <w:i/>
        </w:rPr>
        <w:t>Riktlinjer för den ekonomiska politiken, utgiftstak, skattefrågor, m.m</w:t>
      </w:r>
      <w:r w:rsidRPr="00780485">
        <w:t>.</w:t>
      </w:r>
    </w:p>
    <w:p w:rsidR="007A6E3D" w:rsidRPr="00780485" w:rsidRDefault="007A6E3D">
      <w:r w:rsidRPr="00780485">
        <w:t xml:space="preserve">Glesbygdsverket 1999a, </w:t>
      </w:r>
      <w:r w:rsidRPr="00780485">
        <w:rPr>
          <w:i/>
        </w:rPr>
        <w:t>Tar statliga myndigheter regionalpolitiskt ansvar?</w:t>
      </w:r>
    </w:p>
    <w:p w:rsidR="007A6E3D" w:rsidRPr="00780485" w:rsidRDefault="007A6E3D">
      <w:r w:rsidRPr="00780485">
        <w:t xml:space="preserve">Glesbygdsverket 1999b, </w:t>
      </w:r>
      <w:r w:rsidRPr="00780485">
        <w:rPr>
          <w:i/>
        </w:rPr>
        <w:t>Årsredovisning för 1988</w:t>
      </w:r>
      <w:r w:rsidRPr="00780485">
        <w:t>.</w:t>
      </w:r>
    </w:p>
    <w:p w:rsidR="007A6E3D" w:rsidRPr="00780485" w:rsidRDefault="007A6E3D">
      <w:r w:rsidRPr="00780485">
        <w:t xml:space="preserve">Glesbygdsverket 2000a, </w:t>
      </w:r>
      <w:r w:rsidRPr="00780485">
        <w:rPr>
          <w:i/>
        </w:rPr>
        <w:t>Årsredovisning för 1999.</w:t>
      </w:r>
    </w:p>
    <w:p w:rsidR="007A6E3D" w:rsidRPr="00780485" w:rsidRDefault="007A6E3D">
      <w:pPr>
        <w:ind w:right="-341"/>
      </w:pPr>
      <w:r w:rsidRPr="00780485">
        <w:t xml:space="preserve">Glesbygdsverket 2000b, </w:t>
      </w:r>
      <w:r w:rsidRPr="00780485">
        <w:rPr>
          <w:i/>
        </w:rPr>
        <w:t xml:space="preserve">Glesbygdsverkets roll i tillväxtavtalen. </w:t>
      </w:r>
      <w:r w:rsidRPr="00780485">
        <w:t>PM 2000-09-29.</w:t>
      </w:r>
    </w:p>
    <w:p w:rsidR="007A6E3D" w:rsidRPr="00780485" w:rsidRDefault="007A6E3D">
      <w:r w:rsidRPr="00780485">
        <w:t xml:space="preserve">Glesbygdsverket 2000c, </w:t>
      </w:r>
      <w:r w:rsidRPr="00780485">
        <w:rPr>
          <w:i/>
        </w:rPr>
        <w:t>Årsbok 2000</w:t>
      </w:r>
      <w:r w:rsidRPr="00780485">
        <w:t>.</w:t>
      </w:r>
    </w:p>
    <w:p w:rsidR="007A6E3D" w:rsidRPr="00780485" w:rsidRDefault="007A6E3D">
      <w:r w:rsidRPr="00780485">
        <w:t xml:space="preserve">Glesbygdsverket 2001a, </w:t>
      </w:r>
      <w:r w:rsidRPr="00780485">
        <w:rPr>
          <w:i/>
        </w:rPr>
        <w:t>Årsrapport</w:t>
      </w:r>
      <w:r w:rsidRPr="00780485">
        <w:t>.</w:t>
      </w:r>
    </w:p>
    <w:p w:rsidR="007A6E3D" w:rsidRPr="00780485" w:rsidRDefault="007A6E3D">
      <w:r w:rsidRPr="00780485">
        <w:t xml:space="preserve">Glesbygdsverket 2001b, </w:t>
      </w:r>
      <w:r w:rsidRPr="00780485">
        <w:rPr>
          <w:i/>
        </w:rPr>
        <w:t>Årsredovisning för 2000.</w:t>
      </w:r>
    </w:p>
    <w:p w:rsidR="007A6E3D" w:rsidRPr="00780485" w:rsidRDefault="007A6E3D">
      <w:r w:rsidRPr="00780485">
        <w:t xml:space="preserve">Glesbygdsverket 2001c, </w:t>
      </w:r>
      <w:r w:rsidRPr="00780485">
        <w:rPr>
          <w:i/>
        </w:rPr>
        <w:t>Årsbok 2001.</w:t>
      </w:r>
    </w:p>
    <w:p w:rsidR="007A6E3D" w:rsidRPr="00780485" w:rsidRDefault="007A6E3D">
      <w:r w:rsidRPr="00780485">
        <w:t xml:space="preserve">Kommittédirektiv 1999:2, </w:t>
      </w:r>
      <w:r w:rsidRPr="00780485">
        <w:rPr>
          <w:i/>
        </w:rPr>
        <w:t>Utredning om den framtida regionalpolitiken</w:t>
      </w:r>
      <w:r w:rsidRPr="00780485">
        <w:t>.</w:t>
      </w:r>
    </w:p>
    <w:p w:rsidR="007A6E3D" w:rsidRPr="00780485" w:rsidRDefault="007A6E3D">
      <w:r w:rsidRPr="00780485">
        <w:t xml:space="preserve">Kommittédirektiv 2000:69, </w:t>
      </w:r>
      <w:r w:rsidRPr="00780485">
        <w:rPr>
          <w:i/>
        </w:rPr>
        <w:t>Fortsatt utveckling av en kommunal databas samt tvärsektoriell uppföljning och utvärdering av kommunal verksamhet</w:t>
      </w:r>
      <w:r w:rsidRPr="00780485">
        <w:t>.</w:t>
      </w:r>
    </w:p>
    <w:p w:rsidR="007A6E3D" w:rsidRPr="00780485" w:rsidRDefault="007A6E3D">
      <w:r w:rsidRPr="00780485">
        <w:t xml:space="preserve">Nordeg 2001, </w:t>
      </w:r>
      <w:r w:rsidRPr="00780485">
        <w:rPr>
          <w:i/>
        </w:rPr>
        <w:t>Glesbygdsverket – påverkansförsök och effekter därav</w:t>
      </w:r>
      <w:r w:rsidRPr="00780485">
        <w:t>. Red</w:t>
      </w:r>
      <w:r w:rsidRPr="00780485">
        <w:t>o</w:t>
      </w:r>
      <w:r w:rsidRPr="00780485">
        <w:t>visning av uppdrag från Riksdagens revisorer (dnr 2000:64(4)).</w:t>
      </w:r>
    </w:p>
    <w:p w:rsidR="007A6E3D" w:rsidRPr="00780485" w:rsidRDefault="007A6E3D">
      <w:r w:rsidRPr="00780485">
        <w:t xml:space="preserve">NUTEK 2000, </w:t>
      </w:r>
      <w:r w:rsidRPr="00780485">
        <w:rPr>
          <w:i/>
        </w:rPr>
        <w:t>Regionalpolitiskt finansiellt stöd budgetåret 1999, R 2000:12</w:t>
      </w:r>
      <w:r w:rsidRPr="00780485">
        <w:t>.</w:t>
      </w:r>
    </w:p>
    <w:p w:rsidR="007A6E3D" w:rsidRPr="00780485" w:rsidRDefault="007A6E3D">
      <w:r w:rsidRPr="00780485">
        <w:t xml:space="preserve">Näringsutskottets betänkande 1999/2000:NU17, </w:t>
      </w:r>
      <w:r w:rsidRPr="00780485">
        <w:rPr>
          <w:i/>
        </w:rPr>
        <w:t>Vissa organisationsfrågor inom näringspolitiken</w:t>
      </w:r>
      <w:r w:rsidRPr="00780485">
        <w:t>.</w:t>
      </w:r>
    </w:p>
    <w:p w:rsidR="007A6E3D" w:rsidRPr="00780485" w:rsidRDefault="007A6E3D">
      <w:r w:rsidRPr="00780485">
        <w:t xml:space="preserve">Näringsutskottets betänkande 1999/2000:NU2, </w:t>
      </w:r>
      <w:r w:rsidRPr="00780485">
        <w:rPr>
          <w:i/>
        </w:rPr>
        <w:t>Regional utjämning och utveckling.</w:t>
      </w:r>
    </w:p>
    <w:p w:rsidR="007A6E3D" w:rsidRPr="00780485" w:rsidRDefault="007A6E3D">
      <w:r w:rsidRPr="00780485">
        <w:t xml:space="preserve">Näringsutskottets betänkande 2000/01:NU2, </w:t>
      </w:r>
      <w:r w:rsidRPr="00780485">
        <w:rPr>
          <w:i/>
        </w:rPr>
        <w:t>Regional utjämning och utvec</w:t>
      </w:r>
      <w:r w:rsidRPr="00780485">
        <w:rPr>
          <w:i/>
        </w:rPr>
        <w:t>k</w:t>
      </w:r>
      <w:r w:rsidRPr="00780485">
        <w:rPr>
          <w:i/>
        </w:rPr>
        <w:t>ling</w:t>
      </w:r>
      <w:r w:rsidRPr="00780485">
        <w:t>.</w:t>
      </w:r>
    </w:p>
    <w:p w:rsidR="007A6E3D" w:rsidRPr="00780485" w:rsidRDefault="007A6E3D">
      <w:r w:rsidRPr="00780485">
        <w:t xml:space="preserve">Regeringens proposition 1989/90:76, </w:t>
      </w:r>
      <w:r w:rsidRPr="00780485">
        <w:rPr>
          <w:i/>
        </w:rPr>
        <w:t>Om regionalpolitik för 90-talet</w:t>
      </w:r>
      <w:r w:rsidRPr="00780485">
        <w:t>.</w:t>
      </w:r>
    </w:p>
    <w:p w:rsidR="007A6E3D" w:rsidRPr="00780485" w:rsidRDefault="007A6E3D">
      <w:pPr>
        <w:ind w:right="-341"/>
      </w:pPr>
      <w:r w:rsidRPr="00780485">
        <w:t xml:space="preserve">Regeringens proposition 1997/98:62, </w:t>
      </w:r>
      <w:r w:rsidRPr="00780485">
        <w:rPr>
          <w:i/>
        </w:rPr>
        <w:t>Regional tillväxt – för arbete och vä</w:t>
      </w:r>
      <w:r w:rsidRPr="00780485">
        <w:rPr>
          <w:i/>
        </w:rPr>
        <w:t>l</w:t>
      </w:r>
      <w:r w:rsidRPr="00780485">
        <w:rPr>
          <w:i/>
        </w:rPr>
        <w:t>färd.</w:t>
      </w:r>
    </w:p>
    <w:p w:rsidR="007A6E3D" w:rsidRPr="00780485" w:rsidRDefault="007A6E3D">
      <w:r w:rsidRPr="00780485">
        <w:t xml:space="preserve">Regeringens proposition 1999/2000:1, </w:t>
      </w:r>
      <w:r w:rsidRPr="00780485">
        <w:rPr>
          <w:i/>
        </w:rPr>
        <w:t>Budgetpropositionen för 2000</w:t>
      </w:r>
      <w:r w:rsidRPr="00780485">
        <w:t>.</w:t>
      </w:r>
    </w:p>
    <w:p w:rsidR="007A6E3D" w:rsidRPr="00780485" w:rsidRDefault="007A6E3D">
      <w:r w:rsidRPr="00780485">
        <w:t xml:space="preserve">Regeringens proposition 1999/2000:71, </w:t>
      </w:r>
      <w:r w:rsidRPr="00780485">
        <w:rPr>
          <w:i/>
        </w:rPr>
        <w:t>Om vissa organisationsfrågor inom näringspolitiken</w:t>
      </w:r>
      <w:r w:rsidRPr="00780485">
        <w:t xml:space="preserve">. </w:t>
      </w:r>
    </w:p>
    <w:p w:rsidR="007A6E3D" w:rsidRPr="00780485" w:rsidRDefault="007A6E3D">
      <w:r w:rsidRPr="00780485">
        <w:t xml:space="preserve">Regeringens proposition 1999/2000:81, </w:t>
      </w:r>
      <w:r w:rsidRPr="00780485">
        <w:rPr>
          <w:i/>
        </w:rPr>
        <w:t>Om forskning för framtiden – en ny organisation för forskningsfinansiering</w:t>
      </w:r>
      <w:r w:rsidRPr="00780485">
        <w:t xml:space="preserve">. </w:t>
      </w:r>
    </w:p>
    <w:p w:rsidR="007A6E3D" w:rsidRPr="00780485" w:rsidRDefault="007A6E3D">
      <w:r w:rsidRPr="00780485">
        <w:t xml:space="preserve">Riksdagens revisorer, </w:t>
      </w:r>
      <w:r w:rsidRPr="00780485">
        <w:rPr>
          <w:i/>
        </w:rPr>
        <w:t>Glesbygdsverkets mål och resultatstyrning</w:t>
      </w:r>
      <w:r w:rsidRPr="00780485">
        <w:t>. Förstudie 2000/01:2.</w:t>
      </w:r>
    </w:p>
    <w:p w:rsidR="007A6E3D" w:rsidRPr="00780485" w:rsidRDefault="007A6E3D">
      <w:pPr>
        <w:rPr>
          <w:i/>
        </w:rPr>
      </w:pPr>
      <w:r w:rsidRPr="00780485">
        <w:t xml:space="preserve">SFS 1974:152, </w:t>
      </w:r>
      <w:r w:rsidRPr="00780485">
        <w:rPr>
          <w:i/>
        </w:rPr>
        <w:t>Kungörelse (1974:152) om beslutad ny regeringsform.</w:t>
      </w:r>
    </w:p>
    <w:p w:rsidR="007A6E3D" w:rsidRPr="00780485" w:rsidRDefault="007A6E3D">
      <w:r w:rsidRPr="00780485">
        <w:t xml:space="preserve">SFS 1982:763, </w:t>
      </w:r>
      <w:r w:rsidRPr="00780485">
        <w:rPr>
          <w:i/>
        </w:rPr>
        <w:t>Hälso- och sjukvårdslag</w:t>
      </w:r>
      <w:r w:rsidRPr="00780485">
        <w:t>.</w:t>
      </w:r>
    </w:p>
    <w:p w:rsidR="007A6E3D" w:rsidRPr="00780485" w:rsidRDefault="007A6E3D">
      <w:pPr>
        <w:rPr>
          <w:i/>
        </w:rPr>
      </w:pPr>
      <w:r w:rsidRPr="00780485">
        <w:t xml:space="preserve">SFS 1990:1008, </w:t>
      </w:r>
      <w:r w:rsidRPr="00780485">
        <w:rPr>
          <w:i/>
        </w:rPr>
        <w:t>Förordning med instruktion för Glesbygdsverket.</w:t>
      </w:r>
    </w:p>
    <w:p w:rsidR="007A6E3D" w:rsidRPr="00780485" w:rsidRDefault="007A6E3D">
      <w:r w:rsidRPr="00780485">
        <w:t xml:space="preserve">SFS 1991:1121, </w:t>
      </w:r>
      <w:r w:rsidRPr="00780485">
        <w:rPr>
          <w:i/>
        </w:rPr>
        <w:t>Förordning med instruktion för Statens skolverk</w:t>
      </w:r>
      <w:r w:rsidRPr="00780485">
        <w:t>.</w:t>
      </w:r>
    </w:p>
    <w:p w:rsidR="007A6E3D" w:rsidRPr="00780485" w:rsidRDefault="007A6E3D">
      <w:r w:rsidRPr="00780485">
        <w:t xml:space="preserve">SFS 1996:1059, </w:t>
      </w:r>
      <w:r w:rsidRPr="00780485">
        <w:rPr>
          <w:i/>
        </w:rPr>
        <w:t>Lagen om statsbudgeten.</w:t>
      </w:r>
    </w:p>
    <w:p w:rsidR="007A6E3D" w:rsidRPr="00780485" w:rsidRDefault="007A6E3D">
      <w:r w:rsidRPr="00780485">
        <w:t xml:space="preserve">SFS 1996:570, </w:t>
      </w:r>
      <w:r w:rsidRPr="00780485">
        <w:rPr>
          <w:i/>
        </w:rPr>
        <w:t>Förordning med instruktion för Socialstyrelsen.</w:t>
      </w:r>
    </w:p>
    <w:p w:rsidR="007A6E3D" w:rsidRPr="00780485" w:rsidRDefault="007A6E3D">
      <w:r w:rsidRPr="00780485">
        <w:t xml:space="preserve">SFS 1998:1634, </w:t>
      </w:r>
      <w:r w:rsidRPr="00780485">
        <w:rPr>
          <w:i/>
        </w:rPr>
        <w:t>Förordning om regionalt utvecklingsarbete.</w:t>
      </w:r>
    </w:p>
    <w:p w:rsidR="007A6E3D" w:rsidRPr="00780485" w:rsidRDefault="007A6E3D">
      <w:pPr>
        <w:ind w:right="-908"/>
      </w:pPr>
      <w:r w:rsidRPr="00780485">
        <w:t xml:space="preserve">SFS 2000:1132, </w:t>
      </w:r>
      <w:r w:rsidRPr="00780485">
        <w:rPr>
          <w:i/>
        </w:rPr>
        <w:t>Förordning med instruktion för Verket för innovationssy</w:t>
      </w:r>
      <w:r w:rsidRPr="00780485">
        <w:rPr>
          <w:i/>
        </w:rPr>
        <w:t>s</w:t>
      </w:r>
      <w:r w:rsidRPr="00780485">
        <w:rPr>
          <w:i/>
        </w:rPr>
        <w:t>tem.</w:t>
      </w:r>
    </w:p>
    <w:p w:rsidR="007A6E3D" w:rsidRPr="00780485" w:rsidRDefault="007A6E3D">
      <w:r w:rsidRPr="00780485">
        <w:t xml:space="preserve">SFS 2000:1133, </w:t>
      </w:r>
      <w:r w:rsidRPr="00780485">
        <w:rPr>
          <w:i/>
        </w:rPr>
        <w:t>Förordning med instruktion för Verket för tillväxtpolitiska studier.</w:t>
      </w:r>
    </w:p>
    <w:p w:rsidR="007A6E3D" w:rsidRPr="00780485" w:rsidRDefault="007A6E3D">
      <w:r w:rsidRPr="00780485">
        <w:t xml:space="preserve">SFS 2000:1178, </w:t>
      </w:r>
      <w:r w:rsidRPr="00780485">
        <w:rPr>
          <w:i/>
        </w:rPr>
        <w:t>Förordning med instruktion för Verket för näringslivsu</w:t>
      </w:r>
      <w:r w:rsidRPr="00780485">
        <w:rPr>
          <w:i/>
        </w:rPr>
        <w:t>t</w:t>
      </w:r>
      <w:r w:rsidRPr="00780485">
        <w:rPr>
          <w:i/>
        </w:rPr>
        <w:t>veckling</w:t>
      </w:r>
      <w:r w:rsidRPr="00780485">
        <w:t>.</w:t>
      </w:r>
    </w:p>
    <w:p w:rsidR="007A6E3D" w:rsidRPr="00780485" w:rsidRDefault="007A6E3D">
      <w:pPr>
        <w:rPr>
          <w:i/>
        </w:rPr>
      </w:pPr>
      <w:r w:rsidRPr="00780485">
        <w:t xml:space="preserve">SOU 1989:55, </w:t>
      </w:r>
      <w:r w:rsidRPr="00780485">
        <w:rPr>
          <w:i/>
        </w:rPr>
        <w:t>Fungerande regioner i samspel.</w:t>
      </w:r>
    </w:p>
    <w:p w:rsidR="007A6E3D" w:rsidRPr="00780485" w:rsidRDefault="007A6E3D">
      <w:r w:rsidRPr="00780485">
        <w:t xml:space="preserve">SOU 1995:27, </w:t>
      </w:r>
      <w:r w:rsidRPr="00780485">
        <w:rPr>
          <w:i/>
        </w:rPr>
        <w:t>Regional framtid</w:t>
      </w:r>
      <w:r w:rsidRPr="00780485">
        <w:t>.</w:t>
      </w:r>
    </w:p>
    <w:p w:rsidR="007A6E3D" w:rsidRPr="00780485" w:rsidRDefault="007A6E3D">
      <w:r w:rsidRPr="00780485">
        <w:t xml:space="preserve">SOU 1997:13, </w:t>
      </w:r>
      <w:r w:rsidRPr="00780485">
        <w:rPr>
          <w:i/>
        </w:rPr>
        <w:t>Regionalpolitik för hela Sverige.</w:t>
      </w:r>
    </w:p>
    <w:p w:rsidR="007A6E3D" w:rsidRPr="00780485" w:rsidRDefault="007A6E3D">
      <w:r w:rsidRPr="00780485">
        <w:t xml:space="preserve">SOU 1997:57, </w:t>
      </w:r>
      <w:r w:rsidRPr="00780485">
        <w:rPr>
          <w:i/>
        </w:rPr>
        <w:t>I medborgarnas tjänst</w:t>
      </w:r>
      <w:r w:rsidRPr="00780485">
        <w:t>.</w:t>
      </w:r>
    </w:p>
    <w:p w:rsidR="007A6E3D" w:rsidRPr="00780485" w:rsidRDefault="007A6E3D">
      <w:r w:rsidRPr="00780485">
        <w:t xml:space="preserve">SOU 1999:96, </w:t>
      </w:r>
      <w:r w:rsidRPr="00780485">
        <w:rPr>
          <w:i/>
        </w:rPr>
        <w:t>Statistikreformen</w:t>
      </w:r>
      <w:r w:rsidRPr="00780485">
        <w:t>.</w:t>
      </w:r>
    </w:p>
    <w:p w:rsidR="007A6E3D" w:rsidRPr="00780485" w:rsidRDefault="007A6E3D">
      <w:r w:rsidRPr="00780485">
        <w:t xml:space="preserve">SOU 2000:85, </w:t>
      </w:r>
      <w:r w:rsidRPr="00780485">
        <w:rPr>
          <w:i/>
        </w:rPr>
        <w:t>Regionalt folkstyre och statlig länsförvaltning</w:t>
      </w:r>
      <w:r w:rsidRPr="00780485">
        <w:t>.</w:t>
      </w:r>
    </w:p>
    <w:p w:rsidR="007A6E3D" w:rsidRPr="00780485" w:rsidRDefault="007A6E3D">
      <w:r w:rsidRPr="00780485">
        <w:t xml:space="preserve">Statisticon 2001, </w:t>
      </w:r>
      <w:r w:rsidRPr="00780485">
        <w:rPr>
          <w:i/>
        </w:rPr>
        <w:t xml:space="preserve">Granskning av Glesbygdsverkets årsbok. </w:t>
      </w:r>
      <w:r w:rsidRPr="00780485">
        <w:t>Redovisning av ett uppdrag från Riksdagens revisorer (dnr 2000:64(4)).</w:t>
      </w:r>
    </w:p>
    <w:p w:rsidR="007A6E3D" w:rsidRPr="00780485" w:rsidRDefault="007A6E3D">
      <w:r w:rsidRPr="00780485">
        <w:t>Statsliggaren för år 2000. Ekonomistyrningsverket.</w:t>
      </w:r>
    </w:p>
    <w:p w:rsidR="007A6E3D" w:rsidRPr="00780485" w:rsidRDefault="007A6E3D">
      <w:r w:rsidRPr="00780485">
        <w:t xml:space="preserve">Utbildningsutskottets betänkande 1999/2000:UbU17, </w:t>
      </w:r>
      <w:r w:rsidRPr="00780485">
        <w:rPr>
          <w:i/>
        </w:rPr>
        <w:t>Forskning för framt</w:t>
      </w:r>
      <w:r w:rsidRPr="00780485">
        <w:rPr>
          <w:i/>
        </w:rPr>
        <w:t>i</w:t>
      </w:r>
      <w:r w:rsidRPr="00780485">
        <w:rPr>
          <w:i/>
        </w:rPr>
        <w:t xml:space="preserve">den </w:t>
      </w:r>
      <w:r w:rsidRPr="00780485">
        <w:rPr>
          <w:i/>
        </w:rPr>
        <w:noBreakHyphen/>
        <w:t xml:space="preserve"> en ny organisation för forskningsfinansiering.</w:t>
      </w:r>
    </w:p>
    <w:p w:rsidR="007A6E3D" w:rsidRPr="00780485" w:rsidRDefault="007A6E3D">
      <w:pPr>
        <w:pStyle w:val="Rubrik1-Utannumrering"/>
      </w:pPr>
      <w:r w:rsidRPr="00780485">
        <w:br w:type="page"/>
      </w:r>
      <w:bookmarkStart w:id="181" w:name="_Toc526845473"/>
      <w:bookmarkStart w:id="182" w:name="_Toc526845795"/>
      <w:r w:rsidRPr="00780485">
        <w:t>Bilaga 1 Regionalpolitiska insatser</w:t>
      </w:r>
      <w:bookmarkEnd w:id="181"/>
      <w:bookmarkEnd w:id="182"/>
    </w:p>
    <w:p w:rsidR="007A6E3D" w:rsidRPr="00780485" w:rsidRDefault="007A6E3D">
      <w:r w:rsidRPr="00780485">
        <w:t>Huvuddelen av de regionalpolitiska insatserna finansieras via anslaget för Allmänna regionalpolitiska åtgärder. I denna bilaga beskrivs syfte och rege</w:t>
      </w:r>
      <w:r w:rsidRPr="00780485">
        <w:t>l</w:t>
      </w:r>
      <w:r w:rsidRPr="00780485">
        <w:t>verk för de olika stödformerna. Länsstyrelserna, de regionala självstyrelseo</w:t>
      </w:r>
      <w:r w:rsidRPr="00780485">
        <w:t>r</w:t>
      </w:r>
      <w:r w:rsidRPr="00780485">
        <w:t>ganen, NUTEK och regeringen beslutar om utbetalning av stöd. Uppgifterna i bilagan är hämtade från budgetpropositionen för 2001 (prop. 2000/01:1) och NUTEK:s uppföljning av hur anslaget fördelats på olika stödformer. Den senaste uppföljningen avser budgetåret 1999 (NUTEK 2000).</w:t>
      </w:r>
    </w:p>
    <w:p w:rsidR="007A6E3D" w:rsidRPr="00780485" w:rsidRDefault="007A6E3D">
      <w:pPr>
        <w:pStyle w:val="t"/>
      </w:pPr>
      <w:r w:rsidRPr="00780485">
        <w:t>Tabell 1. Beviljat stöd av länsstyrelser, regionala självstyrelseorgan, NUTEK och regerin</w:t>
      </w:r>
      <w:r w:rsidRPr="00780485">
        <w:t>g</w:t>
      </w:r>
      <w:r w:rsidRPr="00780485">
        <w:t>en under 1999</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4603"/>
        <w:gridCol w:w="1433"/>
      </w:tblGrid>
      <w:tr w:rsidR="00000000" w:rsidRPr="00780485">
        <w:tblPrEx>
          <w:tblCellMar>
            <w:top w:w="0" w:type="dxa"/>
            <w:bottom w:w="0" w:type="dxa"/>
          </w:tblCellMar>
        </w:tblPrEx>
        <w:tc>
          <w:tcPr>
            <w:tcW w:w="4603" w:type="dxa"/>
            <w:tcBorders>
              <w:bottom w:val="single" w:sz="6" w:space="0" w:color="008000"/>
            </w:tcBorders>
          </w:tcPr>
          <w:p w:rsidR="007A6E3D" w:rsidRPr="00780485" w:rsidRDefault="007A6E3D">
            <w:pPr>
              <w:pStyle w:val="Tabell"/>
            </w:pPr>
            <w:r w:rsidRPr="00780485">
              <w:t>Stödform</w:t>
            </w:r>
          </w:p>
        </w:tc>
        <w:tc>
          <w:tcPr>
            <w:tcW w:w="1433" w:type="dxa"/>
            <w:tcBorders>
              <w:bottom w:val="single" w:sz="6" w:space="0" w:color="008000"/>
            </w:tcBorders>
          </w:tcPr>
          <w:p w:rsidR="007A6E3D" w:rsidRPr="00780485" w:rsidRDefault="007A6E3D">
            <w:pPr>
              <w:pStyle w:val="Tabell"/>
            </w:pPr>
            <w:r w:rsidRPr="00780485">
              <w:t>miljoner kronor</w:t>
            </w:r>
          </w:p>
        </w:tc>
      </w:tr>
      <w:tr w:rsidR="00000000" w:rsidRPr="00780485">
        <w:tblPrEx>
          <w:tblCellMar>
            <w:top w:w="0" w:type="dxa"/>
            <w:bottom w:w="0" w:type="dxa"/>
          </w:tblCellMar>
        </w:tblPrEx>
        <w:tc>
          <w:tcPr>
            <w:tcW w:w="4603" w:type="dxa"/>
            <w:tcBorders>
              <w:top w:val="nil"/>
            </w:tcBorders>
          </w:tcPr>
          <w:p w:rsidR="007A6E3D" w:rsidRPr="00780485" w:rsidRDefault="007A6E3D">
            <w:pPr>
              <w:pStyle w:val="Tabell"/>
            </w:pPr>
            <w:r w:rsidRPr="00780485">
              <w:t xml:space="preserve">Regionala utvecklingsbidrag </w:t>
            </w:r>
          </w:p>
        </w:tc>
        <w:tc>
          <w:tcPr>
            <w:tcW w:w="1433" w:type="dxa"/>
            <w:tcBorders>
              <w:top w:val="nil"/>
            </w:tcBorders>
          </w:tcPr>
          <w:p w:rsidR="007A6E3D" w:rsidRPr="00780485" w:rsidRDefault="007A6E3D">
            <w:pPr>
              <w:pStyle w:val="Tabell"/>
            </w:pPr>
            <w:r w:rsidRPr="00780485">
              <w:t xml:space="preserve">  402</w:t>
            </w:r>
          </w:p>
        </w:tc>
      </w:tr>
      <w:tr w:rsidR="00000000" w:rsidRPr="00780485">
        <w:tblPrEx>
          <w:tblCellMar>
            <w:top w:w="0" w:type="dxa"/>
            <w:bottom w:w="0" w:type="dxa"/>
          </w:tblCellMar>
        </w:tblPrEx>
        <w:tc>
          <w:tcPr>
            <w:tcW w:w="4603" w:type="dxa"/>
          </w:tcPr>
          <w:p w:rsidR="007A6E3D" w:rsidRPr="00780485" w:rsidRDefault="007A6E3D">
            <w:pPr>
              <w:pStyle w:val="Tabell"/>
            </w:pPr>
            <w:r w:rsidRPr="00780485">
              <w:t xml:space="preserve">Landsbygdsstöd </w:t>
            </w:r>
          </w:p>
        </w:tc>
        <w:tc>
          <w:tcPr>
            <w:tcW w:w="1433" w:type="dxa"/>
          </w:tcPr>
          <w:p w:rsidR="007A6E3D" w:rsidRPr="00780485" w:rsidRDefault="007A6E3D">
            <w:pPr>
              <w:pStyle w:val="Tabell"/>
            </w:pPr>
            <w:r w:rsidRPr="00780485">
              <w:t xml:space="preserve">  322</w:t>
            </w:r>
          </w:p>
        </w:tc>
      </w:tr>
      <w:tr w:rsidR="00000000" w:rsidRPr="00780485">
        <w:tblPrEx>
          <w:tblCellMar>
            <w:top w:w="0" w:type="dxa"/>
            <w:bottom w:w="0" w:type="dxa"/>
          </w:tblCellMar>
        </w:tblPrEx>
        <w:tc>
          <w:tcPr>
            <w:tcW w:w="4603" w:type="dxa"/>
          </w:tcPr>
          <w:p w:rsidR="007A6E3D" w:rsidRPr="00780485" w:rsidRDefault="007A6E3D">
            <w:pPr>
              <w:pStyle w:val="Tabell"/>
            </w:pPr>
            <w:r w:rsidRPr="00780485">
              <w:t xml:space="preserve">Småföretagsstöd </w:t>
            </w:r>
          </w:p>
        </w:tc>
        <w:tc>
          <w:tcPr>
            <w:tcW w:w="1433" w:type="dxa"/>
          </w:tcPr>
          <w:p w:rsidR="007A6E3D" w:rsidRPr="00780485" w:rsidRDefault="007A6E3D">
            <w:pPr>
              <w:pStyle w:val="Tabell"/>
            </w:pPr>
            <w:r w:rsidRPr="00780485">
              <w:t xml:space="preserve">   35</w:t>
            </w:r>
          </w:p>
        </w:tc>
      </w:tr>
      <w:tr w:rsidR="00000000" w:rsidRPr="00780485">
        <w:tblPrEx>
          <w:tblCellMar>
            <w:top w:w="0" w:type="dxa"/>
            <w:bottom w:w="0" w:type="dxa"/>
          </w:tblCellMar>
        </w:tblPrEx>
        <w:tc>
          <w:tcPr>
            <w:tcW w:w="4603" w:type="dxa"/>
          </w:tcPr>
          <w:p w:rsidR="007A6E3D" w:rsidRPr="00780485" w:rsidRDefault="007A6E3D">
            <w:pPr>
              <w:pStyle w:val="Tabell"/>
            </w:pPr>
            <w:r w:rsidRPr="00780485">
              <w:t xml:space="preserve">Stöd till kommersiell service </w:t>
            </w:r>
          </w:p>
        </w:tc>
        <w:tc>
          <w:tcPr>
            <w:tcW w:w="1433" w:type="dxa"/>
          </w:tcPr>
          <w:p w:rsidR="007A6E3D" w:rsidRPr="00780485" w:rsidRDefault="007A6E3D">
            <w:pPr>
              <w:pStyle w:val="Tabell"/>
            </w:pPr>
            <w:r w:rsidRPr="00780485">
              <w:t xml:space="preserve">   30</w:t>
            </w:r>
          </w:p>
        </w:tc>
      </w:tr>
      <w:tr w:rsidR="00000000" w:rsidRPr="00780485">
        <w:tblPrEx>
          <w:tblCellMar>
            <w:top w:w="0" w:type="dxa"/>
            <w:bottom w:w="0" w:type="dxa"/>
          </w:tblCellMar>
        </w:tblPrEx>
        <w:tc>
          <w:tcPr>
            <w:tcW w:w="4603" w:type="dxa"/>
          </w:tcPr>
          <w:p w:rsidR="007A6E3D" w:rsidRPr="00780485" w:rsidRDefault="007A6E3D">
            <w:pPr>
              <w:pStyle w:val="Tabell"/>
            </w:pPr>
            <w:r w:rsidRPr="00780485">
              <w:t xml:space="preserve">Syssselsättningsbidrag </w:t>
            </w:r>
          </w:p>
        </w:tc>
        <w:tc>
          <w:tcPr>
            <w:tcW w:w="1433" w:type="dxa"/>
          </w:tcPr>
          <w:p w:rsidR="007A6E3D" w:rsidRPr="00780485" w:rsidRDefault="007A6E3D">
            <w:pPr>
              <w:pStyle w:val="Tabell"/>
            </w:pPr>
            <w:r w:rsidRPr="00780485">
              <w:t xml:space="preserve">  173</w:t>
            </w:r>
          </w:p>
        </w:tc>
      </w:tr>
      <w:tr w:rsidR="00000000" w:rsidRPr="00780485">
        <w:tblPrEx>
          <w:tblCellMar>
            <w:top w:w="0" w:type="dxa"/>
            <w:bottom w:w="0" w:type="dxa"/>
          </w:tblCellMar>
        </w:tblPrEx>
        <w:tc>
          <w:tcPr>
            <w:tcW w:w="4603" w:type="dxa"/>
          </w:tcPr>
          <w:p w:rsidR="007A6E3D" w:rsidRPr="00780485" w:rsidRDefault="007A6E3D">
            <w:pPr>
              <w:pStyle w:val="Tabell"/>
            </w:pPr>
            <w:r w:rsidRPr="00780485">
              <w:t>Regional projektverksamhet och medfinansiering av struktu</w:t>
            </w:r>
            <w:r w:rsidRPr="00780485">
              <w:t>r</w:t>
            </w:r>
            <w:r w:rsidRPr="00780485">
              <w:t xml:space="preserve">fondsprojekt </w:t>
            </w:r>
          </w:p>
        </w:tc>
        <w:tc>
          <w:tcPr>
            <w:tcW w:w="1433" w:type="dxa"/>
          </w:tcPr>
          <w:p w:rsidR="007A6E3D" w:rsidRPr="00780485" w:rsidRDefault="007A6E3D">
            <w:pPr>
              <w:pStyle w:val="Tabell"/>
            </w:pPr>
            <w:r w:rsidRPr="00780485">
              <w:t xml:space="preserve">  615</w:t>
            </w:r>
          </w:p>
        </w:tc>
      </w:tr>
      <w:tr w:rsidR="00000000" w:rsidRPr="00780485">
        <w:tblPrEx>
          <w:tblCellMar>
            <w:top w:w="0" w:type="dxa"/>
            <w:bottom w:w="0" w:type="dxa"/>
          </w:tblCellMar>
        </w:tblPrEx>
        <w:tc>
          <w:tcPr>
            <w:tcW w:w="4603" w:type="dxa"/>
          </w:tcPr>
          <w:p w:rsidR="007A6E3D" w:rsidRPr="00780485" w:rsidRDefault="007A6E3D">
            <w:pPr>
              <w:pStyle w:val="Tabell"/>
            </w:pPr>
            <w:r w:rsidRPr="00780485">
              <w:t>SUMMA</w:t>
            </w:r>
          </w:p>
        </w:tc>
        <w:tc>
          <w:tcPr>
            <w:tcW w:w="1433" w:type="dxa"/>
          </w:tcPr>
          <w:p w:rsidR="007A6E3D" w:rsidRPr="00780485" w:rsidRDefault="007A6E3D">
            <w:pPr>
              <w:pStyle w:val="Tabell"/>
            </w:pPr>
            <w:r w:rsidRPr="00780485">
              <w:t>1 577</w:t>
            </w:r>
          </w:p>
        </w:tc>
      </w:tr>
    </w:tbl>
    <w:p w:rsidR="007A6E3D" w:rsidRPr="00780485" w:rsidRDefault="007A6E3D">
      <w:pPr>
        <w:pStyle w:val="Fotnotstext"/>
      </w:pPr>
      <w:r w:rsidRPr="00780485">
        <w:t>Källa: Budgetpropositionen för 2001 (prop. 2000/01:1).</w:t>
      </w:r>
    </w:p>
    <w:p w:rsidR="007A6E3D" w:rsidRPr="00780485" w:rsidRDefault="007A6E3D">
      <w:pPr>
        <w:pStyle w:val="Rubrik5"/>
        <w:rPr>
          <w:i/>
        </w:rPr>
      </w:pPr>
      <w:r w:rsidRPr="00780485">
        <w:rPr>
          <w:i/>
        </w:rPr>
        <w:t>Regionalt utvecklingsbidrag</w:t>
      </w:r>
    </w:p>
    <w:p w:rsidR="007A6E3D" w:rsidRPr="00780485" w:rsidRDefault="007A6E3D">
      <w:r w:rsidRPr="00780485">
        <w:t>Regionalt utvecklingsbidrag kan ges för investeringar av olika slag till ver</w:t>
      </w:r>
      <w:r w:rsidRPr="00780485">
        <w:t>k</w:t>
      </w:r>
      <w:r w:rsidRPr="00780485">
        <w:t>samheter som bedöms bli lönsamma och varaktiga. Regionalt utvecklingsb</w:t>
      </w:r>
      <w:r w:rsidRPr="00780485">
        <w:t>i</w:t>
      </w:r>
      <w:r w:rsidRPr="00780485">
        <w:t>drag ges både till hårda och mjuka investeringar. Med hårda investeringar avses till exempel byggnader och maskiner. Med mjuka investeringar avses till exempel produktutveckling, patent, licenser, informationskampanjer och utbildning. Stödet kan beviljas om det bedöms nödvändigt för att en invest</w:t>
      </w:r>
      <w:r w:rsidRPr="00780485">
        <w:t>e</w:t>
      </w:r>
      <w:r w:rsidRPr="00780485">
        <w:t xml:space="preserve">ring ska komma till stånd. </w:t>
      </w:r>
    </w:p>
    <w:p w:rsidR="007A6E3D" w:rsidRPr="00780485" w:rsidRDefault="007A6E3D">
      <w:pPr>
        <w:pStyle w:val="Normaltindrag"/>
      </w:pPr>
      <w:r w:rsidRPr="00780485">
        <w:t>Stöd kan utgå till företag inom följande verksamheter: industriell och i</w:t>
      </w:r>
      <w:r w:rsidRPr="00780485">
        <w:t>n</w:t>
      </w:r>
      <w:r w:rsidRPr="00780485">
        <w:t>dustriliknande verksamhet, industriserviceverksamhet, tjänste- och servic</w:t>
      </w:r>
      <w:r w:rsidRPr="00780485">
        <w:t>e</w:t>
      </w:r>
      <w:r w:rsidRPr="00780485">
        <w:t>verksamhet med större marknad än den lokala eller regionala marknaden, turistverksamhet, framställning av fasta bränslen samt uppförande av lokaler för uthyrning. Stöd kan dessutom ges till annan verksamhet som bedöms få väsentlig bet</w:t>
      </w:r>
      <w:r w:rsidRPr="00780485">
        <w:t>y</w:t>
      </w:r>
      <w:r w:rsidRPr="00780485">
        <w:t xml:space="preserve">delse för näringslivet i regionen. </w:t>
      </w:r>
    </w:p>
    <w:p w:rsidR="007A6E3D" w:rsidRPr="00780485" w:rsidRDefault="007A6E3D">
      <w:pPr>
        <w:pStyle w:val="Rubrik5"/>
        <w:rPr>
          <w:i/>
        </w:rPr>
      </w:pPr>
      <w:r w:rsidRPr="00780485">
        <w:rPr>
          <w:i/>
        </w:rPr>
        <w:t>Landsbygdsstöd</w:t>
      </w:r>
    </w:p>
    <w:p w:rsidR="007A6E3D" w:rsidRPr="00780485" w:rsidRDefault="007A6E3D">
      <w:r w:rsidRPr="00780485">
        <w:t>Landsbygdsstöd omfattar landsbygdsbidrag, landsbygdslån, konsultcheck. Stöd kan lämnas till små och medelstora privata företag som bedriver ver</w:t>
      </w:r>
      <w:r w:rsidRPr="00780485">
        <w:t>k</w:t>
      </w:r>
      <w:r w:rsidRPr="00780485">
        <w:t>samhet på marknadsmässiga villkor för att främja investeringar, ökad sysse</w:t>
      </w:r>
      <w:r w:rsidRPr="00780485">
        <w:t>l</w:t>
      </w:r>
      <w:r w:rsidRPr="00780485">
        <w:t xml:space="preserve">sättning och tillväxt. </w:t>
      </w:r>
    </w:p>
    <w:p w:rsidR="007A6E3D" w:rsidRPr="00780485" w:rsidRDefault="007A6E3D">
      <w:pPr>
        <w:pStyle w:val="Normaltindrag"/>
      </w:pPr>
      <w:r w:rsidRPr="00780485">
        <w:t>Likheterna med regionalt utvecklingsbidrag är stora. Stöd lämnas främst som bidrag men kan i vissa fall även ges som lån. Konsultcheck är en sä</w:t>
      </w:r>
      <w:r w:rsidRPr="00780485">
        <w:t>r</w:t>
      </w:r>
      <w:r w:rsidRPr="00780485">
        <w:t xml:space="preserve">skild variant av landsbygdsstöd. Landsbygdsbidrag är ett s.k. försumbart stöd, vilket innebär att det finns ett tak på 800 000 kronor för en treårsperiod. </w:t>
      </w:r>
    </w:p>
    <w:p w:rsidR="007A6E3D" w:rsidRPr="00780485" w:rsidRDefault="007A6E3D">
      <w:pPr>
        <w:pStyle w:val="Normaltindrag"/>
      </w:pPr>
      <w:r w:rsidRPr="00780485">
        <w:t>Landsbygdsstöd får lämnas i stödområdena A och B enligt förordningen 1999:1382 om stödområden för vissa regionalpolitiska företagsstöd, gle</w:t>
      </w:r>
      <w:r w:rsidRPr="00780485">
        <w:t>s</w:t>
      </w:r>
      <w:r w:rsidRPr="00780485">
        <w:t>bygd och landsbygd. Länsstyrelsen i respektive län meddelar föreskrifter om vilka områden som ska omfattas av stödet. I Norrbottens län omfattas hela länet förutom centralorten Luleå och några omkringliggande orter. I Väste</w:t>
      </w:r>
      <w:r w:rsidRPr="00780485">
        <w:t>r</w:t>
      </w:r>
      <w:r w:rsidRPr="00780485">
        <w:t>bottens län är endast vissa församlingar i Umeå kommun undantagna.</w:t>
      </w:r>
    </w:p>
    <w:p w:rsidR="007A6E3D" w:rsidRPr="00780485" w:rsidRDefault="007A6E3D">
      <w:pPr>
        <w:pStyle w:val="Rubrik5"/>
        <w:rPr>
          <w:i/>
        </w:rPr>
      </w:pPr>
      <w:r w:rsidRPr="00780485">
        <w:rPr>
          <w:i/>
        </w:rPr>
        <w:t>Småföretagsstöd</w:t>
      </w:r>
    </w:p>
    <w:p w:rsidR="007A6E3D" w:rsidRPr="00780485" w:rsidRDefault="007A6E3D">
      <w:r w:rsidRPr="00780485">
        <w:t>Ramverket för småföretagsstöd och regionalt utvecklingsbidrag är i allt väsentligt detsamma. Skillnaden är att småföretagsstödets målgrupp är för</w:t>
      </w:r>
      <w:r w:rsidRPr="00780485">
        <w:t>e</w:t>
      </w:r>
      <w:r w:rsidRPr="00780485">
        <w:t>tag med upp till 50 anställda. Syftet med stöden är att främja investeringar och att de ska bidra till den ekonomiska tillväxten.</w:t>
      </w:r>
    </w:p>
    <w:p w:rsidR="007A6E3D" w:rsidRPr="00780485" w:rsidRDefault="007A6E3D">
      <w:pPr>
        <w:pStyle w:val="Rubrik5"/>
        <w:rPr>
          <w:i/>
        </w:rPr>
      </w:pPr>
      <w:r w:rsidRPr="00780485">
        <w:rPr>
          <w:i/>
        </w:rPr>
        <w:t>Stöd till kommersiell service</w:t>
      </w:r>
    </w:p>
    <w:p w:rsidR="007A6E3D" w:rsidRPr="00780485" w:rsidRDefault="007A6E3D">
      <w:r w:rsidRPr="00780485">
        <w:t xml:space="preserve">Stöd kan lämnas till kommuner och näringsidkare. Stöd beviljas inte om det finns mer än ett företag med samma verksamhetsinriktning på orten eller i dess närhet. Stödet kan utgå i form av: </w:t>
      </w:r>
    </w:p>
    <w:p w:rsidR="007A6E3D" w:rsidRPr="00780485" w:rsidRDefault="007A6E3D">
      <w:pPr>
        <w:pStyle w:val="Normaltindrag"/>
        <w:numPr>
          <w:ilvl w:val="0"/>
          <w:numId w:val="83"/>
        </w:numPr>
      </w:pPr>
      <w:r w:rsidRPr="00780485">
        <w:t>Hemsändningsbidrag till kommuner som helt eller delvis bekostar he</w:t>
      </w:r>
      <w:r w:rsidRPr="00780485">
        <w:t>m</w:t>
      </w:r>
      <w:r w:rsidRPr="00780485">
        <w:t xml:space="preserve">sändning till hushåll av dagligvaror. </w:t>
      </w:r>
    </w:p>
    <w:p w:rsidR="007A6E3D" w:rsidRPr="00780485" w:rsidRDefault="007A6E3D">
      <w:pPr>
        <w:pStyle w:val="Normaltindrag"/>
        <w:numPr>
          <w:ilvl w:val="0"/>
          <w:numId w:val="83"/>
        </w:numPr>
      </w:pPr>
      <w:r w:rsidRPr="00780485">
        <w:t>Investeringsbidrag för utgifter för investeringar i byggnader eller utrus</w:t>
      </w:r>
      <w:r w:rsidRPr="00780485">
        <w:t>t</w:t>
      </w:r>
      <w:r w:rsidRPr="00780485">
        <w:t>ning eller kompetenshöjande insatser. Investeringsbidrag kan även lä</w:t>
      </w:r>
      <w:r w:rsidRPr="00780485">
        <w:t>m</w:t>
      </w:r>
      <w:r w:rsidRPr="00780485">
        <w:t>nas för utarbetande av åtgärdsprogram som syftar till att förbättra för</w:t>
      </w:r>
      <w:r w:rsidRPr="00780485">
        <w:t>e</w:t>
      </w:r>
      <w:r w:rsidRPr="00780485">
        <w:t>tagens lönsamhet och service till hushållen, för samlokalisering av fö</w:t>
      </w:r>
      <w:r w:rsidRPr="00780485">
        <w:t>r</w:t>
      </w:r>
      <w:r w:rsidRPr="00780485">
        <w:t xml:space="preserve">säljningsställen med annat detalj- eller tjänsteföretag vars huvudsakliga verksamhet riktar sig till konsumenter. </w:t>
      </w:r>
    </w:p>
    <w:p w:rsidR="007A6E3D" w:rsidRPr="00780485" w:rsidRDefault="007A6E3D">
      <w:pPr>
        <w:pStyle w:val="Normaltindrag"/>
        <w:numPr>
          <w:ilvl w:val="0"/>
          <w:numId w:val="83"/>
        </w:numPr>
      </w:pPr>
      <w:r w:rsidRPr="00780485">
        <w:t>Landsbygdslån där kapitalbehovet är ansenligt och projektet särskilt intre</w:t>
      </w:r>
      <w:r w:rsidRPr="00780485">
        <w:t>s</w:t>
      </w:r>
      <w:r w:rsidRPr="00780485">
        <w:t xml:space="preserve">sant. </w:t>
      </w:r>
    </w:p>
    <w:p w:rsidR="007A6E3D" w:rsidRPr="00780485" w:rsidRDefault="007A6E3D">
      <w:pPr>
        <w:pStyle w:val="Normaltindrag"/>
        <w:numPr>
          <w:ilvl w:val="0"/>
          <w:numId w:val="83"/>
        </w:numPr>
      </w:pPr>
      <w:r w:rsidRPr="00780485">
        <w:t>Servicebidrag på upp till 200 000 kronor per år för att hindra eller fö</w:t>
      </w:r>
      <w:r w:rsidRPr="00780485">
        <w:t>r</w:t>
      </w:r>
      <w:r w:rsidRPr="00780485">
        <w:t>dröja nedläggning av butiker som är särskilt viktiga för konsumenters varuförsör</w:t>
      </w:r>
      <w:r w:rsidRPr="00780485">
        <w:t>j</w:t>
      </w:r>
      <w:r w:rsidRPr="00780485">
        <w:t xml:space="preserve">ning. </w:t>
      </w:r>
    </w:p>
    <w:p w:rsidR="007A6E3D" w:rsidRPr="00780485" w:rsidRDefault="007A6E3D">
      <w:pPr>
        <w:pStyle w:val="Rubrik5"/>
        <w:rPr>
          <w:i/>
        </w:rPr>
      </w:pPr>
      <w:r w:rsidRPr="00780485">
        <w:rPr>
          <w:i/>
        </w:rPr>
        <w:t>Sysselsättningsbidrag</w:t>
      </w:r>
    </w:p>
    <w:p w:rsidR="007A6E3D" w:rsidRPr="00780485" w:rsidRDefault="007A6E3D">
      <w:r w:rsidRPr="00780485">
        <w:t>Sysselsättningsbidraget kan ges till företag eller annan verksamhet som skapar nya och varaktiga arbetstillfällen. Stödet kan utgå till företag inom vissa branscher, annan verksamhet som har avgörande betydelse för näring</w:t>
      </w:r>
      <w:r w:rsidRPr="00780485">
        <w:t>s</w:t>
      </w:r>
      <w:r w:rsidRPr="00780485">
        <w:t>livet i regionen eller verksamhet som på annat sätt har en särskild regional betydelse samt ideella organisationer eller intresseorganisationer som utl</w:t>
      </w:r>
      <w:r w:rsidRPr="00780485">
        <w:t>o</w:t>
      </w:r>
      <w:r w:rsidRPr="00780485">
        <w:t>kaliserar verksamhet från Stockholmsregionen.</w:t>
      </w:r>
    </w:p>
    <w:p w:rsidR="007A6E3D" w:rsidRPr="00780485" w:rsidRDefault="007A6E3D">
      <w:pPr>
        <w:pStyle w:val="Rubrik5"/>
        <w:rPr>
          <w:i/>
        </w:rPr>
      </w:pPr>
      <w:r w:rsidRPr="00780485">
        <w:rPr>
          <w:i/>
        </w:rPr>
        <w:t>Regional projektverksamhet och medfinansiering av strukturfondsprojekt</w:t>
      </w:r>
    </w:p>
    <w:p w:rsidR="007A6E3D" w:rsidRPr="00780485" w:rsidRDefault="007A6E3D">
      <w:r w:rsidRPr="00780485">
        <w:t>Medel till regionala utvecklingsprojekt och medel till projekt som medfina</w:t>
      </w:r>
      <w:r w:rsidRPr="00780485">
        <w:t>n</w:t>
      </w:r>
      <w:r w:rsidRPr="00780485">
        <w:t>sieras av strukturfonderna är det i kronor räknat största regionala stödet. Huvuddelen av projektmedlen fördelas av länsstyrelserna och självstyrels</w:t>
      </w:r>
      <w:r w:rsidRPr="00780485">
        <w:t>e</w:t>
      </w:r>
      <w:r w:rsidRPr="00780485">
        <w:t>organen. Ett av de viktigaste målen för projektverksamheten är att i samve</w:t>
      </w:r>
      <w:r w:rsidRPr="00780485">
        <w:t>r</w:t>
      </w:r>
      <w:r w:rsidRPr="00780485">
        <w:t xml:space="preserve">kan med andra aktörer bygga upp resurser för att åstadkomma en positiv utveckling för näringslivet i regionen. </w:t>
      </w:r>
    </w:p>
    <w:p w:rsidR="007A6E3D" w:rsidRPr="00780485" w:rsidRDefault="007A6E3D">
      <w:pPr>
        <w:pStyle w:val="Normaltindrag"/>
      </w:pPr>
      <w:r w:rsidRPr="00780485">
        <w:t>Länsstyrelserna och självstyrelseorganen beviljar projektmedel till en mängd olika aktiviteter i form av utredningar, försöksverksamhet och info</w:t>
      </w:r>
      <w:r w:rsidRPr="00780485">
        <w:t>r</w:t>
      </w:r>
      <w:r w:rsidRPr="00780485">
        <w:t xml:space="preserve">mationsinsatser (t.ex. turistkampanjer och mässor). Projektens omfattning har en mycket stor spännvidd, från 10 000 kronor till flera miljoner kronor per projekt. </w:t>
      </w:r>
    </w:p>
    <w:p w:rsidR="007A6E3D" w:rsidRPr="00780485" w:rsidRDefault="007A6E3D">
      <w:pPr>
        <w:pStyle w:val="Normaltindrag"/>
      </w:pPr>
      <w:r w:rsidRPr="00780485">
        <w:t>I den uppföljning som NUTEK gör av den regionala projektverksamheten finns en uppdelning av projektmedlen per ämnesområde. Ca 45 % av medlen används för att finansiera näringslivsprojekt. Till landsbygdsutvecklingspr</w:t>
      </w:r>
      <w:r w:rsidRPr="00780485">
        <w:t>o</w:t>
      </w:r>
      <w:r w:rsidRPr="00780485">
        <w:t>jekt gick 52 miljoner kronor vilket motsvarar 8 % av de samlade projek</w:t>
      </w:r>
      <w:r w:rsidRPr="00780485">
        <w:t>t</w:t>
      </w:r>
      <w:r w:rsidRPr="00780485">
        <w:t>medlen. Mer än hälften av projektmedlen används för medfinansiering av struktu</w:t>
      </w:r>
      <w:r w:rsidRPr="00780485">
        <w:t>r</w:t>
      </w:r>
      <w:r w:rsidRPr="00780485">
        <w:t>fondsprojekt.</w:t>
      </w:r>
    </w:p>
    <w:p w:rsidR="007A6E3D" w:rsidRPr="00780485" w:rsidRDefault="007A6E3D">
      <w:pPr>
        <w:pStyle w:val="Normaltindrag"/>
        <w:spacing w:line="20" w:lineRule="exact"/>
        <w:rPr>
          <w:i/>
          <w:sz w:val="22"/>
        </w:rPr>
        <w:sectPr w:rsidR="00000000" w:rsidRPr="00780485">
          <w:headerReference w:type="default" r:id="rId15"/>
          <w:pgSz w:w="11906" w:h="16838" w:code="9"/>
          <w:pgMar w:top="567" w:right="4876" w:bottom="4508" w:left="1134" w:header="227" w:footer="227" w:gutter="0"/>
          <w:cols w:space="720"/>
        </w:sectPr>
      </w:pPr>
    </w:p>
    <w:p w:rsidR="007A6E3D" w:rsidRPr="00780485" w:rsidRDefault="007A6E3D">
      <w:pPr>
        <w:pStyle w:val="RubrikUtanNr"/>
        <w:jc w:val="left"/>
      </w:pPr>
      <w:bookmarkStart w:id="183" w:name="_Toc526845474"/>
      <w:bookmarkStart w:id="184" w:name="_Toc526845796"/>
      <w:r w:rsidRPr="00780485">
        <w:t>Sammanfattning av remissyttranden över rapport 2000/01:12 Glesbygdsverkets roll i regionalpolitiken</w:t>
      </w:r>
      <w:bookmarkEnd w:id="183"/>
      <w:bookmarkEnd w:id="184"/>
    </w:p>
    <w:p w:rsidR="007A6E3D" w:rsidRPr="00780485" w:rsidRDefault="007A6E3D">
      <w:pPr>
        <w:pStyle w:val="RubrikUtanNr2"/>
        <w:jc w:val="left"/>
      </w:pPr>
      <w:bookmarkStart w:id="185" w:name="_Toc526845475"/>
      <w:bookmarkStart w:id="186" w:name="_Toc526845797"/>
      <w:r w:rsidRPr="00780485">
        <w:t>Remissyttranden</w:t>
      </w:r>
      <w:bookmarkEnd w:id="185"/>
      <w:bookmarkEnd w:id="186"/>
    </w:p>
    <w:p w:rsidR="007A6E3D" w:rsidRPr="00780485" w:rsidRDefault="007A6E3D">
      <w:r w:rsidRPr="00780485">
        <w:t>Följande instanser har yttrat sig med anledning av rapporten:</w:t>
      </w:r>
    </w:p>
    <w:p w:rsidR="007A6E3D" w:rsidRPr="00780485" w:rsidRDefault="007A6E3D">
      <w:r w:rsidRPr="00780485">
        <w:t xml:space="preserve">Glesbygdsverket </w:t>
      </w:r>
    </w:p>
    <w:p w:rsidR="007A6E3D" w:rsidRPr="00780485" w:rsidRDefault="007A6E3D">
      <w:r w:rsidRPr="00780485">
        <w:t>Konsumentverket</w:t>
      </w:r>
    </w:p>
    <w:p w:rsidR="007A6E3D" w:rsidRPr="00780485" w:rsidRDefault="007A6E3D">
      <w:r w:rsidRPr="00780485">
        <w:t>Institutet för tillväxtpolitiska studier (ITPS)</w:t>
      </w:r>
    </w:p>
    <w:p w:rsidR="007A6E3D" w:rsidRPr="00780485" w:rsidRDefault="007A6E3D">
      <w:r w:rsidRPr="00780485">
        <w:t>Verket för näringslivsutveckling (NUTEK)</w:t>
      </w:r>
    </w:p>
    <w:p w:rsidR="007A6E3D" w:rsidRPr="00780485" w:rsidRDefault="007A6E3D">
      <w:r w:rsidRPr="00780485">
        <w:t>Sametinget</w:t>
      </w:r>
    </w:p>
    <w:p w:rsidR="007A6E3D" w:rsidRPr="00780485" w:rsidRDefault="007A6E3D">
      <w:r w:rsidRPr="00780485">
        <w:t>Statens institut för kommunikationsanalys (SIKA)</w:t>
      </w:r>
    </w:p>
    <w:p w:rsidR="007A6E3D" w:rsidRPr="00780485" w:rsidRDefault="007A6E3D">
      <w:r w:rsidRPr="00780485">
        <w:t>Länsstyrelsen i Dalarnas län</w:t>
      </w:r>
    </w:p>
    <w:p w:rsidR="007A6E3D" w:rsidRPr="00780485" w:rsidRDefault="007A6E3D">
      <w:r w:rsidRPr="00780485">
        <w:t>Länsstyrelsen i Jämtlands län</w:t>
      </w:r>
    </w:p>
    <w:p w:rsidR="007A6E3D" w:rsidRPr="00780485" w:rsidRDefault="007A6E3D">
      <w:r w:rsidRPr="00780485">
        <w:t>Länsstyrelsen i Jönköpings län</w:t>
      </w:r>
    </w:p>
    <w:p w:rsidR="007A6E3D" w:rsidRPr="00780485" w:rsidRDefault="007A6E3D">
      <w:r w:rsidRPr="00780485">
        <w:t>Länsstyrelsen i Kronobergs län</w:t>
      </w:r>
    </w:p>
    <w:p w:rsidR="007A6E3D" w:rsidRPr="00780485" w:rsidRDefault="007A6E3D">
      <w:r w:rsidRPr="00780485">
        <w:t>Länsstyrelsen i Norrbottens län</w:t>
      </w:r>
    </w:p>
    <w:p w:rsidR="007A6E3D" w:rsidRPr="00780485" w:rsidRDefault="007A6E3D">
      <w:r w:rsidRPr="00780485">
        <w:t>Länsstyrelsen i Stockholms län</w:t>
      </w:r>
    </w:p>
    <w:p w:rsidR="007A6E3D" w:rsidRPr="00780485" w:rsidRDefault="007A6E3D">
      <w:r w:rsidRPr="00780485">
        <w:t>Länsstyrelsen i Västerbottens län</w:t>
      </w:r>
    </w:p>
    <w:p w:rsidR="007A6E3D" w:rsidRPr="00780485" w:rsidRDefault="007A6E3D">
      <w:r w:rsidRPr="00780485">
        <w:t>Västra Götalandsregionen</w:t>
      </w:r>
    </w:p>
    <w:p w:rsidR="007A6E3D" w:rsidRPr="00780485" w:rsidRDefault="007A6E3D">
      <w:r w:rsidRPr="00780485">
        <w:t>Folkrörelserådet hela Sverige ska leva</w:t>
      </w:r>
    </w:p>
    <w:p w:rsidR="007A6E3D" w:rsidRPr="00780485" w:rsidRDefault="007A6E3D">
      <w:r w:rsidRPr="00780485">
        <w:t>Kommunförbundet Jämtland</w:t>
      </w:r>
    </w:p>
    <w:p w:rsidR="007A6E3D" w:rsidRPr="00780485" w:rsidRDefault="007A6E3D">
      <w:r w:rsidRPr="00780485">
        <w:t>Kommunförbundet Västerbotten</w:t>
      </w:r>
    </w:p>
    <w:p w:rsidR="007A6E3D" w:rsidRPr="00780485" w:rsidRDefault="007A6E3D">
      <w:r w:rsidRPr="00780485">
        <w:t>Landstingsförbundet</w:t>
      </w:r>
    </w:p>
    <w:p w:rsidR="007A6E3D" w:rsidRPr="00780485" w:rsidRDefault="007A6E3D">
      <w:r w:rsidRPr="00780485">
        <w:t>Kommunförbundet</w:t>
      </w:r>
    </w:p>
    <w:p w:rsidR="007A6E3D" w:rsidRPr="00780485" w:rsidRDefault="007A6E3D">
      <w:r w:rsidRPr="00780485">
        <w:t>Skärgårdarnas riksförbund</w:t>
      </w:r>
    </w:p>
    <w:p w:rsidR="007A6E3D" w:rsidRPr="00780485" w:rsidRDefault="007A6E3D">
      <w:r w:rsidRPr="00780485">
        <w:t>SmåKom</w:t>
      </w:r>
    </w:p>
    <w:p w:rsidR="007A6E3D" w:rsidRPr="00780485" w:rsidRDefault="007A6E3D">
      <w:r w:rsidRPr="00780485">
        <w:t>Näringsdepartementet har beretts tillfälle men avstått från att yttra sig. Cen</w:t>
      </w:r>
      <w:r w:rsidRPr="00780485">
        <w:t>t</w:t>
      </w:r>
      <w:r w:rsidRPr="00780485">
        <w:t>rum för regional vetenskap vid Umeå universitet, Kommunförbundet Fyrb</w:t>
      </w:r>
      <w:r w:rsidRPr="00780485">
        <w:t>o</w:t>
      </w:r>
      <w:r w:rsidRPr="00780485">
        <w:t xml:space="preserve">dal och Kommunförbundet Norrbotten har inte svarat. </w:t>
      </w:r>
    </w:p>
    <w:p w:rsidR="007A6E3D" w:rsidRPr="00780485" w:rsidRDefault="007A6E3D">
      <w:r w:rsidRPr="00780485">
        <w:br w:type="page"/>
      </w:r>
    </w:p>
    <w:p w:rsidR="007A6E3D" w:rsidRPr="00780485" w:rsidRDefault="007A6E3D">
      <w:r w:rsidRPr="00780485">
        <w:t>Många remissinstanser har enbart tagit ställning till det övergripande försl</w:t>
      </w:r>
      <w:r w:rsidRPr="00780485">
        <w:t>a</w:t>
      </w:r>
      <w:r w:rsidRPr="00780485">
        <w:t>get om att regeringen bör ta initiativ till en översyn av Glesbygdsverkets roll i den regionalpolitiska myndighetsrollen. Ingen remissinstans säger sig vara emot förslaget. Flera instanser har lämnat synpunkter på inriktningen av en översyn och några har lämnat förslag på hur ett framtida uppdrag bör utfo</w:t>
      </w:r>
      <w:r w:rsidRPr="00780485">
        <w:t>r</w:t>
      </w:r>
      <w:r w:rsidRPr="00780485">
        <w:t>mas för en gle</w:t>
      </w:r>
      <w:r w:rsidRPr="00780485">
        <w:t>s</w:t>
      </w:r>
      <w:r w:rsidRPr="00780485">
        <w:t xml:space="preserve">bygdsmyndighet. </w:t>
      </w:r>
    </w:p>
    <w:p w:rsidR="007A6E3D" w:rsidRPr="00780485" w:rsidRDefault="007A6E3D">
      <w:pPr>
        <w:pStyle w:val="RubrikUtanNr2"/>
        <w:ind w:left="0" w:hanging="11"/>
        <w:jc w:val="left"/>
      </w:pPr>
      <w:bookmarkStart w:id="187" w:name="_Toc526845476"/>
      <w:bookmarkStart w:id="188" w:name="_Toc526845798"/>
      <w:r w:rsidRPr="00780485">
        <w:t>Synpunkter på det övergripande förslaget om att se över Glesbygdsverkets roll i regionalpolitiken</w:t>
      </w:r>
      <w:bookmarkEnd w:id="187"/>
      <w:bookmarkEnd w:id="188"/>
    </w:p>
    <w:p w:rsidR="007A6E3D" w:rsidRPr="00780485" w:rsidRDefault="007A6E3D">
      <w:pPr>
        <w:rPr>
          <w:i/>
        </w:rPr>
      </w:pPr>
      <w:r w:rsidRPr="00780485">
        <w:rPr>
          <w:i/>
        </w:rPr>
        <w:t>Revisorerna föreslår i rapporten att regeringen bör ta initiativ till en översyn av Glesbygdsverkets roll i den regionalpolitiska myndighetsorganisationen. I fokus för en sådan översyn bör regionalpolitiska problem som hänger sa</w:t>
      </w:r>
      <w:r w:rsidRPr="00780485">
        <w:rPr>
          <w:i/>
        </w:rPr>
        <w:t>m</w:t>
      </w:r>
      <w:r w:rsidRPr="00780485">
        <w:rPr>
          <w:i/>
        </w:rPr>
        <w:t>man med en gles befolkningsstruktur ställas. Översynen bör klargöra a</w:t>
      </w:r>
      <w:r w:rsidRPr="00780485">
        <w:rPr>
          <w:i/>
        </w:rPr>
        <w:t>n</w:t>
      </w:r>
      <w:r w:rsidRPr="00780485">
        <w:rPr>
          <w:i/>
        </w:rPr>
        <w:t>svarsfördelningen mellan de regionalpolitiska myndigheterna för att dels följa upp, dels främja den regionala välfärds- och tillväxtpolitiken ur ett glesbygds- och landsbygdsperspektiv. Vidare föreslås att det även bör ingå i översynen att kartlägga på vilket sätt de regionalpolitiska myndigheterna kan stödja de olika organ (kommuner, landsting, länsstyrelser, myndigheter etc.) som har betydelse för gles- och landsbygdens utveckling.</w:t>
      </w:r>
    </w:p>
    <w:p w:rsidR="007A6E3D" w:rsidRPr="00780485" w:rsidRDefault="007A6E3D">
      <w:pPr>
        <w:pStyle w:val="R3"/>
      </w:pPr>
      <w:r w:rsidRPr="00780485">
        <w:t>Gle</w:t>
      </w:r>
      <w:r w:rsidRPr="00780485">
        <w:t xml:space="preserve">sbygdsverket </w:t>
      </w:r>
    </w:p>
    <w:p w:rsidR="007A6E3D" w:rsidRPr="00780485" w:rsidRDefault="007A6E3D">
      <w:r w:rsidRPr="00780485">
        <w:t>Glesbygdsverket tillstyrker i allt väsentligt förslaget om att myndighetens roll i regionalpolitiken bör ses över. Verket påpekar att man redan innan revisorerna påbörjade sin granskning startat en dialog med Näringsdepart</w:t>
      </w:r>
      <w:r w:rsidRPr="00780485">
        <w:t>e</w:t>
      </w:r>
      <w:r w:rsidRPr="00780485">
        <w:t>mentet om en sådan översyn. Verket delar också uppfattningen att en öve</w:t>
      </w:r>
      <w:r w:rsidRPr="00780485">
        <w:t>r</w:t>
      </w:r>
      <w:r w:rsidRPr="00780485">
        <w:t xml:space="preserve">syn inte bara kan avse Glesbygdsverket utan måste ses i ett sammanhang med ansvarsfördelningen mellan alla regionalpolitiska aktör samt vilka mål och redskap som ska användas inom politikområdet. </w:t>
      </w:r>
    </w:p>
    <w:p w:rsidR="007A6E3D" w:rsidRPr="00780485" w:rsidRDefault="007A6E3D">
      <w:pPr>
        <w:pStyle w:val="R3"/>
      </w:pPr>
      <w:r w:rsidRPr="00780485">
        <w:t>Konsumentverket</w:t>
      </w:r>
    </w:p>
    <w:p w:rsidR="007A6E3D" w:rsidRPr="00780485" w:rsidRDefault="007A6E3D">
      <w:r w:rsidRPr="00780485">
        <w:t>Konsumentverket skriver att revisorernas generella skäl för en översyn av ansvarsfördelningen mellan Glesbygdsverket och andra myndigheter är relevanta. Regeringens förslag till regionalpolitiska mål och medel i 2001 års regionalpolitiska proposition bör enligt verket ligga till grund för en samlad bedömning av hur de regionalpolitiska myndigheternas verksamhet bäst kan stödja de olika organ som har betydelse för gles- och landsbygdens utvec</w:t>
      </w:r>
      <w:r w:rsidRPr="00780485">
        <w:t>k</w:t>
      </w:r>
      <w:r w:rsidRPr="00780485">
        <w:t>ling.</w:t>
      </w:r>
    </w:p>
    <w:p w:rsidR="007A6E3D" w:rsidRPr="00780485" w:rsidRDefault="007A6E3D">
      <w:pPr>
        <w:pStyle w:val="Normaltindrag"/>
      </w:pPr>
      <w:r w:rsidRPr="00780485">
        <w:t>Enligt Konsumentverket bör Glesbygdsverket även i framtiden ha en ce</w:t>
      </w:r>
      <w:r w:rsidRPr="00780485">
        <w:t>n</w:t>
      </w:r>
      <w:r w:rsidRPr="00780485">
        <w:t>tral roll som främjande och uppföljande myndighet med fokus på de vä</w:t>
      </w:r>
      <w:r w:rsidRPr="00780485">
        <w:t>l</w:t>
      </w:r>
      <w:r w:rsidRPr="00780485">
        <w:t xml:space="preserve">färds- och strukturpolitiska målen. </w:t>
      </w:r>
    </w:p>
    <w:p w:rsidR="007A6E3D" w:rsidRPr="00780485" w:rsidRDefault="007A6E3D">
      <w:pPr>
        <w:pStyle w:val="R3"/>
      </w:pPr>
      <w:r w:rsidRPr="00780485">
        <w:t>Institutet för tillväxtpolitiska studier</w:t>
      </w:r>
    </w:p>
    <w:p w:rsidR="007A6E3D" w:rsidRPr="00780485" w:rsidRDefault="007A6E3D">
      <w:r w:rsidRPr="00780485">
        <w:t>Institutet för tillväxtpolitiska studier (ITPS) instämmer i revisorernas förslag om en översyn. En påtalad brist på uppföljningsbara mål för myndigheten måste avhjälpas. Översynen bör enligt institutet klarlägga ansvarsfördelnin</w:t>
      </w:r>
      <w:r w:rsidRPr="00780485">
        <w:t>g</w:t>
      </w:r>
      <w:r w:rsidRPr="00780485">
        <w:t>en mellan Glesbygdsverket och övriga myndigheter som hanterar närali</w:t>
      </w:r>
      <w:r w:rsidRPr="00780485">
        <w:t>g</w:t>
      </w:r>
      <w:r w:rsidRPr="00780485">
        <w:t>gande frågor. ITPS skriver att det numera är möjligt att inom regionalpolit</w:t>
      </w:r>
      <w:r w:rsidRPr="00780485">
        <w:t>i</w:t>
      </w:r>
      <w:r w:rsidRPr="00780485">
        <w:t>ken skilja mellan uppgifter som är rent tillväxtpolitiskt motiverade och de som är fördelningspolitiskt motiverade. ITPS, NUTEK och VINNOVA verkar på det tillväxtpolitiska området. Glesbygdsverkets framtida mandat bör enligt ITPS stramas upp till att avse insatser inom det fördelningspoliti</w:t>
      </w:r>
      <w:r w:rsidRPr="00780485">
        <w:t>s</w:t>
      </w:r>
      <w:r w:rsidRPr="00780485">
        <w:t>ka området. Enligt ITPS mening bör en översyn inte resultera i ett förslag</w:t>
      </w:r>
      <w:r w:rsidRPr="00780485">
        <w:t xml:space="preserve"> som skapar en myndighet för att behandla ett problem i en viss bebyggels</w:t>
      </w:r>
      <w:r w:rsidRPr="00780485">
        <w:t>e</w:t>
      </w:r>
      <w:r w:rsidRPr="00780485">
        <w:t>struktur medan andra myndigheter redan har till uppgift att behandla samma problem i övr</w:t>
      </w:r>
      <w:r w:rsidRPr="00780485">
        <w:t>i</w:t>
      </w:r>
      <w:r w:rsidRPr="00780485">
        <w:t>ga Sverige.</w:t>
      </w:r>
    </w:p>
    <w:p w:rsidR="007A6E3D" w:rsidRPr="00780485" w:rsidRDefault="007A6E3D">
      <w:pPr>
        <w:pStyle w:val="R3"/>
      </w:pPr>
      <w:r w:rsidRPr="00780485">
        <w:t>Verket för näringslivsutveckling</w:t>
      </w:r>
    </w:p>
    <w:p w:rsidR="007A6E3D" w:rsidRPr="00780485" w:rsidRDefault="007A6E3D">
      <w:r w:rsidRPr="00780485">
        <w:t>Verket för näringslivsutveckling (NUTEK) tillstyrker en översyn av Gle</w:t>
      </w:r>
      <w:r w:rsidRPr="00780485">
        <w:t>s</w:t>
      </w:r>
      <w:r w:rsidRPr="00780485">
        <w:t>bygdsverkets uppdrag men vill begränsa översynen jämfört med revisorernas förslag. Myndigheten instämmer i bedömningen att det är viktigt att definiera ansvarsfördelningen mellan Glesbygdsverket och den uppföljnings- och utvärderingsverksamhet som kommer att bedrivas av ITPS. NUTEK anser inte att det för närvarande förekommer något dubbelarbete mellan Gle</w:t>
      </w:r>
      <w:r w:rsidRPr="00780485">
        <w:t>s</w:t>
      </w:r>
      <w:r w:rsidRPr="00780485">
        <w:t xml:space="preserve">bygdsverket och NUTEK. </w:t>
      </w:r>
    </w:p>
    <w:p w:rsidR="007A6E3D" w:rsidRPr="00780485" w:rsidRDefault="007A6E3D">
      <w:pPr>
        <w:pStyle w:val="Normaltindrag"/>
      </w:pPr>
      <w:r w:rsidRPr="00780485">
        <w:t>Verket har viss förståelse för revisorernas uppfattning att Glesbygdsverket borde ha innefattats av den omorganisation som genomf</w:t>
      </w:r>
      <w:r w:rsidRPr="00780485">
        <w:t>örts inom det regi</w:t>
      </w:r>
      <w:r w:rsidRPr="00780485">
        <w:t>o</w:t>
      </w:r>
      <w:r w:rsidRPr="00780485">
        <w:t>nalpolitiska området. Verket skriver att det samtidigt kan konstatera att Gle</w:t>
      </w:r>
      <w:r w:rsidRPr="00780485">
        <w:t>s</w:t>
      </w:r>
      <w:r w:rsidRPr="00780485">
        <w:t>bygdsverkets ansvarsområde i huvudsak definieras av statens behov av en myndighet med särskild uppgift att analysera och påverka levnadsförhålla</w:t>
      </w:r>
      <w:r w:rsidRPr="00780485">
        <w:t>n</w:t>
      </w:r>
      <w:r w:rsidRPr="00780485">
        <w:t>den för gles- och landsbygdsbefolkningen. Som framgår av rapporten har detta i praktiken inneburit att Glesbygdsverket koncentrerat sina insatser till välfärds- och servicefrågorna inom de berörda geografiska områdena. Mot bakgrund av myndighetsreformens tydliga ambitio</w:t>
      </w:r>
      <w:r w:rsidRPr="00780485">
        <w:t>n att medverka till större tillväxt kan gränssnitten mot Glesbygdsverkets nuvarande verksamhetsomr</w:t>
      </w:r>
      <w:r w:rsidRPr="00780485">
        <w:t>å</w:t>
      </w:r>
      <w:r w:rsidRPr="00780485">
        <w:t xml:space="preserve">den enligt NUTEK i praktiken anses vara av mindre betydelse. En eventuell översyn av Glesbygdsverkets roll bör, anser NUTEK, utgå från detta synsätt. </w:t>
      </w:r>
    </w:p>
    <w:p w:rsidR="007A6E3D" w:rsidRPr="00780485" w:rsidRDefault="007A6E3D">
      <w:pPr>
        <w:pStyle w:val="Normaltindrag"/>
      </w:pPr>
      <w:r w:rsidRPr="00780485">
        <w:t>NUTEK anser det vara tveksamt att föra in det operativa arbetet med til</w:t>
      </w:r>
      <w:r w:rsidRPr="00780485">
        <w:t>l</w:t>
      </w:r>
      <w:r w:rsidRPr="00780485">
        <w:t xml:space="preserve">växtfrågorna, dvs. insatser direkt i företagen eller inom infrastrukturen av betydelse för företagen, i den föreslagna översynen. Detta är en begränsning i förhållande till den översyn som föreslås av Riksdagens revisorer. Verket menar att ytterligare reformer inom det tillväxtpolitiska området riskerar att ytterligare komplicera förutsättningarna för det omställningsarbete som pågår till nackdel för verksamhetens syfte. </w:t>
      </w:r>
    </w:p>
    <w:p w:rsidR="007A6E3D" w:rsidRPr="00780485" w:rsidRDefault="007A6E3D">
      <w:pPr>
        <w:pStyle w:val="R3"/>
      </w:pPr>
      <w:r w:rsidRPr="00780485">
        <w:t>Sametinget</w:t>
      </w:r>
    </w:p>
    <w:p w:rsidR="007A6E3D" w:rsidRPr="00780485" w:rsidRDefault="007A6E3D">
      <w:r w:rsidRPr="00780485">
        <w:t>Sametinget skriver att de inte har någon avvikande syn i någon del av ra</w:t>
      </w:r>
      <w:r w:rsidRPr="00780485">
        <w:t>p</w:t>
      </w:r>
      <w:r w:rsidRPr="00780485">
        <w:t>porten.</w:t>
      </w:r>
    </w:p>
    <w:p w:rsidR="007A6E3D" w:rsidRPr="00780485" w:rsidRDefault="007A6E3D">
      <w:pPr>
        <w:pStyle w:val="R3"/>
      </w:pPr>
      <w:r w:rsidRPr="00780485">
        <w:t>Statens institut för kommunikationsanalys</w:t>
      </w:r>
    </w:p>
    <w:p w:rsidR="007A6E3D" w:rsidRPr="00780485" w:rsidRDefault="007A6E3D">
      <w:r w:rsidRPr="00780485">
        <w:t>Statens institut för kommunikationsanalys (SIKA) ser det som naturligt att se över Glesbygdsverkets uppgifter med hänsyn till de förändringar som skett när det gäller inriktningen av regionalpolitiken och myndighetsorganisati</w:t>
      </w:r>
      <w:r w:rsidRPr="00780485">
        <w:t>o</w:t>
      </w:r>
      <w:r w:rsidRPr="00780485">
        <w:t xml:space="preserve">nen. </w:t>
      </w:r>
    </w:p>
    <w:p w:rsidR="007A6E3D" w:rsidRPr="00780485" w:rsidRDefault="007A6E3D">
      <w:pPr>
        <w:pStyle w:val="R3"/>
      </w:pPr>
      <w:r w:rsidRPr="00780485">
        <w:t>Länsstyrelsen i Dalarnas län</w:t>
      </w:r>
    </w:p>
    <w:p w:rsidR="007A6E3D" w:rsidRPr="00780485" w:rsidRDefault="007A6E3D">
      <w:r w:rsidRPr="00780485">
        <w:t>Länsstyrelsen i Dalarnas län stödjer revisorernas uppfattning att Glesbygd</w:t>
      </w:r>
      <w:r w:rsidRPr="00780485">
        <w:t>s</w:t>
      </w:r>
      <w:r w:rsidRPr="00780485">
        <w:t>verkets roll är otydlig och behöver klarläggas i relation till den regionalpol</w:t>
      </w:r>
      <w:r w:rsidRPr="00780485">
        <w:t>i</w:t>
      </w:r>
      <w:r w:rsidRPr="00780485">
        <w:t>tiska myndighetsstrukturen i övrigt. En viktig beståndsdel i den föreslagna översynen är att se hur Glesbygdsverket på ett bättre sätt än hittills ska kunna vara ett stöd för länsstyrelserna och andra regionala organ i arbetet med glesbygdsfrågor i bl.a. tillväxtarbetet. Länsstyren instämmer i uppgifterna om att efterfrågan på Glesbygdsverket i arbetet med tillväxtavtalen varit små. Enligt länsstyrelsen är efterfrågan på Glesbyg</w:t>
      </w:r>
      <w:r w:rsidRPr="00780485">
        <w:t>dsverkets insatser även i övrigt låga. Undantag, som insatser inom gemensamhetsinitiativet LEADER, finns eller har funnits. Länsstyrelsen har den allmänna uppfattningen att Gle</w:t>
      </w:r>
      <w:r w:rsidRPr="00780485">
        <w:t>s</w:t>
      </w:r>
      <w:r w:rsidRPr="00780485">
        <w:t>bygdsverket i sin nuvarande roll blivit relativt anonymt och att avsaknaden av medel för egna initiativ eller deltagande i projekt och studier av gle</w:t>
      </w:r>
      <w:r w:rsidRPr="00780485">
        <w:t>s</w:t>
      </w:r>
      <w:r w:rsidRPr="00780485">
        <w:t xml:space="preserve">bygdsförhållanden bidragit till detta. </w:t>
      </w:r>
    </w:p>
    <w:p w:rsidR="007A6E3D" w:rsidRPr="00780485" w:rsidRDefault="007A6E3D">
      <w:pPr>
        <w:pStyle w:val="R3"/>
      </w:pPr>
      <w:r w:rsidRPr="00780485">
        <w:t>Länsstyrelsen i Jämtlands län</w:t>
      </w:r>
    </w:p>
    <w:p w:rsidR="007A6E3D" w:rsidRPr="00780485" w:rsidRDefault="007A6E3D">
      <w:r w:rsidRPr="00780485">
        <w:t>Länsstyrelsen i Jämtlands län delar revisorernas åsikt att regeringen bör ta initiativ till en översyn av Glesbygdsverkets roll i den regionalpolitiska my</w:t>
      </w:r>
      <w:r w:rsidRPr="00780485">
        <w:t>n</w:t>
      </w:r>
      <w:r w:rsidRPr="00780485">
        <w:t xml:space="preserve">dighetsorganisationen. Länsstyrelsen stöder även revisorernas förslag på översynens inriktning. </w:t>
      </w:r>
    </w:p>
    <w:p w:rsidR="007A6E3D" w:rsidRPr="00780485" w:rsidRDefault="007A6E3D">
      <w:pPr>
        <w:pStyle w:val="Normaltindrag"/>
      </w:pPr>
      <w:r w:rsidRPr="00780485">
        <w:t>Angående Glesbygdsverkets framtida roll skriver länsstyrelsen att den främst torde bli att följa och främja regionalpolitiska hänsyn utifrån gles befolkningsstruktur inom sektorspolitiken men även att främja välfärdspol</w:t>
      </w:r>
      <w:r w:rsidRPr="00780485">
        <w:t>i</w:t>
      </w:r>
      <w:r w:rsidRPr="00780485">
        <w:t>tik i gles- och landsbygd. Länsstyrelsen i Jämtland ser framför allt vikten av att utveckla samverkan mellan ITPS och Glesbygdsverket för att kunna följa den regi</w:t>
      </w:r>
      <w:r w:rsidRPr="00780485">
        <w:t>o</w:t>
      </w:r>
      <w:r w:rsidRPr="00780485">
        <w:t xml:space="preserve">nalpolitiska utvecklingen ur ett helhetsperspektiv. </w:t>
      </w:r>
    </w:p>
    <w:p w:rsidR="007A6E3D" w:rsidRPr="00780485" w:rsidRDefault="007A6E3D">
      <w:pPr>
        <w:pStyle w:val="Normaltindrag"/>
      </w:pPr>
      <w:r w:rsidRPr="00780485">
        <w:t>Länsstyrelsen anser att det behövs en sektorsövergripande myndighet när det gäller glesbygds- och landsbygdsutveckling. Det är enligt länsstyrelsens bedömning också viktigt att någon central myndighet analyserar och följer hur olika politiska beslut påverkar glesbygden och vilken effekt sektors</w:t>
      </w:r>
      <w:r w:rsidRPr="00780485">
        <w:t>pol</w:t>
      </w:r>
      <w:r w:rsidRPr="00780485">
        <w:t>i</w:t>
      </w:r>
      <w:r w:rsidRPr="00780485">
        <w:t>tiken får. Glesbygdsverket bör vidare kunna spela en viktig roll för att främja välfärdspolitiken i glesbygd genom samarbetet med centrala verk, regionala och lokala myndigheter samt ideella organisationer. En viktig del i ett sådant arbete skulle enligt länsstyrelsen även kunna vara att medverka i och stödja pilotstudier, metodutveckling och m</w:t>
      </w:r>
      <w:r w:rsidRPr="00780485">
        <w:t>o</w:t>
      </w:r>
      <w:r w:rsidRPr="00780485">
        <w:t xml:space="preserve">deller för uppföljning och utveckling. </w:t>
      </w:r>
    </w:p>
    <w:p w:rsidR="007A6E3D" w:rsidRPr="00780485" w:rsidRDefault="007A6E3D">
      <w:pPr>
        <w:pStyle w:val="R3"/>
      </w:pPr>
      <w:r w:rsidRPr="00780485">
        <w:t>Länsstyrelsen i Jönköpings län</w:t>
      </w:r>
    </w:p>
    <w:p w:rsidR="007A6E3D" w:rsidRPr="00780485" w:rsidRDefault="007A6E3D">
      <w:r w:rsidRPr="00780485">
        <w:t>Länsstyrelsen i Jönköpings län ansluter sig till förslaget om att regeringen bör ta initiativet till en översyn av Glesbygdsverkets roll i den regionalpol</w:t>
      </w:r>
      <w:r w:rsidRPr="00780485">
        <w:t>i</w:t>
      </w:r>
      <w:r w:rsidRPr="00780485">
        <w:t xml:space="preserve">tiska myndighetsorganisationen. </w:t>
      </w:r>
    </w:p>
    <w:p w:rsidR="007A6E3D" w:rsidRPr="00780485" w:rsidRDefault="007A6E3D">
      <w:pPr>
        <w:pStyle w:val="R3"/>
      </w:pPr>
      <w:r w:rsidRPr="00780485">
        <w:t>Länsstyrelsen i Kronobergs län</w:t>
      </w:r>
    </w:p>
    <w:p w:rsidR="007A6E3D" w:rsidRPr="00780485" w:rsidRDefault="007A6E3D">
      <w:r w:rsidRPr="00780485">
        <w:t>Länsstyrelsen i Kronobergs län framhåller vikten av att det finns en statlig myndighet, vars uppgift är att bevaka, utreda och föreslå åtgärder till gagn för gles- och landsbygden på samma sätt som det finns t.ex. jämställdhets- och barno</w:t>
      </w:r>
      <w:r w:rsidRPr="00780485">
        <w:t>m</w:t>
      </w:r>
      <w:r w:rsidRPr="00780485">
        <w:t xml:space="preserve">budsmän. </w:t>
      </w:r>
    </w:p>
    <w:p w:rsidR="007A6E3D" w:rsidRPr="00780485" w:rsidRDefault="007A6E3D">
      <w:pPr>
        <w:pStyle w:val="R3"/>
      </w:pPr>
      <w:r w:rsidRPr="00780485">
        <w:t>Länsstyrelsen i Norrbottens län</w:t>
      </w:r>
    </w:p>
    <w:p w:rsidR="007A6E3D" w:rsidRPr="00780485" w:rsidRDefault="007A6E3D">
      <w:r w:rsidRPr="00780485">
        <w:t xml:space="preserve">Länsstyrelsen i Norrbottens län tillstyrker förslaget om att göra en översyn av Glesbygdsverkets roll i den regionalpolitiska myndighetsorganisationen. </w:t>
      </w:r>
    </w:p>
    <w:p w:rsidR="007A6E3D" w:rsidRPr="00780485" w:rsidRDefault="007A6E3D">
      <w:pPr>
        <w:pStyle w:val="Normaltindrag"/>
      </w:pPr>
      <w:r w:rsidRPr="00780485">
        <w:t>Länsstyrelsen ser Glesbygdsverkets uppdrag att verka för sektorssamor</w:t>
      </w:r>
      <w:r w:rsidRPr="00780485">
        <w:t>d</w:t>
      </w:r>
      <w:r w:rsidRPr="00780485">
        <w:t>ning av centrala statliga organ som en mycket angelägen uppgift och ser gärna att detta uppdrag får en större tyngd. Vidare framförs att Glesbygd</w:t>
      </w:r>
      <w:r w:rsidRPr="00780485">
        <w:t>s</w:t>
      </w:r>
      <w:r w:rsidRPr="00780485">
        <w:t>verket skulle kunna ha en tydligare roll i kompetensutveckling av länsstyre</w:t>
      </w:r>
      <w:r w:rsidRPr="00780485">
        <w:t>l</w:t>
      </w:r>
      <w:r w:rsidRPr="00780485">
        <w:t>sernas handlägg</w:t>
      </w:r>
      <w:r w:rsidRPr="00780485">
        <w:t>a</w:t>
      </w:r>
      <w:r w:rsidRPr="00780485">
        <w:t xml:space="preserve">re som arbetar med landsbygdsutveckling. </w:t>
      </w:r>
    </w:p>
    <w:p w:rsidR="007A6E3D" w:rsidRPr="00780485" w:rsidRDefault="007A6E3D">
      <w:pPr>
        <w:pStyle w:val="R3"/>
      </w:pPr>
      <w:r w:rsidRPr="00780485">
        <w:t>Länsstyrelsen i Stockholms län</w:t>
      </w:r>
    </w:p>
    <w:p w:rsidR="007A6E3D" w:rsidRPr="00780485" w:rsidRDefault="007A6E3D">
      <w:r w:rsidRPr="00780485">
        <w:t>Länsstyrelsen i Stockholms län instämmer i revisorernas konstaterande att förutsättningarna har ändrats för den samordnande och främjande uppgift som åvilar Gle</w:t>
      </w:r>
      <w:r w:rsidRPr="00780485">
        <w:t>s</w:t>
      </w:r>
      <w:r w:rsidRPr="00780485">
        <w:t xml:space="preserve">bygdsverket. </w:t>
      </w:r>
    </w:p>
    <w:p w:rsidR="007A6E3D" w:rsidRPr="00780485" w:rsidRDefault="007A6E3D">
      <w:pPr>
        <w:pStyle w:val="Normaltindrag"/>
      </w:pPr>
      <w:r w:rsidRPr="00780485">
        <w:t>Länsstyrelsen skriver att den bild som framtonar ur rapporten är att Gle</w:t>
      </w:r>
      <w:r w:rsidRPr="00780485">
        <w:t>s</w:t>
      </w:r>
      <w:r w:rsidRPr="00780485">
        <w:t>bygdsverkets funktion i nuläget närmast är den av en påtryckarorganisation för större resurser till glesbygden. Länsstyrelsen har svårt att se att det krävs en särskild myndighet för att påminna regering och riksdag om att ta hänsyn till gles- och landsbygdsbefolkningen. Den konstaterar vidare att Glesbygd</w:t>
      </w:r>
      <w:r w:rsidRPr="00780485">
        <w:t>s</w:t>
      </w:r>
      <w:r w:rsidRPr="00780485">
        <w:t>verkets budget på 25 miljoner kronor är ungefär tio gånger så stor som det statliga glesbygdsstödet till landets största skärgårdsområden (Stockholms skärgård). Länsstyrelsen anser inte att en sådan resu</w:t>
      </w:r>
      <w:r w:rsidRPr="00780485">
        <w:t>rsfördelning kan försv</w:t>
      </w:r>
      <w:r w:rsidRPr="00780485">
        <w:t>a</w:t>
      </w:r>
      <w:r w:rsidRPr="00780485">
        <w:t>ras och föreslår därför att Gle</w:t>
      </w:r>
      <w:r w:rsidRPr="00780485">
        <w:t>s</w:t>
      </w:r>
      <w:r w:rsidRPr="00780485">
        <w:t xml:space="preserve">bygdsverket avvecklas. </w:t>
      </w:r>
    </w:p>
    <w:p w:rsidR="007A6E3D" w:rsidRPr="00780485" w:rsidRDefault="007A6E3D">
      <w:pPr>
        <w:pStyle w:val="R3"/>
      </w:pPr>
      <w:r w:rsidRPr="00780485">
        <w:t>Länsstyrelsen Västerbottens län</w:t>
      </w:r>
    </w:p>
    <w:p w:rsidR="007A6E3D" w:rsidRPr="00780485" w:rsidRDefault="007A6E3D">
      <w:pPr>
        <w:shd w:val="clear" w:color="auto" w:fill="FFFFFF"/>
      </w:pPr>
      <w:r w:rsidRPr="00780485">
        <w:t xml:space="preserve">Länsstyrelsen Västerbottens län stöder revisorernas förslag om en översyn av Glesbygdsverket och förslagen på inriktning av översynen. </w:t>
      </w:r>
    </w:p>
    <w:p w:rsidR="007A6E3D" w:rsidRPr="00780485" w:rsidRDefault="007A6E3D">
      <w:pPr>
        <w:pStyle w:val="Normaltindrag"/>
      </w:pPr>
      <w:r w:rsidRPr="00780485">
        <w:t>Länsstyrelsen i Västerbotten efterlyser fler konkreta förslag till förändring av Glesbygdsverkets uppdrag i revisorernas rapport. De efterlyser också en djupare diskussion om huruvida Glesbygdsverkets uppgifter bör bestå eller om andra alternativ skulle ge en bättre kraft till glesbygdsfrågorna. Särskilt vill man understryka vikten av att undersöka huruvida Glesbygdsverket lyckats med att påminna andra aktörer att ta hänsyn till gles- och land</w:t>
      </w:r>
      <w:r w:rsidRPr="00780485">
        <w:t>s</w:t>
      </w:r>
      <w:r w:rsidRPr="00780485">
        <w:t>bygdsbefolkningen. Länsstyrelsen undrar om denna uppgift kan påverka andra myndigheters beaktande av gles- och landsbygden negativt och om det i stället vore bättre att uppgiften låg på alla myndigheter som arbetar med regiona</w:t>
      </w:r>
      <w:r w:rsidRPr="00780485">
        <w:t>l</w:t>
      </w:r>
      <w:r w:rsidRPr="00780485">
        <w:t xml:space="preserve">politik. </w:t>
      </w:r>
    </w:p>
    <w:p w:rsidR="007A6E3D" w:rsidRPr="00780485" w:rsidRDefault="007A6E3D">
      <w:pPr>
        <w:pStyle w:val="R3"/>
      </w:pPr>
      <w:r w:rsidRPr="00780485">
        <w:t xml:space="preserve">Västra Götalandsregionen </w:t>
      </w:r>
    </w:p>
    <w:p w:rsidR="007A6E3D" w:rsidRPr="00780485" w:rsidRDefault="007A6E3D">
      <w:r w:rsidRPr="00780485">
        <w:t>Västra Götalandsregionen tillstyrker revisorernas förslag om en översyn av Glesbygdsverkets roll. Glesbygds- och landsbygdsfrågor är en integrerad del av den lokala och regionala utvecklingen. Enligt styrelsen bör översynen göras med inriktning mot att bättre integrera dessa frågor i den övergripande tillväxt- och utvecklingspolitiken och mot att säkerställa en lokal och regi</w:t>
      </w:r>
      <w:r w:rsidRPr="00780485">
        <w:t>o</w:t>
      </w:r>
      <w:r w:rsidRPr="00780485">
        <w:t>nal förankring av politikens geno</w:t>
      </w:r>
      <w:r w:rsidRPr="00780485">
        <w:t>m</w:t>
      </w:r>
      <w:r w:rsidRPr="00780485">
        <w:t xml:space="preserve">förande. </w:t>
      </w:r>
    </w:p>
    <w:p w:rsidR="007A6E3D" w:rsidRPr="00780485" w:rsidRDefault="007A6E3D">
      <w:pPr>
        <w:pStyle w:val="Normaltindrag"/>
      </w:pPr>
      <w:r w:rsidRPr="00780485">
        <w:t>Västra Götalandsregionen ser det som en naturlig följd av närings- och r</w:t>
      </w:r>
      <w:r w:rsidRPr="00780485">
        <w:t>e</w:t>
      </w:r>
      <w:r w:rsidRPr="00780485">
        <w:t>gionalpolitikens mordernisering att Glesbygdsverket i dag saknar egna u</w:t>
      </w:r>
      <w:r w:rsidRPr="00780485">
        <w:t>t</w:t>
      </w:r>
      <w:r w:rsidRPr="00780485">
        <w:t xml:space="preserve">vecklingsmedel. Regionstyrelsen skriver att Glesbygdsverkets roll numera måste beskrivas som högst oklar eftersom Glesbygdsverket även saknar egentliga mål. Enligt styrelsens uppfattning är den nuvarande organisationen ett uttryck för en alltför sektorsbunden syn på tillväxt och utveckling. </w:t>
      </w:r>
    </w:p>
    <w:p w:rsidR="007A6E3D" w:rsidRPr="00780485" w:rsidRDefault="007A6E3D">
      <w:pPr>
        <w:pStyle w:val="Normaltindrag"/>
      </w:pPr>
      <w:r w:rsidRPr="00780485">
        <w:t>Regionstyrelsen skriver att det är angeläget att utvecklingen med ökat r</w:t>
      </w:r>
      <w:r w:rsidRPr="00780485">
        <w:t>e</w:t>
      </w:r>
      <w:r w:rsidRPr="00780485">
        <w:t>gionalt självstyre och verksamheten inom de regionala tillväxtavtalen får fortsätta. En lokalt och regionalt förankrad och samordnad utvecklingspolitik är, enligt deras mening, en förutsättning för tillväxt och möjliggör, genom direkt demokratisk förankring, att lokala och regionala utvecklingsresurser kan mob</w:t>
      </w:r>
      <w:r w:rsidRPr="00780485">
        <w:t>i</w:t>
      </w:r>
      <w:r w:rsidRPr="00780485">
        <w:t xml:space="preserve">liseras. </w:t>
      </w:r>
    </w:p>
    <w:p w:rsidR="007A6E3D" w:rsidRPr="00780485" w:rsidRDefault="007A6E3D">
      <w:pPr>
        <w:pStyle w:val="R3"/>
      </w:pPr>
      <w:r w:rsidRPr="00780485">
        <w:t>Folkrörelserådet hela Sverige ska leva</w:t>
      </w:r>
    </w:p>
    <w:p w:rsidR="007A6E3D" w:rsidRPr="00780485" w:rsidRDefault="007A6E3D">
      <w:r w:rsidRPr="00780485">
        <w:t>Folkrörelserådet hela Sverige ska leva ställer sig bakom de synpunkter som framförs i rapporten och tillstyrker förslaget om att regeringen bör ta initiativ till en översyn av Glesbygdsverkets roll inom den regionalpolitiska myndi</w:t>
      </w:r>
      <w:r w:rsidRPr="00780485">
        <w:t>g</w:t>
      </w:r>
      <w:r w:rsidRPr="00780485">
        <w:t>hetsorganisationen.</w:t>
      </w:r>
    </w:p>
    <w:p w:rsidR="007A6E3D" w:rsidRPr="00780485" w:rsidRDefault="007A6E3D">
      <w:pPr>
        <w:pStyle w:val="R3"/>
      </w:pPr>
      <w:r w:rsidRPr="00780485">
        <w:t>Kommunförbundet Jämtlands län</w:t>
      </w:r>
    </w:p>
    <w:p w:rsidR="007A6E3D" w:rsidRPr="00780485" w:rsidRDefault="007A6E3D">
      <w:r w:rsidRPr="00780485">
        <w:t>Kommunförbundet Jämtlands län anser att Glesbygdsverket är lämpligt att vara riksdagens aktör som analyserar och utvärderar regionalpolitiska ko</w:t>
      </w:r>
      <w:r w:rsidRPr="00780485">
        <w:t>n</w:t>
      </w:r>
      <w:r w:rsidRPr="00780485">
        <w:t>sekvenser av olika statliga beslut. Förbundet anser att Glesbygdsverket bör stärkas för att kunna arbeta ännu mer med analyser, utvärderingar och up</w:t>
      </w:r>
      <w:r w:rsidRPr="00780485">
        <w:t>p</w:t>
      </w:r>
      <w:r w:rsidRPr="00780485">
        <w:t>följningar. Förbundet skriver att det anser att nationella mål som fastställs för regioner/lokala arbetsmarknader ska följas upp av Glesbygdsverket. Gle</w:t>
      </w:r>
      <w:r w:rsidRPr="00780485">
        <w:t>s</w:t>
      </w:r>
      <w:r w:rsidRPr="00780485">
        <w:t>bygdsverket bör även göra analyser av vilka nationellt riktade åtgärder som behöver vidtas i särskilt utsatta områden. Detta bör enligt förbundet ske i en dialog i form av utvecklingsavtal/tillväxtavtal med be</w:t>
      </w:r>
      <w:r w:rsidRPr="00780485">
        <w:t>rörda regi</w:t>
      </w:r>
      <w:r w:rsidRPr="00780485">
        <w:t>o</w:t>
      </w:r>
      <w:r w:rsidRPr="00780485">
        <w:t>ner/-områden.</w:t>
      </w:r>
    </w:p>
    <w:p w:rsidR="007A6E3D" w:rsidRPr="00780485" w:rsidRDefault="007A6E3D">
      <w:pPr>
        <w:pStyle w:val="R3"/>
      </w:pPr>
      <w:r w:rsidRPr="00780485">
        <w:t>Kommunförbundet Västerbotten</w:t>
      </w:r>
    </w:p>
    <w:p w:rsidR="007A6E3D" w:rsidRPr="00780485" w:rsidRDefault="007A6E3D">
      <w:r w:rsidRPr="00780485">
        <w:t>Kommunförbundet Västerbotten skriver att de delar revisorernas slutsats att en översyn bör göras av Glesbygdsverket och dess roll i den regionalpolitiska myndighetsorganisationen. Tydliga och uppföljningsbara mål för myndigh</w:t>
      </w:r>
      <w:r w:rsidRPr="00780485">
        <w:t>e</w:t>
      </w:r>
      <w:r w:rsidRPr="00780485">
        <w:t xml:space="preserve">tens verksamhet måste anges och avgränsningar till andra myndigheters verksamhet tydliggöras. </w:t>
      </w:r>
    </w:p>
    <w:p w:rsidR="007A6E3D" w:rsidRPr="00780485" w:rsidRDefault="007A6E3D">
      <w:pPr>
        <w:pStyle w:val="R3"/>
      </w:pPr>
      <w:r w:rsidRPr="00780485">
        <w:t>Landstingsförbundet och Svenska Kommunförbundet</w:t>
      </w:r>
    </w:p>
    <w:p w:rsidR="007A6E3D" w:rsidRPr="00780485" w:rsidRDefault="007A6E3D">
      <w:r w:rsidRPr="00780485">
        <w:t>Landstingsförbundet och Svenska Kommunförbundet har lämnat ett geme</w:t>
      </w:r>
      <w:r w:rsidRPr="00780485">
        <w:t>n</w:t>
      </w:r>
      <w:r w:rsidRPr="00780485">
        <w:t>samt svar. De instämmer i revisorernas bedömning att en översyn bör ske av Glesbygdsverkets roll i regionalpolitiken. I svaret pekar man på den regi</w:t>
      </w:r>
      <w:r w:rsidRPr="00780485">
        <w:t>o</w:t>
      </w:r>
      <w:r w:rsidRPr="00780485">
        <w:t>nala och lokala nivåns ökande betydelse för tillväxt, utveckling och välfärd. Enligt förbundens mening måste en översyn av Glesbygdsverkets uppdrag tydligt ta fasta på denna utveckling och de nya förutsättningar som därmed skapas. Förbunden menar att de gles- och landsbygdspolitiska perspektiven måste bli en integrerad del av det alltmer kommunalt förankrade l</w:t>
      </w:r>
      <w:r w:rsidRPr="00780485">
        <w:t>okala och regionala utvecklingsansvaret.</w:t>
      </w:r>
    </w:p>
    <w:p w:rsidR="007A6E3D" w:rsidRPr="00780485" w:rsidRDefault="007A6E3D">
      <w:pPr>
        <w:pStyle w:val="R3"/>
      </w:pPr>
      <w:r w:rsidRPr="00780485">
        <w:t>Skärgårdarnas riksförbund</w:t>
      </w:r>
    </w:p>
    <w:p w:rsidR="007A6E3D" w:rsidRPr="00780485" w:rsidRDefault="007A6E3D">
      <w:r w:rsidRPr="00780485">
        <w:t>Skärgårdarnas riksförbund skriver att det kan tyckas att Glesbygdsverkets uppdrag är diffust i och med att man inte har ett tydligt sektorsansvar. Men det är enligt förbundet just denna övergripande syn som är skärgårdsbornas värn. Förbundet skriver att det är mycket positivt till det arbete som sker inom Glesbygdsverket och gärna ser att verket stärks ytterligare för sin up</w:t>
      </w:r>
      <w:r w:rsidRPr="00780485">
        <w:t>p</w:t>
      </w:r>
      <w:r w:rsidRPr="00780485">
        <w:t>gift. Riksförbundet vill ha kvar en myndighet som det tycker karakteriseras av analys och överblick och som även vågar stå upp för det inopportuna.</w:t>
      </w:r>
    </w:p>
    <w:p w:rsidR="007A6E3D" w:rsidRPr="00780485" w:rsidRDefault="007A6E3D">
      <w:pPr>
        <w:pStyle w:val="Normaltindrag"/>
      </w:pPr>
      <w:r w:rsidRPr="00780485">
        <w:t>Förbundet anser att Glesbygdsverkets granskande och sektorsövergripande uppdrag ska förstärkas och att verket ska få ett än tydligare mandat att utreda och belysa konsekvenser av sektorsbeslut ur skärgårds- och glesbygdsbons synvinkel. Glesbygdsverket bör vidare disponera medel för forskning samt i högre utsträckning ta initiativ till nätverk mellan olika se</w:t>
      </w:r>
      <w:r w:rsidRPr="00780485">
        <w:t>k</w:t>
      </w:r>
      <w:r w:rsidRPr="00780485">
        <w:t>torsmyndigheter.</w:t>
      </w:r>
    </w:p>
    <w:p w:rsidR="007A6E3D" w:rsidRPr="00780485" w:rsidRDefault="007A6E3D">
      <w:pPr>
        <w:pStyle w:val="R3"/>
      </w:pPr>
      <w:r w:rsidRPr="00780485">
        <w:t>SmåKom</w:t>
      </w:r>
    </w:p>
    <w:p w:rsidR="007A6E3D" w:rsidRPr="00780485" w:rsidRDefault="007A6E3D">
      <w:r w:rsidRPr="00780485">
        <w:t>SmåKom stöder förslaget att ytterligare analysera Glesbygdsverkets roll i regionalpolitiken. Det skriver att det vill komplettera revisorernas förslag med krav på en fördjupad analys. Förbundet anser inte att den genomförda revisionen varit tillräckligt analytisk i framåtblickande mening utan mest koncentrerat sig på en relativt traditionell analys och bedömning av de regi</w:t>
      </w:r>
      <w:r w:rsidRPr="00780485">
        <w:t>o</w:t>
      </w:r>
      <w:r w:rsidRPr="00780485">
        <w:t>nalpolitiska myndigheternas inbördes samordning. Förbundet menar att det ser andra motiv än revisorerna för en ytterligare analys av Glesbygdsverkets roll i regionalpolitiken. I remissvaret redogörs för tre perspektiv som förbu</w:t>
      </w:r>
      <w:r w:rsidRPr="00780485">
        <w:t>n</w:t>
      </w:r>
      <w:r w:rsidRPr="00780485">
        <w:t>det anser bör finnas med i en fortsatt analys av en glesbygdsmyndighets aktörsroll inom regionalpolitiken. De tre perspektiven är: vad krävs för att kunna möta en enskilds eller en grupp medborgares behov av stöd, vad krävs för att kunna stödja kommunernas arbete med glesbygdsfrågor</w:t>
      </w:r>
      <w:r w:rsidRPr="00780485">
        <w:t xml:space="preserve"> och vad krävs för att tillgodose ett centralt statligt perspektiv. Förbundet redogör vidare för vilka frågor som man anser bör prioriteras inom ramen för respektive pe</w:t>
      </w:r>
      <w:r w:rsidRPr="00780485">
        <w:t>r</w:t>
      </w:r>
      <w:r w:rsidRPr="00780485">
        <w:t xml:space="preserve">spektiv. </w:t>
      </w:r>
    </w:p>
    <w:p w:rsidR="007A6E3D" w:rsidRPr="00780485" w:rsidRDefault="007A6E3D">
      <w:pPr>
        <w:pStyle w:val="Normaltindrag"/>
      </w:pPr>
      <w:r w:rsidRPr="00780485">
        <w:t>SmåKom bedömer det som strategiskt att det även i framtiden finns ett Glesbygdsverk för att backa upp de av strukturomvandlingen drabbade kommunerna. Att inte ha ett verk som Glesbygdsverket skulle enligt förbu</w:t>
      </w:r>
      <w:r w:rsidRPr="00780485">
        <w:t>n</w:t>
      </w:r>
      <w:r w:rsidRPr="00780485">
        <w:t>det betyda att glesbygdsfrågorna skulle ha ännu svårare att hävda sig gent</w:t>
      </w:r>
      <w:r w:rsidRPr="00780485">
        <w:t>e</w:t>
      </w:r>
      <w:r w:rsidRPr="00780485">
        <w:t>mot alla ”storstadsintressen”. Förbundet kan inte se att någon annan myndi</w:t>
      </w:r>
      <w:r w:rsidRPr="00780485">
        <w:t>g</w:t>
      </w:r>
      <w:r w:rsidRPr="00780485">
        <w:t>het i nuläget skulle kunna agera mer kraftfullt i glesbygdspolitiken. Som en idé för framtiden pekar förbundet på möjligheten att i stället för att ha en glesbygdsmyndighet låta kommunerna själva i förening få möjlighet att agera som ett kraftfullt ”Glesbygdsverk” med direktkontakt med regering och riksdag.</w:t>
      </w:r>
    </w:p>
    <w:p w:rsidR="007A6E3D" w:rsidRPr="00780485" w:rsidRDefault="007A6E3D">
      <w:pPr>
        <w:pStyle w:val="RubrikUtanNr2"/>
      </w:pPr>
      <w:bookmarkStart w:id="189" w:name="_Toc526845477"/>
      <w:bookmarkStart w:id="190" w:name="_Toc526845799"/>
      <w:r w:rsidRPr="00780485">
        <w:t>Synpunkter på förslag om ändrad geografisk avgränsni</w:t>
      </w:r>
      <w:r w:rsidRPr="00780485">
        <w:t>ng</w:t>
      </w:r>
      <w:bookmarkEnd w:id="189"/>
      <w:bookmarkEnd w:id="190"/>
    </w:p>
    <w:p w:rsidR="007A6E3D" w:rsidRPr="00780485" w:rsidRDefault="007A6E3D">
      <w:pPr>
        <w:rPr>
          <w:i/>
        </w:rPr>
      </w:pPr>
      <w:r w:rsidRPr="00780485">
        <w:rPr>
          <w:i/>
        </w:rPr>
        <w:t>I rapporten skriver revisorerna att de anser att regeringen bör förtydliga den geografiska avgränsningen av Glesbygdsverkets uppdrag. Definitionen för gles- och landsbygden är framför allt lämplig för att beskriva var befol</w:t>
      </w:r>
      <w:r w:rsidRPr="00780485">
        <w:rPr>
          <w:i/>
        </w:rPr>
        <w:t>k</w:t>
      </w:r>
      <w:r w:rsidRPr="00780485">
        <w:rPr>
          <w:i/>
        </w:rPr>
        <w:t>ningen bor och hur befolkningen flyttar. Revisorerna anser vidare att den nuvarande definitionen av gles- och landsbygdsbefolkningen är alltför vid ur ett regionalpolitiskt perspektiv. En alltför bred målgrupp minskar möjligh</w:t>
      </w:r>
      <w:r w:rsidRPr="00780485">
        <w:rPr>
          <w:i/>
        </w:rPr>
        <w:t>e</w:t>
      </w:r>
      <w:r w:rsidRPr="00780485">
        <w:rPr>
          <w:i/>
        </w:rPr>
        <w:t>terna att fokusera på de regionalpolitiska problem som uppkommer till följd av en gles befol</w:t>
      </w:r>
      <w:r w:rsidRPr="00780485">
        <w:rPr>
          <w:i/>
        </w:rPr>
        <w:t>k</w:t>
      </w:r>
      <w:r w:rsidRPr="00780485">
        <w:rPr>
          <w:i/>
        </w:rPr>
        <w:t>ningsstruktur.</w:t>
      </w:r>
    </w:p>
    <w:p w:rsidR="007A6E3D" w:rsidRPr="00780485" w:rsidRDefault="007A6E3D">
      <w:pPr>
        <w:pStyle w:val="R3"/>
      </w:pPr>
      <w:r w:rsidRPr="00780485">
        <w:t xml:space="preserve">Glesbygdsverket </w:t>
      </w:r>
    </w:p>
    <w:p w:rsidR="007A6E3D" w:rsidRPr="00780485" w:rsidRDefault="007A6E3D">
      <w:r w:rsidRPr="00780485">
        <w:t>Glesbygdsverket stöder inte revisorernas uppfattning att den nuvarande def</w:t>
      </w:r>
      <w:r w:rsidRPr="00780485">
        <w:t>i</w:t>
      </w:r>
      <w:r w:rsidRPr="00780485">
        <w:t>nitionen av gles- och landsbygdsbefolkningen är alltför vid ur ett regiona</w:t>
      </w:r>
      <w:r w:rsidRPr="00780485">
        <w:t>l</w:t>
      </w:r>
      <w:r w:rsidRPr="00780485">
        <w:t>politiskt perspektiv. Verket menar att en snävare definition kraftigt skulle begränsa möjligheten att agera på system- och strukturnivå där en väsentlig del av verkets insatser görs i dag. Det anser att det är väsentligt att notera att t.ex. uppgiften att vara förvaltningsmyndighet för LEADER+ inte berör det som skulle kunna anses vara ett mer avgränsat glesbygdsområde (norra delen av Sverige). Verket förespråkar att den nuvarande g</w:t>
      </w:r>
      <w:r w:rsidRPr="00780485">
        <w:t>eografiska prioriterin</w:t>
      </w:r>
      <w:r w:rsidRPr="00780485">
        <w:t>g</w:t>
      </w:r>
      <w:r w:rsidRPr="00780485">
        <w:t>en</w:t>
      </w:r>
      <w:r w:rsidRPr="00780485">
        <w:rPr>
          <w:rStyle w:val="Fotnotsreferens"/>
        </w:rPr>
        <w:footnoteReference w:id="12"/>
      </w:r>
      <w:r w:rsidRPr="00780485">
        <w:t xml:space="preserve"> tas bort. </w:t>
      </w:r>
    </w:p>
    <w:p w:rsidR="007A6E3D" w:rsidRPr="00780485" w:rsidRDefault="007A6E3D">
      <w:pPr>
        <w:pStyle w:val="Normaltindrag"/>
      </w:pPr>
      <w:r w:rsidRPr="00780485">
        <w:t>Glesbygdsverket anser att revisorernas bedömning att det är intressant att göra analyser med en uppdelning av landsbygd och tätort ur ett välfärdsper</w:t>
      </w:r>
      <w:r w:rsidRPr="00780485">
        <w:softHyphen/>
        <w:t>spektiv men att det inte är lika motiverat ur ett tillväxtperspektiv speglar ett mycket förenklat sätt att se på sambandet mellan tillväxt och välfärdspolitik. Verket vänder sig mot det resonemang som förs i rapporten om att Gle</w:t>
      </w:r>
      <w:r w:rsidRPr="00780485">
        <w:t>s</w:t>
      </w:r>
      <w:r w:rsidRPr="00780485">
        <w:t>bygdsverket genom att välja en avgränsning där kommunernas centralorter inte finns med (tätorter över 3 000 invånare) sållar bort värdefull information om områdets försörjningskraft. Glesbygdsverket skriver att det är väl me</w:t>
      </w:r>
      <w:r w:rsidRPr="00780485">
        <w:t>d</w:t>
      </w:r>
      <w:r w:rsidRPr="00780485">
        <w:t>vetet om hur inomregionala och lokala strukturer påverkar</w:t>
      </w:r>
      <w:r w:rsidRPr="00780485">
        <w:t xml:space="preserve"> varandra. Gle</w:t>
      </w:r>
      <w:r w:rsidRPr="00780485">
        <w:t>s</w:t>
      </w:r>
      <w:r w:rsidRPr="00780485">
        <w:t>bygdsverket menar att det genom att göra analyser som separerar centralo</w:t>
      </w:r>
      <w:r w:rsidRPr="00780485">
        <w:t>r</w:t>
      </w:r>
      <w:r w:rsidRPr="00780485">
        <w:t>terna från landsbygdsdelarna gör det möjligt att också se och visa utvec</w:t>
      </w:r>
      <w:r w:rsidRPr="00780485">
        <w:t>k</w:t>
      </w:r>
      <w:r w:rsidRPr="00780485">
        <w:t>lingstendenser som annars blir osynliggjorda. Verket ger följande exempel: om t.ex. en kommun har en negativ befolkningsutveckling och det visar sig att områden utanför centralorten inte har en lika negativ utveckling kan det t.ex. vara en signal till att tänka om i t.ex. bostadsplanering och kollektivtr</w:t>
      </w:r>
      <w:r w:rsidRPr="00780485">
        <w:t>a</w:t>
      </w:r>
      <w:r w:rsidRPr="00780485">
        <w:t xml:space="preserve">fiksplanering. Glesbygdsverket menar att det </w:t>
      </w:r>
      <w:r w:rsidRPr="00780485">
        <w:t>finns mycket starka skäl för att göra denna typ av anal</w:t>
      </w:r>
      <w:r w:rsidRPr="00780485">
        <w:t>y</w:t>
      </w:r>
      <w:r w:rsidRPr="00780485">
        <w:t>ser.</w:t>
      </w:r>
    </w:p>
    <w:p w:rsidR="007A6E3D" w:rsidRPr="00780485" w:rsidRDefault="007A6E3D">
      <w:pPr>
        <w:pStyle w:val="Normaltindrag"/>
      </w:pPr>
      <w:r w:rsidRPr="00780485">
        <w:t>Glesbygdsverket instämmer i revisorernas bedömning att det är stora skil</w:t>
      </w:r>
      <w:r w:rsidRPr="00780485">
        <w:t>l</w:t>
      </w:r>
      <w:r w:rsidRPr="00780485">
        <w:t>nader i behoven av stöd och insatser inom vad verket definierar som land</w:t>
      </w:r>
      <w:r w:rsidRPr="00780485">
        <w:t>s</w:t>
      </w:r>
      <w:r w:rsidRPr="00780485">
        <w:t>bygd och att detta är grunden för varför Glesbygdsverket väljer att i många analyser göra en uppdelning av landsbygds-/glesbygdsavgränsningen i ett antal geografiska reg</w:t>
      </w:r>
      <w:r w:rsidRPr="00780485">
        <w:t>i</w:t>
      </w:r>
      <w:r w:rsidRPr="00780485">
        <w:t>oner.</w:t>
      </w:r>
    </w:p>
    <w:p w:rsidR="007A6E3D" w:rsidRPr="00780485" w:rsidRDefault="007A6E3D">
      <w:pPr>
        <w:pStyle w:val="R3"/>
      </w:pPr>
      <w:r w:rsidRPr="00780485">
        <w:t>Konsumentverket</w:t>
      </w:r>
    </w:p>
    <w:p w:rsidR="007A6E3D" w:rsidRPr="00780485" w:rsidRDefault="007A6E3D">
      <w:r w:rsidRPr="00780485">
        <w:t>Enligt Konsumentverkets mening finns det inte skäl för en geografisk a</w:t>
      </w:r>
      <w:r w:rsidRPr="00780485">
        <w:t>v</w:t>
      </w:r>
      <w:r w:rsidRPr="00780485">
        <w:t>gränsning av Glesbygdsverkets uppdrag. Verket bedömer att en sådan a</w:t>
      </w:r>
      <w:r w:rsidRPr="00780485">
        <w:t>v</w:t>
      </w:r>
      <w:r w:rsidRPr="00780485">
        <w:t xml:space="preserve">gränsning skulle medföra att den nationella överblicken över gles- och landsbygdsbefolkningens villkor kraftigt begränsas. </w:t>
      </w:r>
    </w:p>
    <w:p w:rsidR="007A6E3D" w:rsidRPr="00780485" w:rsidRDefault="007A6E3D">
      <w:pPr>
        <w:pStyle w:val="R3"/>
      </w:pPr>
      <w:r w:rsidRPr="00780485">
        <w:t>Institutet för tillväxtpolitiska studier</w:t>
      </w:r>
    </w:p>
    <w:p w:rsidR="007A6E3D" w:rsidRPr="00780485" w:rsidRDefault="007A6E3D">
      <w:r w:rsidRPr="00780485">
        <w:t>ITPS uppmärksammar att antalet boende i gles- och landsbygd för närvara</w:t>
      </w:r>
      <w:r w:rsidRPr="00780485">
        <w:t>n</w:t>
      </w:r>
      <w:r w:rsidRPr="00780485">
        <w:t>de varierar mellan 630 000 personer och 2 600 000 personer beroende på vilken definition som används. Myndigheten skriver att den politiska disku</w:t>
      </w:r>
      <w:r w:rsidRPr="00780485">
        <w:t>s</w:t>
      </w:r>
      <w:r w:rsidRPr="00780485">
        <w:t>sionen om glesbygdsfrågor lätt blir förvirrad när olika avgränsningar och definitioner används av olika myndigheter. ITPS anser att olika myndigh</w:t>
      </w:r>
      <w:r w:rsidRPr="00780485">
        <w:t>e</w:t>
      </w:r>
      <w:r w:rsidRPr="00780485">
        <w:t xml:space="preserve">ters definitioner av vad som är glesbygd respektive landsbygd bör göras mer enhetliga. </w:t>
      </w:r>
    </w:p>
    <w:p w:rsidR="007A6E3D" w:rsidRPr="00780485" w:rsidRDefault="007A6E3D">
      <w:pPr>
        <w:pStyle w:val="Normaltindrag"/>
      </w:pPr>
      <w:r w:rsidRPr="00780485">
        <w:t>Institutet skriver vidare att begrepp som gles- och landsbygd är så pass allmänna att de inte kan avse områden som i alla avseenden</w:t>
      </w:r>
      <w:r w:rsidRPr="00780485">
        <w:t xml:space="preserve"> är lika. Det finns därför exempel på landsbygd med både positiv och negativ utveckling i olika välfärdsavseenden. ITPS pekar på att ett alternativ till att ha gles- och land</w:t>
      </w:r>
      <w:r w:rsidRPr="00780485">
        <w:t>s</w:t>
      </w:r>
      <w:r w:rsidRPr="00780485">
        <w:t>bygd som idémässig grund är att arbeta med utgångspunkt i lokala arbet</w:t>
      </w:r>
      <w:r w:rsidRPr="00780485">
        <w:t>s</w:t>
      </w:r>
      <w:r w:rsidRPr="00780485">
        <w:t>marknader. Detta exemplifieras på följande sätt: om servicen i en tätort som ligger i en svag lokal arbetsmarknad försämras, leder detta till att servicen försämras för hela befolkningen i området och inte bara för glesbygdsbefol</w:t>
      </w:r>
      <w:r w:rsidRPr="00780485">
        <w:t>k</w:t>
      </w:r>
      <w:r w:rsidRPr="00780485">
        <w:t>ningen. I praktiken måste många prob</w:t>
      </w:r>
      <w:r w:rsidRPr="00780485">
        <w:t>lem som hänger samman med gles bebyggelse och litet befolkningsunderlag lösas i kommunernas centralorter. Flertalet planeringsåtgärder för glesbygdens befolkning måste också harm</w:t>
      </w:r>
      <w:r w:rsidRPr="00780485">
        <w:t>o</w:t>
      </w:r>
      <w:r w:rsidRPr="00780485">
        <w:t xml:space="preserve">niseras med kommunernas övriga initiativ. </w:t>
      </w:r>
    </w:p>
    <w:p w:rsidR="007A6E3D" w:rsidRPr="00780485" w:rsidRDefault="007A6E3D">
      <w:pPr>
        <w:pStyle w:val="Normaltindrag"/>
      </w:pPr>
      <w:r w:rsidRPr="00780485">
        <w:t>Med anledning av revisorernas förslag om att förtydliga den geografiska avgränsningen av Glesbygdsverkets uppdrag skriver ITPS att om en översyn av Glesbygdsverket resulterar i att verket även fortsättningsvis ska engagera sig i både tillväxtpolitiska frågor och fördelningspolitiska frågor</w:t>
      </w:r>
      <w:r w:rsidRPr="00780485">
        <w:t xml:space="preserve"> bör verkets omsorg avse svaga lokala arbetsmarknader i stället för geografiska ytor som definieras efter bebygge</w:t>
      </w:r>
      <w:r w:rsidRPr="00780485">
        <w:t>l</w:t>
      </w:r>
      <w:r w:rsidRPr="00780485">
        <w:t xml:space="preserve">semönster. </w:t>
      </w:r>
    </w:p>
    <w:p w:rsidR="007A6E3D" w:rsidRPr="00780485" w:rsidRDefault="007A6E3D">
      <w:pPr>
        <w:pStyle w:val="Normaltindrag"/>
      </w:pPr>
      <w:r w:rsidRPr="00780485">
        <w:t>Leder däremot en översyn, vilket ITPS förordar, till att Glesbygdsverkets uppgifter avgränsas till insatser som är fördelningspolitiskt motiverade bör de specifika problem som berör hushållens välbefinnande åtgärdas i de delar av landet där de förekommer. Mandatet bör i det fallet vara rikstäc</w:t>
      </w:r>
      <w:r w:rsidRPr="00780485">
        <w:t>k</w:t>
      </w:r>
      <w:r w:rsidRPr="00780485">
        <w:t>ande.</w:t>
      </w:r>
    </w:p>
    <w:p w:rsidR="007A6E3D" w:rsidRPr="00780485" w:rsidRDefault="007A6E3D">
      <w:pPr>
        <w:pStyle w:val="R3"/>
      </w:pPr>
      <w:r w:rsidRPr="00780485">
        <w:t>Verket för näringslivsutveckling</w:t>
      </w:r>
    </w:p>
    <w:p w:rsidR="007A6E3D" w:rsidRPr="00780485" w:rsidRDefault="007A6E3D">
      <w:r w:rsidRPr="00780485">
        <w:t>NUTEK förordar regionala arbetsmarknader som bas när det gäller analyser av tillväxten. Verket skriver att studier av förhållandena inom landsbygds- eller glesbygdsområden i tillväxtsammanhang blir av underordnat intresse. Glesbygdsverkets metod med en indelning av Sveriges geografi i s.k. kva</w:t>
      </w:r>
      <w:r w:rsidRPr="00780485">
        <w:softHyphen/>
        <w:t xml:space="preserve">dratrutor menar verket ger en intressant uppfattning om var människor bor, men att den fungerar mindre bra operativt. </w:t>
      </w:r>
    </w:p>
    <w:p w:rsidR="007A6E3D" w:rsidRPr="00780485" w:rsidRDefault="007A6E3D">
      <w:pPr>
        <w:pStyle w:val="R3"/>
      </w:pPr>
      <w:r w:rsidRPr="00780485">
        <w:t>Länsstyrelsen i Kronobergs län</w:t>
      </w:r>
    </w:p>
    <w:p w:rsidR="007A6E3D" w:rsidRPr="00780485" w:rsidRDefault="007A6E3D">
      <w:r w:rsidRPr="00780485">
        <w:t xml:space="preserve">Länsstyrelsen i Kronobergs län anser att Glesbygdsverkets insatser i alltför hög grad har varit koncentrerade till den norra delen av Sverige. </w:t>
      </w:r>
    </w:p>
    <w:p w:rsidR="007A6E3D" w:rsidRPr="00780485" w:rsidRDefault="007A6E3D">
      <w:pPr>
        <w:pStyle w:val="R3"/>
      </w:pPr>
      <w:r w:rsidRPr="00780485">
        <w:t>Länsstyrelsen i Norrbottens län</w:t>
      </w:r>
    </w:p>
    <w:p w:rsidR="007A6E3D" w:rsidRPr="00780485" w:rsidRDefault="007A6E3D">
      <w:r w:rsidRPr="00780485">
        <w:t>Länsstyrelsen i Norrbottens län skriver att de finner det angeläget att närmare definiera begreppet gles- och landsbygdsbefolkning och instämmer i revis</w:t>
      </w:r>
      <w:r w:rsidRPr="00780485">
        <w:t>o</w:t>
      </w:r>
      <w:r w:rsidRPr="00780485">
        <w:t xml:space="preserve">rernas uppfattning att en alltför bred målgrupp minskar möjligheterna att fokusera på de regionalpolitiska problem som uppkommer till följd av en gles befolkningsstruktur. </w:t>
      </w:r>
    </w:p>
    <w:p w:rsidR="007A6E3D" w:rsidRPr="00780485" w:rsidRDefault="007A6E3D">
      <w:pPr>
        <w:pStyle w:val="RubrikUtanNr2"/>
        <w:ind w:left="0" w:firstLine="0"/>
      </w:pPr>
      <w:bookmarkStart w:id="191" w:name="_Toc526845478"/>
      <w:bookmarkStart w:id="192" w:name="_Toc526845800"/>
      <w:r w:rsidRPr="00780485">
        <w:t>Förslag om att renodla ansvaret för utvecklings- och uppföljningsinsatser av stödet till kommersiell service</w:t>
      </w:r>
      <w:bookmarkEnd w:id="191"/>
      <w:bookmarkEnd w:id="192"/>
    </w:p>
    <w:p w:rsidR="007A6E3D" w:rsidRPr="00780485" w:rsidRDefault="007A6E3D">
      <w:pPr>
        <w:rPr>
          <w:i/>
        </w:rPr>
      </w:pPr>
      <w:r w:rsidRPr="00780485">
        <w:rPr>
          <w:i/>
        </w:rPr>
        <w:t>I rapporten skriver revisorerna att den regionalpolitiska utredningen ko</w:t>
      </w:r>
      <w:r w:rsidRPr="00780485">
        <w:rPr>
          <w:i/>
        </w:rPr>
        <w:t>n</w:t>
      </w:r>
      <w:r w:rsidRPr="00780485">
        <w:rPr>
          <w:i/>
        </w:rPr>
        <w:t>staterade att det råder en viss otydlighet om vilken myndighet som bär a</w:t>
      </w:r>
      <w:r w:rsidRPr="00780485">
        <w:rPr>
          <w:i/>
        </w:rPr>
        <w:t>n</w:t>
      </w:r>
      <w:r w:rsidRPr="00780485">
        <w:rPr>
          <w:i/>
        </w:rPr>
        <w:t>svaret för utvecklingsinsatser för stöd till kommersiell service. Revisorerna instämmer i denna bedömning. Revisorerna anser att regeringen bör renodla ansvaret för utvecklings- och uppföljningsinsatser av stödet till kommersiell service.</w:t>
      </w:r>
    </w:p>
    <w:p w:rsidR="007A6E3D" w:rsidRPr="00780485" w:rsidRDefault="007A6E3D">
      <w:pPr>
        <w:pStyle w:val="R3"/>
      </w:pPr>
      <w:r w:rsidRPr="00780485">
        <w:t>Glesbygdsverket</w:t>
      </w:r>
    </w:p>
    <w:p w:rsidR="007A6E3D" w:rsidRPr="00780485" w:rsidRDefault="007A6E3D">
      <w:r w:rsidRPr="00780485">
        <w:t>Glesbygdsverket tar inte ställning till revisorernas förslag i sitt remissvar. Verket påpekar att ansvaret för utvecklings- och uppföljningsinsatser av stödet till kommersiell service i dag åvilar Konsumentverket och att Gle</w:t>
      </w:r>
      <w:r w:rsidRPr="00780485">
        <w:t>s</w:t>
      </w:r>
      <w:r w:rsidRPr="00780485">
        <w:t>bygdsverkets insatser inom serviceområdet har en betydligt bredare ansats än bara det statliga stödet till kommersiell service som följer av förordningen om stöd till kommersiell service och gäller t.ex. tillgänglighetsfrågor och servicesamordning. Verket skriver vidare att dess insatser inom serviceomr</w:t>
      </w:r>
      <w:r w:rsidRPr="00780485">
        <w:t>å</w:t>
      </w:r>
      <w:r w:rsidRPr="00780485">
        <w:t>det omfattar betydligt fler serviceslag än bara detaljha</w:t>
      </w:r>
      <w:r w:rsidRPr="00780485">
        <w:t>n</w:t>
      </w:r>
      <w:r w:rsidRPr="00780485">
        <w:t xml:space="preserve">del. </w:t>
      </w:r>
    </w:p>
    <w:p w:rsidR="007A6E3D" w:rsidRPr="00780485" w:rsidRDefault="007A6E3D">
      <w:pPr>
        <w:pStyle w:val="R3"/>
      </w:pPr>
      <w:r w:rsidRPr="00780485">
        <w:t>Konsumentverket</w:t>
      </w:r>
    </w:p>
    <w:p w:rsidR="007A6E3D" w:rsidRPr="00780485" w:rsidRDefault="007A6E3D">
      <w:r w:rsidRPr="00780485">
        <w:t>Konsumentverket tar inte ställning till revisorernas förslag om att regeringen bör renodla ansvaret för utvecklings- och uppföljningsinsatser av stödet till kommersiell service. Verket beskriver de egna insatserna liksom NUTEK:s och Glesbygdsverkets insatser på området. Med anledning av revisorernas konstaterande att både Konsumentverket och Glesbygdsverket har uppdraget att redovisa utvecklingen av kommersiell service påpekar Konsumentverket att Glesbygdsverkets uppdrag är bredare och omfattar såväl komme</w:t>
      </w:r>
      <w:r w:rsidRPr="00780485">
        <w:t xml:space="preserve">rsiell som officiell service liksom uppdraget att analysera vilken betydelse olika former av service har för gles- och landsbygdens utveckling. </w:t>
      </w:r>
    </w:p>
    <w:p w:rsidR="007A6E3D" w:rsidRPr="00780485" w:rsidRDefault="007A6E3D">
      <w:pPr>
        <w:pStyle w:val="Normaltindrag"/>
      </w:pPr>
      <w:r w:rsidRPr="00780485">
        <w:t>Konsumentverket skriver att det under våren 2001 fick i uppdrag av reg</w:t>
      </w:r>
      <w:r w:rsidRPr="00780485">
        <w:t>e</w:t>
      </w:r>
      <w:r w:rsidRPr="00780485">
        <w:t>ringen att förbereda genomförandet av ett nationellt kompetens- och utvec</w:t>
      </w:r>
      <w:r w:rsidRPr="00780485">
        <w:t>k</w:t>
      </w:r>
      <w:r w:rsidRPr="00780485">
        <w:t>lingsprogram riktat till landets lanthandlare. Verket menar att myndighetens roll inom området ligger i linje med den regionalpolitiska kommitténs förslag om att verket ska få ett samlat ansvar att utveckla och testa nya lösningar när det gäller kommersiell service.</w:t>
      </w:r>
    </w:p>
    <w:p w:rsidR="007A6E3D" w:rsidRPr="00780485" w:rsidRDefault="007A6E3D">
      <w:pPr>
        <w:pStyle w:val="R3"/>
      </w:pPr>
      <w:r w:rsidRPr="00780485">
        <w:t>Länsstyrelsen i Jönköpings län</w:t>
      </w:r>
    </w:p>
    <w:p w:rsidR="007A6E3D" w:rsidRPr="00780485" w:rsidRDefault="007A6E3D">
      <w:r w:rsidRPr="00780485">
        <w:t>Länsstyrelsen i Jönköpings län gör bedömningen att Glesbygdsverkets roll bör vara att bistå med övergripande kunskaper om landsbygds- och gle</w:t>
      </w:r>
      <w:r w:rsidRPr="00780485">
        <w:t>s</w:t>
      </w:r>
      <w:r w:rsidRPr="00780485">
        <w:t>bygdsfrågor. Konsumentverket bör, som hittills, ha rollen att samordna stö</w:t>
      </w:r>
      <w:r w:rsidRPr="00780485">
        <w:t>d</w:t>
      </w:r>
      <w:r w:rsidRPr="00780485">
        <w:t xml:space="preserve">hanteringen, ge råd och anvisningar, följa upp stödinsatser och även svara för utvecklingsarbetet inom området. </w:t>
      </w:r>
    </w:p>
    <w:p w:rsidR="007A6E3D" w:rsidRPr="00780485" w:rsidRDefault="007A6E3D">
      <w:pPr>
        <w:pStyle w:val="R3"/>
      </w:pPr>
      <w:r w:rsidRPr="00780485">
        <w:t>Länsstyrelsen i Kronobergs län</w:t>
      </w:r>
    </w:p>
    <w:p w:rsidR="007A6E3D" w:rsidRPr="00780485" w:rsidRDefault="007A6E3D">
      <w:r w:rsidRPr="00780485">
        <w:t>Länsstyrelsen i Kronobergs län konstaterar att Konsumentverket har det centrala myndighetsansvaret för frågor som rör stöd till kommersiell ver</w:t>
      </w:r>
      <w:r w:rsidRPr="00780485">
        <w:t>k</w:t>
      </w:r>
      <w:r w:rsidRPr="00780485">
        <w:t xml:space="preserve">samhet på landsbygden. Verket har enligt länsstyrelsens bedömning skött sina åligganden väl och bör få fortsätta med denna uppgift. </w:t>
      </w:r>
    </w:p>
    <w:p w:rsidR="007A6E3D" w:rsidRPr="00780485" w:rsidRDefault="007A6E3D">
      <w:pPr>
        <w:pStyle w:val="R3"/>
      </w:pPr>
      <w:r w:rsidRPr="00780485">
        <w:t>Länsstyrelsen i Västerbottens län</w:t>
      </w:r>
    </w:p>
    <w:p w:rsidR="007A6E3D" w:rsidRPr="00780485" w:rsidRDefault="007A6E3D">
      <w:r w:rsidRPr="00780485">
        <w:t>Länsstyrelsen i Västerbottens län anser, när det gäller utvärd</w:t>
      </w:r>
      <w:r w:rsidRPr="00780485">
        <w:t>e</w:t>
      </w:r>
      <w:r w:rsidRPr="00780485">
        <w:t>ring/uppföljning av kommersiell service, att antalet aktörer borde begränsas till en, eftersom otydligheten ökar när fler aktörer är inblandade. Utvec</w:t>
      </w:r>
      <w:r w:rsidRPr="00780485">
        <w:t>k</w:t>
      </w:r>
      <w:r w:rsidRPr="00780485">
        <w:t>lings- och uppföljningsinsatser av stödet till kommersiell service bör enligt länsstyrelsen läggas på Ko</w:t>
      </w:r>
      <w:r w:rsidRPr="00780485">
        <w:t>n</w:t>
      </w:r>
      <w:r w:rsidRPr="00780485">
        <w:t xml:space="preserve">sumentverket. </w:t>
      </w:r>
    </w:p>
    <w:p w:rsidR="007A6E3D" w:rsidRPr="00780485" w:rsidRDefault="007A6E3D">
      <w:pPr>
        <w:pStyle w:val="R3"/>
      </w:pPr>
      <w:r w:rsidRPr="00780485">
        <w:t>Skärgårdarnas riksförbund</w:t>
      </w:r>
    </w:p>
    <w:p w:rsidR="007A6E3D" w:rsidRPr="00780485" w:rsidRDefault="007A6E3D">
      <w:r w:rsidRPr="00780485">
        <w:rPr>
          <w:shd w:val="clear" w:color="auto" w:fill="FFFFFF"/>
        </w:rPr>
        <w:t xml:space="preserve">Skärgårdarnas riksförbund vill inte att Glesbygdsverket ska få ett </w:t>
      </w:r>
      <w:r w:rsidRPr="00780485">
        <w:t>sekto</w:t>
      </w:r>
      <w:r w:rsidRPr="00780485">
        <w:t>r</w:t>
      </w:r>
      <w:r w:rsidRPr="00780485">
        <w:t>s</w:t>
      </w:r>
      <w:r w:rsidRPr="00780485">
        <w:softHyphen/>
        <w:t>ansvar</w:t>
      </w:r>
      <w:r w:rsidRPr="00780485">
        <w:rPr>
          <w:shd w:val="clear" w:color="auto" w:fill="FFFFFF"/>
        </w:rPr>
        <w:t xml:space="preserve"> för kommersiell service, eftersom det kan innebära att Glesbygdsve</w:t>
      </w:r>
      <w:r w:rsidRPr="00780485">
        <w:rPr>
          <w:shd w:val="clear" w:color="auto" w:fill="FFFFFF"/>
        </w:rPr>
        <w:t>r</w:t>
      </w:r>
      <w:r w:rsidRPr="00780485">
        <w:rPr>
          <w:shd w:val="clear" w:color="auto" w:fill="FFFFFF"/>
        </w:rPr>
        <w:t>ket förlorar sin analyserande och granskande roll. Verket bör enligt förbundet inte tyngas med handläggande sektorsuppdrag.</w:t>
      </w:r>
    </w:p>
    <w:p w:rsidR="007A6E3D" w:rsidRPr="00780485" w:rsidRDefault="007A6E3D">
      <w:pPr>
        <w:pStyle w:val="RubrikUtanNr2"/>
      </w:pPr>
      <w:bookmarkStart w:id="193" w:name="_Toc526845479"/>
      <w:bookmarkStart w:id="194" w:name="_Toc526845801"/>
      <w:r w:rsidRPr="00780485">
        <w:t>Överväganden om saklighet</w:t>
      </w:r>
      <w:bookmarkEnd w:id="193"/>
      <w:bookmarkEnd w:id="194"/>
    </w:p>
    <w:p w:rsidR="007A6E3D" w:rsidRPr="00780485" w:rsidRDefault="007A6E3D">
      <w:pPr>
        <w:rPr>
          <w:i/>
        </w:rPr>
      </w:pPr>
      <w:r w:rsidRPr="00780485">
        <w:rPr>
          <w:i/>
        </w:rPr>
        <w:t>I rapporten skriver revisorerna att den granskning som gjorts av Glesbygd</w:t>
      </w:r>
      <w:r w:rsidRPr="00780485">
        <w:rPr>
          <w:i/>
        </w:rPr>
        <w:t>s</w:t>
      </w:r>
      <w:r w:rsidRPr="00780485">
        <w:rPr>
          <w:i/>
        </w:rPr>
        <w:t>verkets befolkningsanalyser visar att verket lyfter fram de små positiva te</w:t>
      </w:r>
      <w:r w:rsidRPr="00780485">
        <w:rPr>
          <w:i/>
        </w:rPr>
        <w:t>n</w:t>
      </w:r>
      <w:r w:rsidRPr="00780485">
        <w:rPr>
          <w:i/>
        </w:rPr>
        <w:t>denser som finns på bekostnad av de problem som finns med ett minskande befolkningsunderlag i redan glest befolkade regioner. Slutsatserna bygger främst på en analys av Glesbygdsverkets årsbok för 2000 gjord av ett ko</w:t>
      </w:r>
      <w:r w:rsidRPr="00780485">
        <w:rPr>
          <w:i/>
        </w:rPr>
        <w:t>n</w:t>
      </w:r>
      <w:r w:rsidRPr="00780485">
        <w:rPr>
          <w:i/>
        </w:rPr>
        <w:t>sultbolag med statistisk specialistkompetens. Revisorerna tar även upp Gle</w:t>
      </w:r>
      <w:r w:rsidRPr="00780485">
        <w:rPr>
          <w:i/>
        </w:rPr>
        <w:t>s</w:t>
      </w:r>
      <w:r w:rsidRPr="00780485">
        <w:rPr>
          <w:i/>
        </w:rPr>
        <w:t>bygdsverkets pressmeddelande till årsboken 2001 som exempel på hur Gle</w:t>
      </w:r>
      <w:r w:rsidRPr="00780485">
        <w:rPr>
          <w:i/>
        </w:rPr>
        <w:t>s</w:t>
      </w:r>
      <w:r w:rsidRPr="00780485">
        <w:rPr>
          <w:i/>
        </w:rPr>
        <w:t>bygdsverket valt att presentera resultatet av en undersökning i granskn</w:t>
      </w:r>
      <w:r w:rsidRPr="00780485">
        <w:rPr>
          <w:i/>
        </w:rPr>
        <w:t>ing</w:t>
      </w:r>
      <w:r w:rsidRPr="00780485">
        <w:rPr>
          <w:i/>
        </w:rPr>
        <w:t>s</w:t>
      </w:r>
      <w:r w:rsidRPr="00780485">
        <w:rPr>
          <w:i/>
        </w:rPr>
        <w:t>rapporten. Revisorernas iakttagelser och överväganden i denna fråga resu</w:t>
      </w:r>
      <w:r w:rsidRPr="00780485">
        <w:rPr>
          <w:i/>
        </w:rPr>
        <w:t>l</w:t>
      </w:r>
      <w:r w:rsidRPr="00780485">
        <w:rPr>
          <w:i/>
        </w:rPr>
        <w:t>terade inte i något förslag i rappo</w:t>
      </w:r>
      <w:r w:rsidRPr="00780485">
        <w:rPr>
          <w:i/>
        </w:rPr>
        <w:t>r</w:t>
      </w:r>
      <w:r w:rsidRPr="00780485">
        <w:rPr>
          <w:i/>
        </w:rPr>
        <w:t>ten.</w:t>
      </w:r>
    </w:p>
    <w:p w:rsidR="007A6E3D" w:rsidRPr="00780485" w:rsidRDefault="007A6E3D">
      <w:pPr>
        <w:pStyle w:val="R3"/>
      </w:pPr>
      <w:r w:rsidRPr="00780485">
        <w:t>Glesbygdsverket</w:t>
      </w:r>
    </w:p>
    <w:p w:rsidR="007A6E3D" w:rsidRPr="00780485" w:rsidRDefault="007A6E3D">
      <w:r w:rsidRPr="00780485">
        <w:t>Glesbygdsverket kritiserar allmänt revisorernas konsultrapport som man anser innehåller väsentliga brister i kvalitet och noggrannhet. Verket skriver att det inte i någon del kan se att det brister i saklighet och opartiskhet i ve</w:t>
      </w:r>
      <w:r w:rsidRPr="00780485">
        <w:t>r</w:t>
      </w:r>
      <w:r w:rsidRPr="00780485">
        <w:t>kets rapportering. Verket anser att det iakttagit stor noggrannhet i att visa helhetsbilden av befolkningsutvecklingen samt betona effekten av denna. I analysarbetet har man funnit vissa fakta som inte tidigare varit kända och därför lyft fram dem i redovisningen. Glesbygdsverket skriver att revisore</w:t>
      </w:r>
      <w:r w:rsidRPr="00780485">
        <w:t>r</w:t>
      </w:r>
      <w:r w:rsidRPr="00780485">
        <w:t>nas analys som antyder att verket skulle göra sig skyldigt till grundlagsbrott och överväganden till följd av detta helt sa</w:t>
      </w:r>
      <w:r w:rsidRPr="00780485">
        <w:t>k</w:t>
      </w:r>
      <w:r w:rsidRPr="00780485">
        <w:t>nar sin grund.</w:t>
      </w:r>
    </w:p>
    <w:p w:rsidR="007A6E3D" w:rsidRPr="00780485" w:rsidRDefault="007A6E3D">
      <w:pPr>
        <w:pStyle w:val="Normaltindrag"/>
      </w:pPr>
      <w:r w:rsidRPr="00780485">
        <w:t>Glesbygdsverket kommenterar uppgifterna i rapporten om att verket lyft</w:t>
      </w:r>
      <w:r w:rsidRPr="00780485">
        <w:t>er fram positiva tendenser och tonar ned negativa i sammanfattning och pres</w:t>
      </w:r>
      <w:r w:rsidRPr="00780485">
        <w:t>s</w:t>
      </w:r>
      <w:r w:rsidRPr="00780485">
        <w:t>meddelande med att det är ganska naturligt att uppgifter som är nya och unika lyfts fram när ett underlag av denna karaktär presenteras och vill b</w:t>
      </w:r>
      <w:r w:rsidRPr="00780485">
        <w:t>e</w:t>
      </w:r>
      <w:r w:rsidRPr="00780485">
        <w:t>stämt avvisa uppfattningen att verket skulle vilja tona ned negativa data.</w:t>
      </w:r>
    </w:p>
    <w:p w:rsidR="007A6E3D" w:rsidRPr="00780485" w:rsidRDefault="007A6E3D">
      <w:pPr>
        <w:pStyle w:val="Normaltindrag"/>
      </w:pPr>
      <w:r w:rsidRPr="00780485">
        <w:t>Verket vänder sig mot revisorernas bedömning att det skulle finnas en målkonflikt mellan att leverera bra beslutsunderlag och verka för bättre u</w:t>
      </w:r>
      <w:r w:rsidRPr="00780485">
        <w:t>t</w:t>
      </w:r>
      <w:r w:rsidRPr="00780485">
        <w:t>vecklingsmöjligheter för en viss del av befolkningen (genom att agera för att mer resurser bör satsas på de glest befolkade delarna av landet). Glesbygd</w:t>
      </w:r>
      <w:r w:rsidRPr="00780485">
        <w:t>s</w:t>
      </w:r>
      <w:r w:rsidRPr="00780485">
        <w:t>verket betonar att det inte ser några sådana konflikter. Verket skriver att det inte har någon roll som partsorgan eller att vara glesbygdsbefolkningens språkrör. Verkets roll är att producera korrekta faktaunderlag och analyser och att göra det ur ett landsbygdsperspektiv. Enligt verket vore det fullstä</w:t>
      </w:r>
      <w:r w:rsidRPr="00780485">
        <w:t>n</w:t>
      </w:r>
      <w:r w:rsidRPr="00780485">
        <w:t>digt förödande för den rollen om verket skulle upptr</w:t>
      </w:r>
      <w:r w:rsidRPr="00780485">
        <w:t>äda som partsorgan.</w:t>
      </w:r>
    </w:p>
    <w:p w:rsidR="007A6E3D" w:rsidRPr="00780485" w:rsidRDefault="007A6E3D">
      <w:pPr>
        <w:pStyle w:val="R3"/>
      </w:pPr>
      <w:r w:rsidRPr="00780485">
        <w:t>Statens institut för kommunikationsanalys</w:t>
      </w:r>
    </w:p>
    <w:p w:rsidR="007A6E3D" w:rsidRPr="00780485" w:rsidRDefault="007A6E3D">
      <w:r w:rsidRPr="00780485">
        <w:t>SIKA anser att problem som kan uppkomma när myndigheter ges uppgifter som mera liknar en intresse- eller lobbyorganisation förtjänar att uppmär</w:t>
      </w:r>
      <w:r w:rsidRPr="00780485">
        <w:t>k</w:t>
      </w:r>
      <w:r w:rsidRPr="00780485">
        <w:t>sammas mer generellt. Institutet pekar på problem när det gäller att upprät</w:t>
      </w:r>
      <w:r w:rsidRPr="00780485">
        <w:t>t</w:t>
      </w:r>
      <w:r w:rsidRPr="00780485">
        <w:t>hålla kraven på saklighet och opartiskhet och de följder detta kan ha för en myndighets förmåga att förse regeringen med bra beslutsunderlag.</w:t>
      </w:r>
    </w:p>
    <w:p w:rsidR="007A6E3D" w:rsidRPr="00780485" w:rsidRDefault="007A6E3D">
      <w:pPr>
        <w:pStyle w:val="Normaltindrag"/>
      </w:pPr>
      <w:r w:rsidRPr="00780485">
        <w:t>SIKA skriver vidare att ett uppdrag att som myndighet främja ett visst i</w:t>
      </w:r>
      <w:r w:rsidRPr="00780485">
        <w:t>n</w:t>
      </w:r>
      <w:r w:rsidRPr="00780485">
        <w:t>tresse kan leda till målkonflikter och ger olika exempel på detta. Myndigh</w:t>
      </w:r>
      <w:r w:rsidRPr="00780485">
        <w:t>e</w:t>
      </w:r>
      <w:r w:rsidRPr="00780485">
        <w:t>ten menar att denna fråga inte har behandlats explicit i rapporten men att den ändå har tydlig bäring på Glesbygdsverkets roll. SIKA anser att det inte kan vara lätt för Glesbygdsverket att kraftfullt verka för det övergripande mål som formulerats och samtidigt upprätthålla det helhetsperspektiv på sa</w:t>
      </w:r>
      <w:r w:rsidRPr="00780485">
        <w:t>m</w:t>
      </w:r>
      <w:r w:rsidRPr="00780485">
        <w:t xml:space="preserve">hällsutvecklingen och medborgarnas intressen som, enligt verkets mening, bör ligga i myndighetsrollen. </w:t>
      </w:r>
    </w:p>
    <w:p w:rsidR="007A6E3D" w:rsidRPr="00780485" w:rsidRDefault="007A6E3D">
      <w:pPr>
        <w:pStyle w:val="R3"/>
      </w:pPr>
      <w:r w:rsidRPr="00780485">
        <w:t>Länsstyrelsen i Dalarnas län</w:t>
      </w:r>
    </w:p>
    <w:p w:rsidR="007A6E3D" w:rsidRPr="00780485" w:rsidRDefault="007A6E3D">
      <w:r w:rsidRPr="00780485">
        <w:t>Länsstyrelsen i Dalarnas län skriver att den också uppmärksammat den te</w:t>
      </w:r>
      <w:r w:rsidRPr="00780485">
        <w:t>n</w:t>
      </w:r>
      <w:r w:rsidRPr="00780485">
        <w:t>dens till ”ovetenskaplighet” och bristande objektivitet som verket visat upp. Det handlar enligt länsstyrelsen främst om en tendens att lägga tyngdpunkten på positiva faktorer vid beskrivningar av glesbygden och vid val av begre</w:t>
      </w:r>
      <w:r w:rsidRPr="00780485">
        <w:t>p</w:t>
      </w:r>
      <w:r w:rsidRPr="00780485">
        <w:t>pet glesbygd.</w:t>
      </w:r>
    </w:p>
    <w:p w:rsidR="007A6E3D" w:rsidRPr="00780485" w:rsidRDefault="007A6E3D">
      <w:pPr>
        <w:pStyle w:val="R3"/>
      </w:pPr>
      <w:r w:rsidRPr="00780485">
        <w:t>Länsstyrelsen i Västerbottens län</w:t>
      </w:r>
    </w:p>
    <w:p w:rsidR="007A6E3D" w:rsidRPr="00780485" w:rsidRDefault="007A6E3D">
      <w:r w:rsidRPr="00780485">
        <w:t>Länsstyrelsen i Västerbottens län kommenterar att Glesbygdsverket gärna ger en mer positiv bild av läget i glesbygden än vad som kan utläsas av st</w:t>
      </w:r>
      <w:r w:rsidRPr="00780485">
        <w:t>a</w:t>
      </w:r>
      <w:r w:rsidRPr="00780485">
        <w:t xml:space="preserve">tistiken. Länsstyrelsen anser det allvarligt att en myndighet inte intar en objektiv hållning till utvecklingen, utan presenterar en delvis vinklad bild över utvecklingen av vissa områden i landet och därmed ger falskt underlag för beslutsfattande. </w:t>
      </w:r>
    </w:p>
    <w:p w:rsidR="007A6E3D" w:rsidRPr="00780485" w:rsidRDefault="007A6E3D">
      <w:pPr>
        <w:pStyle w:val="Normaltindrag"/>
      </w:pPr>
      <w:r w:rsidRPr="00780485">
        <w:t>Länsstyrelsen understryker särskilt vikten av ett brett kunskaps- och fa</w:t>
      </w:r>
      <w:r w:rsidRPr="00780485">
        <w:t>k</w:t>
      </w:r>
      <w:r w:rsidRPr="00780485">
        <w:t>taunderlag som belyser den komplexitet som finns i befolkningens flyt</w:t>
      </w:r>
      <w:r w:rsidRPr="00780485">
        <w:t>t</w:t>
      </w:r>
      <w:r w:rsidRPr="00780485">
        <w:t xml:space="preserve">mönster och inte fokuserar på de positiva små tendenserna. Underlaget måste vara lättillgängligt för andra myndigheter. </w:t>
      </w:r>
    </w:p>
    <w:p w:rsidR="007A6E3D" w:rsidRPr="00780485" w:rsidRDefault="007A6E3D">
      <w:pPr>
        <w:pStyle w:val="Normaltindrag"/>
      </w:pPr>
      <w:r w:rsidRPr="00780485">
        <w:t>I rapportens analysdel skriver revisorerna att ”Glesbygdsverket kan sägas ha till uppgift att ständigt påminna sin arbetsgivare om att ta hänsyn till gles- och landsbygdsbefolkningen”. Länsstyrelsen kommenterar detta med att den anser att det är tveksamt att en sådan uppgift ska ligga på en specialmyndi</w:t>
      </w:r>
      <w:r w:rsidRPr="00780485">
        <w:t>g</w:t>
      </w:r>
      <w:r w:rsidRPr="00780485">
        <w:t xml:space="preserve">het i ett längre perspektiv. </w:t>
      </w:r>
    </w:p>
    <w:p w:rsidR="007A6E3D" w:rsidRPr="00780485" w:rsidRDefault="007A6E3D">
      <w:pPr>
        <w:pStyle w:val="R3"/>
      </w:pPr>
      <w:r w:rsidRPr="00780485">
        <w:t>Västra Götalandsregionen</w:t>
      </w:r>
    </w:p>
    <w:p w:rsidR="007A6E3D" w:rsidRPr="00780485" w:rsidRDefault="007A6E3D">
      <w:r w:rsidRPr="00780485">
        <w:t xml:space="preserve">Västra Götalandsregionen skriver att Glesbygdsverket i princip har två olika möjligheter att agera – utåt, genom att skapa opinion i glesbygdsfrågor, och inåt, genom att som expertmyndighet söka påverka andra statliga aktörer. Styrelsen menar att det är högst tveksamt om den förra uppgiften ryms inom en statlig expertmyndighets område. </w:t>
      </w:r>
    </w:p>
    <w:p w:rsidR="007A6E3D" w:rsidRPr="00780485" w:rsidRDefault="007A6E3D">
      <w:pPr>
        <w:pStyle w:val="R3"/>
      </w:pPr>
      <w:r w:rsidRPr="00780485">
        <w:t>Kommunförbundet i Västerbotten</w:t>
      </w:r>
    </w:p>
    <w:p w:rsidR="007A6E3D" w:rsidRPr="00780485" w:rsidRDefault="007A6E3D">
      <w:pPr>
        <w:pStyle w:val="Normaltindrag"/>
        <w:spacing w:line="240" w:lineRule="exact"/>
      </w:pPr>
      <w:r w:rsidRPr="00780485">
        <w:t>Kommunförbundet i Västerbotten anser att det inte är förenligt med det objektivitetskrav som måste kunna ställas på samtliga myndigheter att ge en mer positiv bild av läget i glesbygden än vad som återspeglas i officiell st</w:t>
      </w:r>
      <w:r w:rsidRPr="00780485">
        <w:t>a</w:t>
      </w:r>
      <w:r w:rsidRPr="00780485">
        <w:t>tistik.</w:t>
      </w:r>
    </w:p>
    <w:p w:rsidR="007A6E3D" w:rsidRPr="00780485" w:rsidRDefault="007A6E3D">
      <w:pPr>
        <w:pStyle w:val="Normaltindrag"/>
        <w:spacing w:line="240" w:lineRule="exact"/>
        <w:rPr>
          <w:i/>
          <w:sz w:val="22"/>
        </w:rPr>
        <w:sectPr w:rsidR="00000000" w:rsidRPr="00780485">
          <w:headerReference w:type="default" r:id="rId16"/>
          <w:pgSz w:w="11906" w:h="16838" w:code="9"/>
          <w:pgMar w:top="567" w:right="4876" w:bottom="4508" w:left="1134" w:header="227" w:footer="227" w:gutter="0"/>
          <w:cols w:space="720"/>
        </w:sectPr>
      </w:pPr>
    </w:p>
    <w:p w:rsidR="007A6E3D" w:rsidRPr="00780485" w:rsidRDefault="007A6E3D">
      <w:pPr>
        <w:pStyle w:val="Rubrik1"/>
        <w:numPr>
          <w:ilvl w:val="0"/>
          <w:numId w:val="0"/>
        </w:numPr>
      </w:pPr>
      <w:bookmarkStart w:id="195" w:name="_Toc526845802"/>
      <w:r w:rsidRPr="00780485">
        <w:t>Innehållsförteckning</w:t>
      </w:r>
      <w:bookmarkEnd w:id="195"/>
    </w:p>
    <w:p w:rsidR="007A6E3D" w:rsidRPr="00780485" w:rsidRDefault="007A6E3D">
      <w:pPr>
        <w:spacing w:before="0"/>
      </w:pPr>
    </w:p>
    <w:p w:rsidR="007A6E3D" w:rsidRPr="00780485" w:rsidRDefault="007A6E3D">
      <w:pPr>
        <w:pStyle w:val="Innehll1"/>
        <w:rPr>
          <w:noProof w:val="0"/>
        </w:rPr>
      </w:pPr>
      <w:r w:rsidRPr="00780485">
        <w:rPr>
          <w:noProof w:val="0"/>
        </w:rPr>
        <w:t>1</w:t>
      </w:r>
      <w:r w:rsidRPr="00780485">
        <w:rPr>
          <w:noProof w:val="0"/>
        </w:rPr>
        <w:tab/>
        <w:t>Revisorernas granskning</w:t>
      </w:r>
      <w:r w:rsidRPr="00780485">
        <w:rPr>
          <w:noProof w:val="0"/>
        </w:rPr>
        <w:tab/>
        <w:t>1</w:t>
      </w:r>
    </w:p>
    <w:p w:rsidR="007A6E3D" w:rsidRPr="00780485" w:rsidRDefault="007A6E3D">
      <w:pPr>
        <w:pStyle w:val="Innehll1"/>
        <w:rPr>
          <w:noProof w:val="0"/>
        </w:rPr>
      </w:pPr>
      <w:r w:rsidRPr="00780485">
        <w:rPr>
          <w:noProof w:val="0"/>
        </w:rPr>
        <w:t>2</w:t>
      </w:r>
      <w:r w:rsidRPr="00780485">
        <w:rPr>
          <w:noProof w:val="0"/>
        </w:rPr>
        <w:tab/>
        <w:t>Remissinstansernas synpunkter och revisorernas överväganden</w:t>
      </w:r>
      <w:r w:rsidRPr="00780485">
        <w:rPr>
          <w:noProof w:val="0"/>
        </w:rPr>
        <w:tab/>
        <w:t>2</w:t>
      </w:r>
    </w:p>
    <w:p w:rsidR="007A6E3D" w:rsidRPr="00780485" w:rsidRDefault="007A6E3D">
      <w:pPr>
        <w:pStyle w:val="Innehll2"/>
        <w:rPr>
          <w:noProof w:val="0"/>
        </w:rPr>
      </w:pPr>
      <w:r w:rsidRPr="00780485">
        <w:rPr>
          <w:noProof w:val="0"/>
        </w:rPr>
        <w:t>2.1</w:t>
      </w:r>
      <w:r w:rsidRPr="00780485">
        <w:rPr>
          <w:noProof w:val="0"/>
        </w:rPr>
        <w:tab/>
        <w:t>Översyn av Glesbygdsverkets roll inom regionalpolitiken</w:t>
      </w:r>
      <w:r w:rsidRPr="00780485">
        <w:rPr>
          <w:noProof w:val="0"/>
        </w:rPr>
        <w:tab/>
        <w:t>3</w:t>
      </w:r>
    </w:p>
    <w:p w:rsidR="007A6E3D" w:rsidRPr="00780485" w:rsidRDefault="007A6E3D">
      <w:pPr>
        <w:pStyle w:val="Innehll2"/>
        <w:rPr>
          <w:noProof w:val="0"/>
        </w:rPr>
      </w:pPr>
      <w:r w:rsidRPr="00780485">
        <w:rPr>
          <w:noProof w:val="0"/>
        </w:rPr>
        <w:t>2.2</w:t>
      </w:r>
      <w:r w:rsidRPr="00780485">
        <w:rPr>
          <w:noProof w:val="0"/>
        </w:rPr>
        <w:tab/>
        <w:t>Förtydliga geografisk avgränsning av gles- och landsbygd</w:t>
      </w:r>
      <w:r w:rsidRPr="00780485">
        <w:rPr>
          <w:noProof w:val="0"/>
        </w:rPr>
        <w:tab/>
        <w:t>5</w:t>
      </w:r>
    </w:p>
    <w:p w:rsidR="007A6E3D" w:rsidRPr="00780485" w:rsidRDefault="007A6E3D">
      <w:pPr>
        <w:pStyle w:val="Innehll2"/>
        <w:rPr>
          <w:noProof w:val="0"/>
        </w:rPr>
      </w:pPr>
      <w:r w:rsidRPr="00780485">
        <w:rPr>
          <w:noProof w:val="0"/>
        </w:rPr>
        <w:t>2.3</w:t>
      </w:r>
      <w:r w:rsidRPr="00780485">
        <w:rPr>
          <w:noProof w:val="0"/>
        </w:rPr>
        <w:tab/>
        <w:t>Ansvarsfördelning rörande stöd till kommersiell service</w:t>
      </w:r>
      <w:r w:rsidRPr="00780485">
        <w:rPr>
          <w:noProof w:val="0"/>
        </w:rPr>
        <w:tab/>
        <w:t>8</w:t>
      </w:r>
    </w:p>
    <w:p w:rsidR="007A6E3D" w:rsidRPr="00780485" w:rsidRDefault="007A6E3D">
      <w:pPr>
        <w:pStyle w:val="Innehll2"/>
        <w:rPr>
          <w:noProof w:val="0"/>
        </w:rPr>
      </w:pPr>
      <w:r w:rsidRPr="00780485">
        <w:rPr>
          <w:noProof w:val="0"/>
        </w:rPr>
        <w:t>2.4</w:t>
      </w:r>
      <w:r w:rsidRPr="00780485">
        <w:rPr>
          <w:noProof w:val="0"/>
        </w:rPr>
        <w:tab/>
        <w:t>Överväganden om saklighet</w:t>
      </w:r>
      <w:r w:rsidRPr="00780485">
        <w:rPr>
          <w:noProof w:val="0"/>
        </w:rPr>
        <w:tab/>
        <w:t>9</w:t>
      </w:r>
    </w:p>
    <w:p w:rsidR="007A6E3D" w:rsidRPr="00780485" w:rsidRDefault="007A6E3D">
      <w:pPr>
        <w:pStyle w:val="Innehll1"/>
        <w:rPr>
          <w:noProof w:val="0"/>
        </w:rPr>
      </w:pPr>
      <w:r w:rsidRPr="00780485">
        <w:rPr>
          <w:noProof w:val="0"/>
        </w:rPr>
        <w:t>3</w:t>
      </w:r>
      <w:r w:rsidRPr="00780485">
        <w:rPr>
          <w:noProof w:val="0"/>
        </w:rPr>
        <w:tab/>
        <w:t>Revisorernas förslag</w:t>
      </w:r>
      <w:r w:rsidRPr="00780485">
        <w:rPr>
          <w:noProof w:val="0"/>
        </w:rPr>
        <w:tab/>
        <w:t>11</w:t>
      </w:r>
    </w:p>
    <w:p w:rsidR="007A6E3D" w:rsidRPr="00780485" w:rsidRDefault="007A6E3D">
      <w:pPr>
        <w:pStyle w:val="Innehll1"/>
        <w:rPr>
          <w:noProof w:val="0"/>
        </w:rPr>
      </w:pPr>
    </w:p>
    <w:p w:rsidR="007A6E3D" w:rsidRPr="00780485" w:rsidRDefault="007A6E3D">
      <w:pPr>
        <w:pStyle w:val="Innehll1"/>
        <w:rPr>
          <w:i/>
          <w:noProof w:val="0"/>
        </w:rPr>
      </w:pPr>
      <w:r w:rsidRPr="00780485">
        <w:rPr>
          <w:i/>
          <w:noProof w:val="0"/>
        </w:rPr>
        <w:t>Bilaga 1</w:t>
      </w:r>
    </w:p>
    <w:p w:rsidR="007A6E3D" w:rsidRPr="00780485" w:rsidRDefault="007A6E3D">
      <w:pPr>
        <w:pStyle w:val="Innehll1"/>
        <w:rPr>
          <w:noProof w:val="0"/>
        </w:rPr>
      </w:pPr>
      <w:r w:rsidRPr="00780485">
        <w:rPr>
          <w:noProof w:val="0"/>
        </w:rPr>
        <w:t>Rapport 2000/01:12 Glesbygdsverkets roll i regionalpolitiken</w:t>
      </w:r>
      <w:r w:rsidRPr="00780485">
        <w:rPr>
          <w:noProof w:val="0"/>
        </w:rPr>
        <w:tab/>
        <w:t>13</w:t>
      </w:r>
    </w:p>
    <w:p w:rsidR="007A6E3D" w:rsidRPr="00780485" w:rsidRDefault="007A6E3D">
      <w:pPr>
        <w:pStyle w:val="Innehll1"/>
        <w:rPr>
          <w:noProof w:val="0"/>
        </w:rPr>
      </w:pPr>
      <w:r w:rsidRPr="00780485">
        <w:rPr>
          <w:noProof w:val="0"/>
        </w:rPr>
        <w:t>Förord</w:t>
      </w:r>
      <w:r w:rsidRPr="00780485">
        <w:rPr>
          <w:noProof w:val="0"/>
        </w:rPr>
        <w:tab/>
        <w:t>1</w:t>
      </w:r>
      <w:bookmarkStart w:id="196" w:name="_Hlt526850424"/>
      <w:r w:rsidRPr="00780485">
        <w:rPr>
          <w:noProof w:val="0"/>
        </w:rPr>
        <w:t>4</w:t>
      </w:r>
      <w:bookmarkEnd w:id="196"/>
    </w:p>
    <w:p w:rsidR="007A6E3D" w:rsidRPr="00780485" w:rsidRDefault="007A6E3D">
      <w:pPr>
        <w:pStyle w:val="Innehll1"/>
        <w:rPr>
          <w:noProof w:val="0"/>
        </w:rPr>
      </w:pPr>
      <w:r w:rsidRPr="00780485">
        <w:rPr>
          <w:noProof w:val="0"/>
        </w:rPr>
        <w:t>Sammanfattning</w:t>
      </w:r>
      <w:r w:rsidRPr="00780485">
        <w:rPr>
          <w:noProof w:val="0"/>
        </w:rPr>
        <w:tab/>
        <w:t>15</w:t>
      </w:r>
    </w:p>
    <w:p w:rsidR="007A6E3D" w:rsidRPr="00780485" w:rsidRDefault="007A6E3D">
      <w:pPr>
        <w:pStyle w:val="Innehll2"/>
        <w:rPr>
          <w:noProof w:val="0"/>
        </w:rPr>
      </w:pPr>
      <w:r w:rsidRPr="00780485">
        <w:rPr>
          <w:noProof w:val="0"/>
        </w:rPr>
        <w:t>Revisorernas överväganden och förslag</w:t>
      </w:r>
      <w:r w:rsidRPr="00780485">
        <w:rPr>
          <w:noProof w:val="0"/>
        </w:rPr>
        <w:tab/>
        <w:t>16</w:t>
      </w:r>
    </w:p>
    <w:p w:rsidR="007A6E3D" w:rsidRPr="00780485" w:rsidRDefault="007A6E3D">
      <w:pPr>
        <w:pStyle w:val="Innehll1"/>
        <w:rPr>
          <w:noProof w:val="0"/>
        </w:rPr>
      </w:pPr>
      <w:r w:rsidRPr="00780485">
        <w:rPr>
          <w:noProof w:val="0"/>
        </w:rPr>
        <w:t>1</w:t>
      </w:r>
      <w:r w:rsidRPr="00780485">
        <w:rPr>
          <w:noProof w:val="0"/>
        </w:rPr>
        <w:tab/>
        <w:t>Granskningens bakgrund och inriktning</w:t>
      </w:r>
      <w:r w:rsidRPr="00780485">
        <w:rPr>
          <w:noProof w:val="0"/>
        </w:rPr>
        <w:tab/>
        <w:t>17</w:t>
      </w:r>
    </w:p>
    <w:p w:rsidR="007A6E3D" w:rsidRPr="00780485" w:rsidRDefault="007A6E3D">
      <w:pPr>
        <w:pStyle w:val="Innehll2"/>
        <w:rPr>
          <w:noProof w:val="0"/>
        </w:rPr>
      </w:pPr>
      <w:r w:rsidRPr="00780485">
        <w:rPr>
          <w:noProof w:val="0"/>
        </w:rPr>
        <w:t>1.1</w:t>
      </w:r>
      <w:r w:rsidRPr="00780485">
        <w:rPr>
          <w:noProof w:val="0"/>
        </w:rPr>
        <w:tab/>
        <w:t>Hur bildades Glesbygdsverket?</w:t>
      </w:r>
      <w:r w:rsidRPr="00780485">
        <w:rPr>
          <w:noProof w:val="0"/>
        </w:rPr>
        <w:tab/>
        <w:t>17</w:t>
      </w:r>
    </w:p>
    <w:p w:rsidR="007A6E3D" w:rsidRPr="00780485" w:rsidRDefault="007A6E3D">
      <w:pPr>
        <w:pStyle w:val="Innehll1"/>
        <w:rPr>
          <w:noProof w:val="0"/>
        </w:rPr>
      </w:pPr>
      <w:r w:rsidRPr="00780485">
        <w:rPr>
          <w:noProof w:val="0"/>
        </w:rPr>
        <w:t>2</w:t>
      </w:r>
      <w:r w:rsidRPr="00780485">
        <w:rPr>
          <w:noProof w:val="0"/>
        </w:rPr>
        <w:tab/>
        <w:t>Regionalpolitikens utveckling</w:t>
      </w:r>
      <w:r w:rsidRPr="00780485">
        <w:rPr>
          <w:noProof w:val="0"/>
        </w:rPr>
        <w:tab/>
        <w:t>19</w:t>
      </w:r>
    </w:p>
    <w:p w:rsidR="007A6E3D" w:rsidRPr="00780485" w:rsidRDefault="007A6E3D">
      <w:pPr>
        <w:pStyle w:val="Innehll2"/>
        <w:rPr>
          <w:noProof w:val="0"/>
        </w:rPr>
      </w:pPr>
      <w:r w:rsidRPr="00780485">
        <w:rPr>
          <w:noProof w:val="0"/>
        </w:rPr>
        <w:t>2.1</w:t>
      </w:r>
      <w:r w:rsidRPr="00780485">
        <w:rPr>
          <w:noProof w:val="0"/>
        </w:rPr>
        <w:tab/>
        <w:t>Regionalpolitikens inriktning under 1990-talet</w:t>
      </w:r>
      <w:r w:rsidRPr="00780485">
        <w:rPr>
          <w:noProof w:val="0"/>
        </w:rPr>
        <w:tab/>
        <w:t>19</w:t>
      </w:r>
    </w:p>
    <w:p w:rsidR="007A6E3D" w:rsidRPr="00780485" w:rsidRDefault="007A6E3D">
      <w:pPr>
        <w:pStyle w:val="Innehll3"/>
        <w:rPr>
          <w:noProof w:val="0"/>
        </w:rPr>
      </w:pPr>
      <w:r w:rsidRPr="00780485">
        <w:rPr>
          <w:noProof w:val="0"/>
        </w:rPr>
        <w:t>2.1.1</w:t>
      </w:r>
      <w:r w:rsidRPr="00780485">
        <w:rPr>
          <w:noProof w:val="0"/>
        </w:rPr>
        <w:tab/>
        <w:t>Ökad delegering och decentralisering</w:t>
      </w:r>
      <w:r w:rsidRPr="00780485">
        <w:rPr>
          <w:noProof w:val="0"/>
        </w:rPr>
        <w:tab/>
        <w:t>20</w:t>
      </w:r>
    </w:p>
    <w:p w:rsidR="007A6E3D" w:rsidRPr="00780485" w:rsidRDefault="007A6E3D">
      <w:pPr>
        <w:pStyle w:val="Innehll3"/>
        <w:rPr>
          <w:noProof w:val="0"/>
        </w:rPr>
      </w:pPr>
      <w:r w:rsidRPr="00780485">
        <w:rPr>
          <w:noProof w:val="0"/>
        </w:rPr>
        <w:t>2.1.2</w:t>
      </w:r>
      <w:r w:rsidRPr="00780485">
        <w:rPr>
          <w:noProof w:val="0"/>
        </w:rPr>
        <w:tab/>
        <w:t>Ökad målstyrning</w:t>
      </w:r>
      <w:r w:rsidRPr="00780485">
        <w:rPr>
          <w:noProof w:val="0"/>
        </w:rPr>
        <w:tab/>
        <w:t>20</w:t>
      </w:r>
    </w:p>
    <w:p w:rsidR="007A6E3D" w:rsidRPr="00780485" w:rsidRDefault="007A6E3D">
      <w:pPr>
        <w:pStyle w:val="Innehll3"/>
        <w:rPr>
          <w:noProof w:val="0"/>
        </w:rPr>
      </w:pPr>
      <w:r w:rsidRPr="00780485">
        <w:rPr>
          <w:noProof w:val="0"/>
        </w:rPr>
        <w:t>2.1.3</w:t>
      </w:r>
      <w:r w:rsidRPr="00780485">
        <w:rPr>
          <w:noProof w:val="0"/>
        </w:rPr>
        <w:tab/>
        <w:t>EU-medlemskapet</w:t>
      </w:r>
      <w:r w:rsidRPr="00780485">
        <w:rPr>
          <w:noProof w:val="0"/>
        </w:rPr>
        <w:tab/>
        <w:t>21</w:t>
      </w:r>
    </w:p>
    <w:p w:rsidR="007A6E3D" w:rsidRPr="00780485" w:rsidRDefault="007A6E3D">
      <w:pPr>
        <w:pStyle w:val="Innehll3"/>
        <w:rPr>
          <w:noProof w:val="0"/>
        </w:rPr>
      </w:pPr>
      <w:r w:rsidRPr="00780485">
        <w:rPr>
          <w:noProof w:val="0"/>
        </w:rPr>
        <w:t>2.1.4</w:t>
      </w:r>
      <w:r w:rsidRPr="00780485">
        <w:rPr>
          <w:noProof w:val="0"/>
        </w:rPr>
        <w:tab/>
        <w:t>Decentralisering och kommunalisering</w:t>
      </w:r>
      <w:r w:rsidRPr="00780485">
        <w:rPr>
          <w:noProof w:val="0"/>
        </w:rPr>
        <w:tab/>
        <w:t>21</w:t>
      </w:r>
    </w:p>
    <w:p w:rsidR="007A6E3D" w:rsidRPr="00780485" w:rsidRDefault="007A6E3D">
      <w:pPr>
        <w:pStyle w:val="Innehll3"/>
        <w:rPr>
          <w:noProof w:val="0"/>
        </w:rPr>
      </w:pPr>
      <w:r w:rsidRPr="00780485">
        <w:rPr>
          <w:noProof w:val="0"/>
        </w:rPr>
        <w:t>2.1.5</w:t>
      </w:r>
      <w:r w:rsidRPr="00780485">
        <w:rPr>
          <w:noProof w:val="0"/>
        </w:rPr>
        <w:tab/>
        <w:t>Regional näringspolitik</w:t>
      </w:r>
      <w:r w:rsidRPr="00780485">
        <w:rPr>
          <w:noProof w:val="0"/>
        </w:rPr>
        <w:tab/>
        <w:t>22</w:t>
      </w:r>
    </w:p>
    <w:p w:rsidR="007A6E3D" w:rsidRPr="00780485" w:rsidRDefault="007A6E3D">
      <w:pPr>
        <w:pStyle w:val="Innehll3"/>
        <w:rPr>
          <w:noProof w:val="0"/>
        </w:rPr>
      </w:pPr>
      <w:r w:rsidRPr="00780485">
        <w:rPr>
          <w:noProof w:val="0"/>
        </w:rPr>
        <w:t>2.1.6</w:t>
      </w:r>
      <w:r w:rsidRPr="00780485">
        <w:rPr>
          <w:noProof w:val="0"/>
        </w:rPr>
        <w:tab/>
        <w:t>Utredning om den framtida regionalpolitiken</w:t>
      </w:r>
      <w:r w:rsidRPr="00780485">
        <w:rPr>
          <w:noProof w:val="0"/>
        </w:rPr>
        <w:tab/>
        <w:t>22</w:t>
      </w:r>
    </w:p>
    <w:p w:rsidR="007A6E3D" w:rsidRPr="00780485" w:rsidRDefault="007A6E3D">
      <w:pPr>
        <w:pStyle w:val="Innehll1"/>
        <w:rPr>
          <w:noProof w:val="0"/>
        </w:rPr>
      </w:pPr>
      <w:r w:rsidRPr="00780485">
        <w:rPr>
          <w:noProof w:val="0"/>
        </w:rPr>
        <w:t>3</w:t>
      </w:r>
      <w:r w:rsidRPr="00780485">
        <w:rPr>
          <w:noProof w:val="0"/>
        </w:rPr>
        <w:tab/>
        <w:t>Regionalpolitikens medel</w:t>
      </w:r>
      <w:r w:rsidRPr="00780485">
        <w:rPr>
          <w:noProof w:val="0"/>
        </w:rPr>
        <w:tab/>
        <w:t>25</w:t>
      </w:r>
    </w:p>
    <w:p w:rsidR="007A6E3D" w:rsidRPr="00780485" w:rsidRDefault="007A6E3D">
      <w:pPr>
        <w:pStyle w:val="Innehll2"/>
        <w:rPr>
          <w:noProof w:val="0"/>
        </w:rPr>
      </w:pPr>
      <w:r w:rsidRPr="00780485">
        <w:rPr>
          <w:noProof w:val="0"/>
        </w:rPr>
        <w:t>3.1</w:t>
      </w:r>
      <w:r w:rsidRPr="00780485">
        <w:rPr>
          <w:noProof w:val="0"/>
        </w:rPr>
        <w:tab/>
        <w:t>Den lilla regionalpolitiken</w:t>
      </w:r>
      <w:r w:rsidRPr="00780485">
        <w:rPr>
          <w:noProof w:val="0"/>
        </w:rPr>
        <w:tab/>
        <w:t>25</w:t>
      </w:r>
    </w:p>
    <w:p w:rsidR="007A6E3D" w:rsidRPr="00780485" w:rsidRDefault="007A6E3D">
      <w:pPr>
        <w:pStyle w:val="Innehll2"/>
        <w:rPr>
          <w:noProof w:val="0"/>
        </w:rPr>
      </w:pPr>
      <w:r w:rsidRPr="00780485">
        <w:rPr>
          <w:noProof w:val="0"/>
        </w:rPr>
        <w:t>3.2</w:t>
      </w:r>
      <w:r w:rsidRPr="00780485">
        <w:rPr>
          <w:noProof w:val="0"/>
        </w:rPr>
        <w:tab/>
        <w:t>Den stora regionalpolitiken</w:t>
      </w:r>
      <w:r w:rsidRPr="00780485">
        <w:rPr>
          <w:noProof w:val="0"/>
        </w:rPr>
        <w:tab/>
        <w:t>27</w:t>
      </w:r>
    </w:p>
    <w:p w:rsidR="007A6E3D" w:rsidRPr="00780485" w:rsidRDefault="007A6E3D">
      <w:pPr>
        <w:pStyle w:val="Innehll3"/>
        <w:rPr>
          <w:noProof w:val="0"/>
        </w:rPr>
      </w:pPr>
      <w:r w:rsidRPr="00780485">
        <w:rPr>
          <w:noProof w:val="0"/>
        </w:rPr>
        <w:t>3.2.1</w:t>
      </w:r>
      <w:r w:rsidRPr="00780485">
        <w:rPr>
          <w:noProof w:val="0"/>
        </w:rPr>
        <w:tab/>
        <w:t>Statliga myndigheter och bolag</w:t>
      </w:r>
      <w:r w:rsidRPr="00780485">
        <w:rPr>
          <w:noProof w:val="0"/>
        </w:rPr>
        <w:tab/>
        <w:t>28</w:t>
      </w:r>
    </w:p>
    <w:p w:rsidR="007A6E3D" w:rsidRPr="00780485" w:rsidRDefault="007A6E3D">
      <w:pPr>
        <w:pStyle w:val="Innehll3"/>
        <w:rPr>
          <w:noProof w:val="0"/>
        </w:rPr>
      </w:pPr>
      <w:r w:rsidRPr="00780485">
        <w:rPr>
          <w:noProof w:val="0"/>
        </w:rPr>
        <w:t>3.2.2</w:t>
      </w:r>
      <w:r w:rsidRPr="00780485">
        <w:rPr>
          <w:noProof w:val="0"/>
        </w:rPr>
        <w:tab/>
        <w:t>Kommuner och landsting</w:t>
      </w:r>
      <w:r w:rsidRPr="00780485">
        <w:rPr>
          <w:noProof w:val="0"/>
        </w:rPr>
        <w:tab/>
        <w:t>29</w:t>
      </w:r>
    </w:p>
    <w:p w:rsidR="007A6E3D" w:rsidRPr="00780485" w:rsidRDefault="007A6E3D">
      <w:pPr>
        <w:pStyle w:val="Innehll3"/>
        <w:rPr>
          <w:noProof w:val="0"/>
        </w:rPr>
      </w:pPr>
      <w:r w:rsidRPr="00780485">
        <w:rPr>
          <w:noProof w:val="0"/>
        </w:rPr>
        <w:t>3.2.3</w:t>
      </w:r>
      <w:r w:rsidRPr="00780485">
        <w:rPr>
          <w:noProof w:val="0"/>
        </w:rPr>
        <w:tab/>
        <w:t>Uppföljning</w:t>
      </w:r>
      <w:r w:rsidRPr="00780485">
        <w:rPr>
          <w:noProof w:val="0"/>
        </w:rPr>
        <w:tab/>
        <w:t>29</w:t>
      </w:r>
    </w:p>
    <w:p w:rsidR="007A6E3D" w:rsidRPr="00780485" w:rsidRDefault="007A6E3D">
      <w:pPr>
        <w:pStyle w:val="Innehll1"/>
        <w:rPr>
          <w:noProof w:val="0"/>
        </w:rPr>
      </w:pPr>
      <w:r w:rsidRPr="00780485">
        <w:rPr>
          <w:noProof w:val="0"/>
        </w:rPr>
        <w:t>4</w:t>
      </w:r>
      <w:r w:rsidRPr="00780485">
        <w:rPr>
          <w:noProof w:val="0"/>
        </w:rPr>
        <w:tab/>
        <w:t>Glesbygdsverkets uppdrag och verksamhet</w:t>
      </w:r>
      <w:r w:rsidRPr="00780485">
        <w:rPr>
          <w:noProof w:val="0"/>
        </w:rPr>
        <w:tab/>
        <w:t>32</w:t>
      </w:r>
    </w:p>
    <w:p w:rsidR="007A6E3D" w:rsidRPr="00780485" w:rsidRDefault="007A6E3D">
      <w:pPr>
        <w:pStyle w:val="Innehll2"/>
        <w:rPr>
          <w:noProof w:val="0"/>
        </w:rPr>
      </w:pPr>
      <w:r w:rsidRPr="00780485">
        <w:rPr>
          <w:noProof w:val="0"/>
        </w:rPr>
        <w:t>4.1</w:t>
      </w:r>
      <w:r w:rsidRPr="00780485">
        <w:rPr>
          <w:noProof w:val="0"/>
        </w:rPr>
        <w:tab/>
        <w:t>Övergripande mål</w:t>
      </w:r>
      <w:r w:rsidRPr="00780485">
        <w:rPr>
          <w:noProof w:val="0"/>
        </w:rPr>
        <w:tab/>
        <w:t>32</w:t>
      </w:r>
    </w:p>
    <w:p w:rsidR="007A6E3D" w:rsidRPr="00780485" w:rsidRDefault="007A6E3D">
      <w:pPr>
        <w:pStyle w:val="Innehll2"/>
        <w:rPr>
          <w:noProof w:val="0"/>
        </w:rPr>
      </w:pPr>
      <w:r w:rsidRPr="00780485">
        <w:rPr>
          <w:noProof w:val="0"/>
        </w:rPr>
        <w:t>4.2</w:t>
      </w:r>
      <w:r w:rsidRPr="00780485">
        <w:rPr>
          <w:noProof w:val="0"/>
        </w:rPr>
        <w:tab/>
        <w:t>Regeringens mål för Glesbygdsverket</w:t>
      </w:r>
      <w:r w:rsidRPr="00780485">
        <w:rPr>
          <w:noProof w:val="0"/>
        </w:rPr>
        <w:tab/>
        <w:t>34</w:t>
      </w:r>
    </w:p>
    <w:p w:rsidR="007A6E3D" w:rsidRPr="00780485" w:rsidRDefault="007A6E3D">
      <w:pPr>
        <w:pStyle w:val="Innehll2"/>
        <w:rPr>
          <w:noProof w:val="0"/>
        </w:rPr>
      </w:pPr>
      <w:r w:rsidRPr="00780485">
        <w:rPr>
          <w:noProof w:val="0"/>
        </w:rPr>
        <w:t>4.3</w:t>
      </w:r>
      <w:r w:rsidRPr="00780485">
        <w:rPr>
          <w:noProof w:val="0"/>
        </w:rPr>
        <w:tab/>
        <w:t>Glesbygdsverkets verksamhetsgrenar</w:t>
      </w:r>
      <w:r w:rsidRPr="00780485">
        <w:rPr>
          <w:noProof w:val="0"/>
        </w:rPr>
        <w:tab/>
        <w:t>35</w:t>
      </w:r>
    </w:p>
    <w:p w:rsidR="007A6E3D" w:rsidRPr="00780485" w:rsidRDefault="007A6E3D">
      <w:pPr>
        <w:pStyle w:val="Innehll3"/>
        <w:rPr>
          <w:noProof w:val="0"/>
        </w:rPr>
      </w:pPr>
      <w:r w:rsidRPr="00780485">
        <w:rPr>
          <w:noProof w:val="0"/>
        </w:rPr>
        <w:t>4.3.1</w:t>
      </w:r>
      <w:r w:rsidRPr="00780485">
        <w:rPr>
          <w:noProof w:val="0"/>
        </w:rPr>
        <w:tab/>
        <w:t>Sektorssamordning</w:t>
      </w:r>
      <w:r w:rsidRPr="00780485">
        <w:rPr>
          <w:noProof w:val="0"/>
        </w:rPr>
        <w:tab/>
        <w:t>36</w:t>
      </w:r>
    </w:p>
    <w:p w:rsidR="007A6E3D" w:rsidRPr="00780485" w:rsidRDefault="007A6E3D">
      <w:pPr>
        <w:pStyle w:val="Innehll3"/>
        <w:rPr>
          <w:noProof w:val="0"/>
        </w:rPr>
      </w:pPr>
      <w:r w:rsidRPr="00780485">
        <w:rPr>
          <w:noProof w:val="0"/>
        </w:rPr>
        <w:t>4.3.2</w:t>
      </w:r>
      <w:r w:rsidRPr="00780485">
        <w:rPr>
          <w:noProof w:val="0"/>
        </w:rPr>
        <w:tab/>
        <w:t>Beslutsunderlag till regeringen</w:t>
      </w:r>
      <w:r w:rsidRPr="00780485">
        <w:rPr>
          <w:noProof w:val="0"/>
        </w:rPr>
        <w:tab/>
        <w:t>37</w:t>
      </w:r>
    </w:p>
    <w:p w:rsidR="007A6E3D" w:rsidRPr="00780485" w:rsidRDefault="007A6E3D">
      <w:pPr>
        <w:pStyle w:val="Innehll3"/>
        <w:rPr>
          <w:noProof w:val="0"/>
        </w:rPr>
      </w:pPr>
      <w:r w:rsidRPr="00780485">
        <w:rPr>
          <w:noProof w:val="0"/>
        </w:rPr>
        <w:t>4.3.3</w:t>
      </w:r>
      <w:r w:rsidRPr="00780485">
        <w:rPr>
          <w:noProof w:val="0"/>
        </w:rPr>
        <w:tab/>
        <w:t>Kunskapsförmedling</w:t>
      </w:r>
      <w:r w:rsidRPr="00780485">
        <w:rPr>
          <w:noProof w:val="0"/>
        </w:rPr>
        <w:tab/>
        <w:t>39</w:t>
      </w:r>
    </w:p>
    <w:p w:rsidR="007A6E3D" w:rsidRPr="00780485" w:rsidRDefault="007A6E3D">
      <w:pPr>
        <w:pStyle w:val="Innehll3"/>
        <w:rPr>
          <w:noProof w:val="0"/>
        </w:rPr>
      </w:pPr>
      <w:r w:rsidRPr="00780485">
        <w:rPr>
          <w:noProof w:val="0"/>
        </w:rPr>
        <w:t>4.3.4</w:t>
      </w:r>
      <w:r w:rsidRPr="00780485">
        <w:rPr>
          <w:noProof w:val="0"/>
        </w:rPr>
        <w:tab/>
        <w:t>Förvaltningsmyndighet gemenskapsinitiativet LEADER+</w:t>
      </w:r>
      <w:r w:rsidRPr="00780485">
        <w:rPr>
          <w:noProof w:val="0"/>
        </w:rPr>
        <w:tab/>
        <w:t>40</w:t>
      </w:r>
    </w:p>
    <w:p w:rsidR="007A6E3D" w:rsidRPr="00780485" w:rsidRDefault="007A6E3D">
      <w:pPr>
        <w:pStyle w:val="Innehll2"/>
        <w:rPr>
          <w:noProof w:val="0"/>
        </w:rPr>
      </w:pPr>
      <w:r w:rsidRPr="00780485">
        <w:rPr>
          <w:noProof w:val="0"/>
        </w:rPr>
        <w:t>4.4</w:t>
      </w:r>
      <w:r w:rsidRPr="00780485">
        <w:rPr>
          <w:noProof w:val="0"/>
        </w:rPr>
        <w:tab/>
        <w:t>Regeringens återrapportering till riksdagen</w:t>
      </w:r>
      <w:r w:rsidRPr="00780485">
        <w:rPr>
          <w:noProof w:val="0"/>
        </w:rPr>
        <w:tab/>
        <w:t>41</w:t>
      </w:r>
    </w:p>
    <w:p w:rsidR="007A6E3D" w:rsidRPr="00780485" w:rsidRDefault="007A6E3D">
      <w:pPr>
        <w:pStyle w:val="Innehll2"/>
        <w:rPr>
          <w:noProof w:val="0"/>
        </w:rPr>
      </w:pPr>
      <w:r w:rsidRPr="00780485">
        <w:rPr>
          <w:noProof w:val="0"/>
        </w:rPr>
        <w:t>4.5</w:t>
      </w:r>
      <w:r w:rsidRPr="00780485">
        <w:rPr>
          <w:noProof w:val="0"/>
        </w:rPr>
        <w:tab/>
        <w:t>Ny verksamhetsgrensindelning 2001</w:t>
      </w:r>
      <w:r w:rsidRPr="00780485">
        <w:rPr>
          <w:noProof w:val="0"/>
        </w:rPr>
        <w:tab/>
        <w:t>42</w:t>
      </w:r>
    </w:p>
    <w:p w:rsidR="007A6E3D" w:rsidRPr="00780485" w:rsidRDefault="007A6E3D">
      <w:pPr>
        <w:pStyle w:val="Innehll1"/>
        <w:rPr>
          <w:noProof w:val="0"/>
        </w:rPr>
      </w:pPr>
      <w:r w:rsidRPr="00780485">
        <w:rPr>
          <w:noProof w:val="0"/>
        </w:rPr>
        <w:t>5</w:t>
      </w:r>
      <w:r w:rsidRPr="00780485">
        <w:rPr>
          <w:noProof w:val="0"/>
        </w:rPr>
        <w:tab/>
        <w:t>Regionalpolitikens organisation</w:t>
      </w:r>
      <w:r w:rsidRPr="00780485">
        <w:rPr>
          <w:noProof w:val="0"/>
        </w:rPr>
        <w:tab/>
        <w:t>43</w:t>
      </w:r>
    </w:p>
    <w:p w:rsidR="007A6E3D" w:rsidRPr="00780485" w:rsidRDefault="007A6E3D">
      <w:pPr>
        <w:pStyle w:val="Innehll2"/>
        <w:rPr>
          <w:noProof w:val="0"/>
        </w:rPr>
      </w:pPr>
      <w:r w:rsidRPr="00780485">
        <w:rPr>
          <w:noProof w:val="0"/>
        </w:rPr>
        <w:t>5.1</w:t>
      </w:r>
      <w:r w:rsidRPr="00780485">
        <w:rPr>
          <w:noProof w:val="0"/>
        </w:rPr>
        <w:tab/>
        <w:t>Omorganisation av regionalpolitikens myndighetsstruktur</w:t>
      </w:r>
      <w:r w:rsidRPr="00780485">
        <w:rPr>
          <w:noProof w:val="0"/>
        </w:rPr>
        <w:tab/>
      </w:r>
      <w:bookmarkStart w:id="197" w:name="_Hlt527953427"/>
      <w:r w:rsidRPr="00780485">
        <w:rPr>
          <w:noProof w:val="0"/>
        </w:rPr>
        <w:t>44</w:t>
      </w:r>
      <w:bookmarkEnd w:id="197"/>
    </w:p>
    <w:p w:rsidR="007A6E3D" w:rsidRPr="00780485" w:rsidRDefault="007A6E3D">
      <w:pPr>
        <w:pStyle w:val="Innehll2"/>
        <w:rPr>
          <w:noProof w:val="0"/>
        </w:rPr>
      </w:pPr>
      <w:r w:rsidRPr="00780485">
        <w:rPr>
          <w:noProof w:val="0"/>
        </w:rPr>
        <w:t>5.2</w:t>
      </w:r>
      <w:r w:rsidRPr="00780485">
        <w:rPr>
          <w:noProof w:val="0"/>
        </w:rPr>
        <w:tab/>
        <w:t>Verket för innovationssystem</w:t>
      </w:r>
      <w:r w:rsidRPr="00780485">
        <w:rPr>
          <w:noProof w:val="0"/>
        </w:rPr>
        <w:tab/>
        <w:t>45</w:t>
      </w:r>
    </w:p>
    <w:p w:rsidR="007A6E3D" w:rsidRPr="00780485" w:rsidRDefault="007A6E3D">
      <w:pPr>
        <w:pStyle w:val="Innehll2"/>
        <w:rPr>
          <w:noProof w:val="0"/>
        </w:rPr>
      </w:pPr>
      <w:r w:rsidRPr="00780485">
        <w:rPr>
          <w:noProof w:val="0"/>
        </w:rPr>
        <w:t>5.3</w:t>
      </w:r>
      <w:r w:rsidRPr="00780485">
        <w:rPr>
          <w:noProof w:val="0"/>
        </w:rPr>
        <w:tab/>
        <w:t>Verket för näringslivsutveckling</w:t>
      </w:r>
      <w:r w:rsidRPr="00780485">
        <w:rPr>
          <w:noProof w:val="0"/>
        </w:rPr>
        <w:tab/>
        <w:t>45</w:t>
      </w:r>
    </w:p>
    <w:p w:rsidR="007A6E3D" w:rsidRPr="00780485" w:rsidRDefault="007A6E3D">
      <w:pPr>
        <w:pStyle w:val="Innehll2"/>
        <w:rPr>
          <w:noProof w:val="0"/>
        </w:rPr>
      </w:pPr>
      <w:r w:rsidRPr="00780485">
        <w:rPr>
          <w:noProof w:val="0"/>
        </w:rPr>
        <w:t>5.4</w:t>
      </w:r>
      <w:r w:rsidRPr="00780485">
        <w:rPr>
          <w:noProof w:val="0"/>
        </w:rPr>
        <w:tab/>
        <w:t>Institutet för tillväxtpolitiska studier</w:t>
      </w:r>
      <w:r w:rsidRPr="00780485">
        <w:rPr>
          <w:noProof w:val="0"/>
        </w:rPr>
        <w:tab/>
        <w:t>47</w:t>
      </w:r>
    </w:p>
    <w:p w:rsidR="007A6E3D" w:rsidRPr="00780485" w:rsidRDefault="007A6E3D">
      <w:pPr>
        <w:pStyle w:val="Innehll2"/>
        <w:rPr>
          <w:noProof w:val="0"/>
        </w:rPr>
      </w:pPr>
      <w:r w:rsidRPr="00780485">
        <w:rPr>
          <w:noProof w:val="0"/>
        </w:rPr>
        <w:t>5.5</w:t>
      </w:r>
      <w:r w:rsidRPr="00780485">
        <w:rPr>
          <w:noProof w:val="0"/>
        </w:rPr>
        <w:tab/>
        <w:t>Länsstyrelsen</w:t>
      </w:r>
      <w:r w:rsidRPr="00780485">
        <w:rPr>
          <w:noProof w:val="0"/>
        </w:rPr>
        <w:tab/>
        <w:t>49</w:t>
      </w:r>
    </w:p>
    <w:p w:rsidR="007A6E3D" w:rsidRPr="00780485" w:rsidRDefault="007A6E3D">
      <w:pPr>
        <w:pStyle w:val="Innehll2"/>
        <w:rPr>
          <w:noProof w:val="0"/>
        </w:rPr>
      </w:pPr>
      <w:r w:rsidRPr="00780485">
        <w:rPr>
          <w:noProof w:val="0"/>
        </w:rPr>
        <w:t>5.6</w:t>
      </w:r>
      <w:r w:rsidRPr="00780485">
        <w:rPr>
          <w:noProof w:val="0"/>
        </w:rPr>
        <w:tab/>
        <w:t>Folkrörelserådet Hela Sverige ska leva</w:t>
      </w:r>
      <w:r w:rsidRPr="00780485">
        <w:rPr>
          <w:noProof w:val="0"/>
        </w:rPr>
        <w:tab/>
        <w:t>50</w:t>
      </w:r>
    </w:p>
    <w:p w:rsidR="007A6E3D" w:rsidRPr="00780485" w:rsidRDefault="007A6E3D">
      <w:pPr>
        <w:pStyle w:val="Innehll2"/>
        <w:rPr>
          <w:noProof w:val="0"/>
        </w:rPr>
      </w:pPr>
      <w:r w:rsidRPr="00780485">
        <w:rPr>
          <w:noProof w:val="0"/>
        </w:rPr>
        <w:t>5.7</w:t>
      </w:r>
      <w:r w:rsidRPr="00780485">
        <w:rPr>
          <w:noProof w:val="0"/>
        </w:rPr>
        <w:tab/>
        <w:t>Glesbygdsverket i den regionalpolitiska organisationen</w:t>
      </w:r>
      <w:r w:rsidRPr="00780485">
        <w:rPr>
          <w:noProof w:val="0"/>
        </w:rPr>
        <w:tab/>
        <w:t>50</w:t>
      </w:r>
    </w:p>
    <w:p w:rsidR="007A6E3D" w:rsidRPr="00780485" w:rsidRDefault="007A6E3D">
      <w:pPr>
        <w:pStyle w:val="Innehll1"/>
        <w:rPr>
          <w:noProof w:val="0"/>
        </w:rPr>
      </w:pPr>
      <w:r w:rsidRPr="00780485">
        <w:rPr>
          <w:noProof w:val="0"/>
        </w:rPr>
        <w:t>6</w:t>
      </w:r>
      <w:r w:rsidRPr="00780485">
        <w:rPr>
          <w:noProof w:val="0"/>
        </w:rPr>
        <w:tab/>
        <w:t>Granskning av glesbygdsverkets produktion</w:t>
      </w:r>
      <w:r w:rsidRPr="00780485">
        <w:rPr>
          <w:noProof w:val="0"/>
        </w:rPr>
        <w:tab/>
        <w:t>52</w:t>
      </w:r>
    </w:p>
    <w:p w:rsidR="007A6E3D" w:rsidRPr="00780485" w:rsidRDefault="007A6E3D">
      <w:pPr>
        <w:pStyle w:val="Innehll2"/>
        <w:rPr>
          <w:noProof w:val="0"/>
        </w:rPr>
      </w:pPr>
      <w:r w:rsidRPr="00780485">
        <w:rPr>
          <w:noProof w:val="0"/>
        </w:rPr>
        <w:t>6.1</w:t>
      </w:r>
      <w:r w:rsidRPr="00780485">
        <w:rPr>
          <w:noProof w:val="0"/>
        </w:rPr>
        <w:tab/>
        <w:t>Den skriftliga kunskapsproduktionen</w:t>
      </w:r>
      <w:r w:rsidRPr="00780485">
        <w:rPr>
          <w:noProof w:val="0"/>
        </w:rPr>
        <w:tab/>
        <w:t>52</w:t>
      </w:r>
    </w:p>
    <w:p w:rsidR="007A6E3D" w:rsidRPr="00780485" w:rsidRDefault="007A6E3D">
      <w:pPr>
        <w:pStyle w:val="Innehll2"/>
        <w:rPr>
          <w:noProof w:val="0"/>
        </w:rPr>
      </w:pPr>
      <w:r w:rsidRPr="00780485">
        <w:rPr>
          <w:noProof w:val="0"/>
        </w:rPr>
        <w:t>6.2</w:t>
      </w:r>
      <w:r w:rsidRPr="00780485">
        <w:rPr>
          <w:noProof w:val="0"/>
        </w:rPr>
        <w:tab/>
        <w:t>Glesbygdsverkets årsbok 2000</w:t>
      </w:r>
      <w:r w:rsidRPr="00780485">
        <w:rPr>
          <w:noProof w:val="0"/>
        </w:rPr>
        <w:tab/>
        <w:t>55</w:t>
      </w:r>
    </w:p>
    <w:p w:rsidR="007A6E3D" w:rsidRPr="00780485" w:rsidRDefault="007A6E3D">
      <w:pPr>
        <w:pStyle w:val="Innehll2"/>
        <w:rPr>
          <w:noProof w:val="0"/>
        </w:rPr>
      </w:pPr>
      <w:r w:rsidRPr="00780485">
        <w:rPr>
          <w:noProof w:val="0"/>
        </w:rPr>
        <w:t>6.3</w:t>
      </w:r>
      <w:r w:rsidRPr="00780485">
        <w:rPr>
          <w:noProof w:val="0"/>
        </w:rPr>
        <w:tab/>
        <w:t>Glesbygdsverkets målgruppsundersökning</w:t>
      </w:r>
      <w:r w:rsidRPr="00780485">
        <w:rPr>
          <w:noProof w:val="0"/>
        </w:rPr>
        <w:tab/>
        <w:t>58</w:t>
      </w:r>
    </w:p>
    <w:p w:rsidR="007A6E3D" w:rsidRPr="00780485" w:rsidRDefault="007A6E3D">
      <w:pPr>
        <w:pStyle w:val="Innehll2"/>
        <w:rPr>
          <w:noProof w:val="0"/>
        </w:rPr>
      </w:pPr>
      <w:r w:rsidRPr="00780485">
        <w:rPr>
          <w:noProof w:val="0"/>
        </w:rPr>
        <w:t>6.4</w:t>
      </w:r>
      <w:r w:rsidRPr="00780485">
        <w:rPr>
          <w:noProof w:val="0"/>
        </w:rPr>
        <w:tab/>
        <w:t>Kunskapsförmedling till länsstyrelser och självstyrelseorgan</w:t>
      </w:r>
      <w:r w:rsidRPr="00780485">
        <w:rPr>
          <w:noProof w:val="0"/>
        </w:rPr>
        <w:tab/>
      </w:r>
      <w:bookmarkStart w:id="198" w:name="_Hlt527953604"/>
      <w:r w:rsidRPr="00780485">
        <w:rPr>
          <w:noProof w:val="0"/>
        </w:rPr>
        <w:t>60</w:t>
      </w:r>
      <w:bookmarkEnd w:id="198"/>
    </w:p>
    <w:p w:rsidR="007A6E3D" w:rsidRPr="00780485" w:rsidRDefault="007A6E3D">
      <w:pPr>
        <w:pStyle w:val="Innehll1"/>
        <w:rPr>
          <w:noProof w:val="0"/>
        </w:rPr>
      </w:pPr>
      <w:r w:rsidRPr="00780485">
        <w:rPr>
          <w:noProof w:val="0"/>
        </w:rPr>
        <w:t>7</w:t>
      </w:r>
      <w:r w:rsidRPr="00780485">
        <w:rPr>
          <w:noProof w:val="0"/>
        </w:rPr>
        <w:tab/>
        <w:t>Diskussion</w:t>
      </w:r>
      <w:r w:rsidRPr="00780485">
        <w:rPr>
          <w:noProof w:val="0"/>
        </w:rPr>
        <w:tab/>
        <w:t>64</w:t>
      </w:r>
    </w:p>
    <w:p w:rsidR="007A6E3D" w:rsidRPr="00780485" w:rsidRDefault="007A6E3D">
      <w:pPr>
        <w:pStyle w:val="Innehll2"/>
        <w:rPr>
          <w:noProof w:val="0"/>
        </w:rPr>
      </w:pPr>
      <w:r w:rsidRPr="00780485">
        <w:rPr>
          <w:noProof w:val="0"/>
        </w:rPr>
        <w:t>7.1</w:t>
      </w:r>
      <w:r w:rsidRPr="00780485">
        <w:rPr>
          <w:noProof w:val="0"/>
        </w:rPr>
        <w:tab/>
        <w:t>Mål för Glesbygdsverket</w:t>
      </w:r>
      <w:r w:rsidRPr="00780485">
        <w:rPr>
          <w:noProof w:val="0"/>
        </w:rPr>
        <w:tab/>
        <w:t>64</w:t>
      </w:r>
    </w:p>
    <w:p w:rsidR="007A6E3D" w:rsidRPr="00780485" w:rsidRDefault="007A6E3D">
      <w:pPr>
        <w:pStyle w:val="Innehll2"/>
        <w:rPr>
          <w:noProof w:val="0"/>
        </w:rPr>
      </w:pPr>
      <w:r w:rsidRPr="00780485">
        <w:rPr>
          <w:noProof w:val="0"/>
        </w:rPr>
        <w:t>7.2</w:t>
      </w:r>
      <w:r w:rsidRPr="00780485">
        <w:rPr>
          <w:noProof w:val="0"/>
        </w:rPr>
        <w:tab/>
        <w:t>Den regionalpolitiska myndighetsorganisationen</w:t>
      </w:r>
      <w:r w:rsidRPr="00780485">
        <w:rPr>
          <w:noProof w:val="0"/>
        </w:rPr>
        <w:tab/>
        <w:t>64</w:t>
      </w:r>
    </w:p>
    <w:p w:rsidR="007A6E3D" w:rsidRPr="00780485" w:rsidRDefault="007A6E3D">
      <w:pPr>
        <w:pStyle w:val="Innehll2"/>
        <w:rPr>
          <w:noProof w:val="0"/>
        </w:rPr>
      </w:pPr>
      <w:r w:rsidRPr="00780485">
        <w:rPr>
          <w:noProof w:val="0"/>
        </w:rPr>
        <w:t>7.3</w:t>
      </w:r>
      <w:r w:rsidRPr="00780485">
        <w:rPr>
          <w:noProof w:val="0"/>
        </w:rPr>
        <w:tab/>
        <w:t>Glesbygdsverkets verksamhet</w:t>
      </w:r>
      <w:r w:rsidRPr="00780485">
        <w:rPr>
          <w:noProof w:val="0"/>
        </w:rPr>
        <w:tab/>
        <w:t>65</w:t>
      </w:r>
    </w:p>
    <w:p w:rsidR="007A6E3D" w:rsidRPr="00780485" w:rsidRDefault="007A6E3D">
      <w:pPr>
        <w:pStyle w:val="Innehll3"/>
        <w:rPr>
          <w:noProof w:val="0"/>
        </w:rPr>
      </w:pPr>
      <w:r w:rsidRPr="00780485">
        <w:rPr>
          <w:noProof w:val="0"/>
        </w:rPr>
        <w:t>7.3.1</w:t>
      </w:r>
      <w:r w:rsidRPr="00780485">
        <w:rPr>
          <w:noProof w:val="0"/>
        </w:rPr>
        <w:tab/>
        <w:t>Uppföljning av den regionalpolitiska utvecklingen</w:t>
      </w:r>
      <w:r w:rsidRPr="00780485">
        <w:rPr>
          <w:noProof w:val="0"/>
        </w:rPr>
        <w:tab/>
        <w:t>65</w:t>
      </w:r>
    </w:p>
    <w:p w:rsidR="007A6E3D" w:rsidRPr="00780485" w:rsidRDefault="007A6E3D">
      <w:pPr>
        <w:pStyle w:val="Innehll3"/>
        <w:rPr>
          <w:noProof w:val="0"/>
        </w:rPr>
      </w:pPr>
      <w:r w:rsidRPr="00780485">
        <w:rPr>
          <w:noProof w:val="0"/>
        </w:rPr>
        <w:t>7.3.2</w:t>
      </w:r>
      <w:r w:rsidRPr="00780485">
        <w:rPr>
          <w:noProof w:val="0"/>
        </w:rPr>
        <w:tab/>
        <w:t>Påverkan på genomförandet av regionalpolitiken</w:t>
      </w:r>
      <w:r w:rsidRPr="00780485">
        <w:rPr>
          <w:noProof w:val="0"/>
        </w:rPr>
        <w:tab/>
        <w:t>68</w:t>
      </w:r>
    </w:p>
    <w:p w:rsidR="007A6E3D" w:rsidRPr="00780485" w:rsidRDefault="007A6E3D">
      <w:pPr>
        <w:pStyle w:val="Innehll1"/>
        <w:rPr>
          <w:noProof w:val="0"/>
        </w:rPr>
      </w:pPr>
      <w:r w:rsidRPr="00780485">
        <w:rPr>
          <w:noProof w:val="0"/>
        </w:rPr>
        <w:t>8</w:t>
      </w:r>
      <w:r w:rsidRPr="00780485">
        <w:rPr>
          <w:noProof w:val="0"/>
        </w:rPr>
        <w:tab/>
        <w:t>Överväganden och förslag</w:t>
      </w:r>
      <w:r w:rsidRPr="00780485">
        <w:rPr>
          <w:noProof w:val="0"/>
        </w:rPr>
        <w:tab/>
        <w:t>71</w:t>
      </w:r>
    </w:p>
    <w:p w:rsidR="007A6E3D" w:rsidRPr="00780485" w:rsidRDefault="007A6E3D">
      <w:pPr>
        <w:pStyle w:val="Innehll1"/>
        <w:rPr>
          <w:noProof w:val="0"/>
        </w:rPr>
      </w:pPr>
      <w:r w:rsidRPr="00780485">
        <w:rPr>
          <w:noProof w:val="0"/>
        </w:rPr>
        <w:t>Referenser</w:t>
      </w:r>
      <w:r w:rsidRPr="00780485">
        <w:rPr>
          <w:noProof w:val="0"/>
        </w:rPr>
        <w:tab/>
        <w:t>73</w:t>
      </w:r>
    </w:p>
    <w:p w:rsidR="007A6E3D" w:rsidRPr="00780485" w:rsidRDefault="007A6E3D">
      <w:pPr>
        <w:pStyle w:val="Innehll1"/>
        <w:rPr>
          <w:noProof w:val="0"/>
        </w:rPr>
      </w:pPr>
      <w:r w:rsidRPr="00780485">
        <w:rPr>
          <w:noProof w:val="0"/>
        </w:rPr>
        <w:t>Bilaga 1 Regionalpolitiska insatser</w:t>
      </w:r>
      <w:r w:rsidRPr="00780485">
        <w:rPr>
          <w:noProof w:val="0"/>
        </w:rPr>
        <w:tab/>
        <w:t>75</w:t>
      </w:r>
    </w:p>
    <w:p w:rsidR="007A6E3D" w:rsidRPr="00780485" w:rsidRDefault="007A6E3D">
      <w:pPr>
        <w:pStyle w:val="Innehll1"/>
        <w:rPr>
          <w:noProof w:val="0"/>
        </w:rPr>
      </w:pPr>
    </w:p>
    <w:p w:rsidR="007A6E3D" w:rsidRPr="00780485" w:rsidRDefault="007A6E3D">
      <w:pPr>
        <w:pStyle w:val="Innehll1"/>
        <w:rPr>
          <w:i/>
          <w:noProof w:val="0"/>
        </w:rPr>
      </w:pPr>
      <w:r w:rsidRPr="00780485">
        <w:rPr>
          <w:i/>
          <w:noProof w:val="0"/>
        </w:rPr>
        <w:t>Bilaga 2</w:t>
      </w:r>
    </w:p>
    <w:p w:rsidR="007A6E3D" w:rsidRPr="00780485" w:rsidRDefault="007A6E3D">
      <w:pPr>
        <w:pStyle w:val="Innehll1"/>
        <w:rPr>
          <w:noProof w:val="0"/>
        </w:rPr>
      </w:pPr>
      <w:r w:rsidRPr="00780485">
        <w:rPr>
          <w:noProof w:val="0"/>
        </w:rPr>
        <w:t>Sammanfattning av remissyttranden över rapport 2000/01:12 Glesbygds</w:t>
      </w:r>
      <w:r w:rsidRPr="00780485">
        <w:rPr>
          <w:noProof w:val="0"/>
        </w:rPr>
        <w:softHyphen/>
        <w:t>verkets roll i regionalpolitiken</w:t>
      </w:r>
      <w:r w:rsidRPr="00780485">
        <w:rPr>
          <w:noProof w:val="0"/>
        </w:rPr>
        <w:tab/>
      </w:r>
      <w:bookmarkStart w:id="199" w:name="_Hlt526850436"/>
      <w:r w:rsidRPr="00780485">
        <w:rPr>
          <w:noProof w:val="0"/>
        </w:rPr>
        <w:t>78</w:t>
      </w:r>
      <w:bookmarkEnd w:id="199"/>
    </w:p>
    <w:p w:rsidR="007A6E3D" w:rsidRPr="00780485" w:rsidRDefault="007A6E3D">
      <w:pPr>
        <w:pStyle w:val="Innehll2"/>
        <w:rPr>
          <w:noProof w:val="0"/>
        </w:rPr>
      </w:pPr>
      <w:r w:rsidRPr="00780485">
        <w:rPr>
          <w:noProof w:val="0"/>
        </w:rPr>
        <w:t>Remissyttranden</w:t>
      </w:r>
      <w:r w:rsidRPr="00780485">
        <w:rPr>
          <w:noProof w:val="0"/>
        </w:rPr>
        <w:tab/>
        <w:t>78</w:t>
      </w:r>
    </w:p>
    <w:p w:rsidR="007A6E3D" w:rsidRPr="00780485" w:rsidRDefault="007A6E3D">
      <w:pPr>
        <w:pStyle w:val="Innehll2"/>
        <w:rPr>
          <w:noProof w:val="0"/>
        </w:rPr>
      </w:pPr>
      <w:r w:rsidRPr="00780485">
        <w:rPr>
          <w:noProof w:val="0"/>
        </w:rPr>
        <w:t>Synpunkter på det övergripande förslaget om att se över Glesbygds-</w:t>
      </w:r>
      <w:r w:rsidRPr="00780485">
        <w:rPr>
          <w:noProof w:val="0"/>
        </w:rPr>
        <w:br/>
        <w:t>verkets roll i regionalpolitiken</w:t>
      </w:r>
      <w:r w:rsidRPr="00780485">
        <w:rPr>
          <w:noProof w:val="0"/>
        </w:rPr>
        <w:tab/>
        <w:t>79</w:t>
      </w:r>
    </w:p>
    <w:p w:rsidR="007A6E3D" w:rsidRPr="00780485" w:rsidRDefault="007A6E3D">
      <w:pPr>
        <w:pStyle w:val="Innehll2"/>
        <w:rPr>
          <w:noProof w:val="0"/>
        </w:rPr>
      </w:pPr>
      <w:r w:rsidRPr="00780485">
        <w:rPr>
          <w:noProof w:val="0"/>
        </w:rPr>
        <w:t>Synpunkter på förslag om ändrad geografisk avgränsning</w:t>
      </w:r>
      <w:r w:rsidRPr="00780485">
        <w:rPr>
          <w:noProof w:val="0"/>
        </w:rPr>
        <w:tab/>
        <w:t>85</w:t>
      </w:r>
    </w:p>
    <w:p w:rsidR="007A6E3D" w:rsidRPr="00780485" w:rsidRDefault="007A6E3D">
      <w:pPr>
        <w:pStyle w:val="Innehll2"/>
        <w:rPr>
          <w:noProof w:val="0"/>
        </w:rPr>
      </w:pPr>
      <w:r w:rsidRPr="00780485">
        <w:rPr>
          <w:noProof w:val="0"/>
        </w:rPr>
        <w:t>Förslag om att renodla ansvaret för utvecklings- och uppföljnings</w:t>
      </w:r>
      <w:r w:rsidRPr="00780485">
        <w:rPr>
          <w:noProof w:val="0"/>
        </w:rPr>
        <w:softHyphen/>
      </w:r>
      <w:r w:rsidRPr="00780485">
        <w:rPr>
          <w:noProof w:val="0"/>
        </w:rPr>
        <w:br/>
        <w:t>insatser av stödet till kommersiell service</w:t>
      </w:r>
      <w:r w:rsidRPr="00780485">
        <w:rPr>
          <w:noProof w:val="0"/>
        </w:rPr>
        <w:tab/>
        <w:t>87</w:t>
      </w:r>
    </w:p>
    <w:p w:rsidR="007A6E3D" w:rsidRPr="00780485" w:rsidRDefault="007A6E3D">
      <w:pPr>
        <w:pStyle w:val="Innehll2"/>
        <w:rPr>
          <w:noProof w:val="0"/>
        </w:rPr>
      </w:pPr>
      <w:r w:rsidRPr="00780485">
        <w:rPr>
          <w:noProof w:val="0"/>
        </w:rPr>
        <w:t>Överväganden om saklighet</w:t>
      </w:r>
      <w:r w:rsidRPr="00780485">
        <w:rPr>
          <w:noProof w:val="0"/>
        </w:rPr>
        <w:tab/>
        <w:t>89</w:t>
      </w:r>
    </w:p>
    <w:p w:rsidR="007A6E3D" w:rsidRPr="00780485" w:rsidRDefault="007A6E3D">
      <w:pPr>
        <w:pStyle w:val="Normaltindrag"/>
        <w:spacing w:line="240" w:lineRule="exact"/>
        <w:rPr>
          <w:i/>
          <w:sz w:val="22"/>
        </w:rPr>
      </w:pPr>
    </w:p>
    <w:p w:rsidR="007A6E3D" w:rsidRPr="00780485" w:rsidRDefault="007A6E3D">
      <w:pPr>
        <w:pStyle w:val="Normaltindrag"/>
        <w:spacing w:line="240" w:lineRule="exact"/>
        <w:rPr>
          <w:i/>
          <w:sz w:val="22"/>
        </w:rPr>
      </w:pPr>
    </w:p>
    <w:p w:rsidR="007A6E3D" w:rsidRPr="00780485" w:rsidRDefault="007A6E3D">
      <w:pPr>
        <w:pStyle w:val="Normaltindrag"/>
        <w:spacing w:line="240" w:lineRule="exact"/>
        <w:rPr>
          <w:i/>
          <w:sz w:val="22"/>
        </w:rPr>
      </w:pPr>
    </w:p>
    <w:p w:rsidR="007A6E3D" w:rsidRPr="00780485" w:rsidRDefault="007A6E3D">
      <w:pPr>
        <w:pStyle w:val="Normaltindrag"/>
        <w:spacing w:line="240" w:lineRule="exact"/>
        <w:rPr>
          <w:i/>
          <w:sz w:val="22"/>
        </w:rPr>
      </w:pPr>
    </w:p>
    <w:p w:rsidR="007A6E3D" w:rsidRPr="00780485" w:rsidRDefault="007A6E3D">
      <w:pPr>
        <w:pStyle w:val="Normaltindrag"/>
        <w:spacing w:line="240" w:lineRule="exact"/>
        <w:rPr>
          <w:i/>
          <w:sz w:val="22"/>
        </w:rPr>
      </w:pPr>
    </w:p>
    <w:p w:rsidR="007A6E3D" w:rsidRPr="00780485" w:rsidRDefault="007A6E3D">
      <w:pPr>
        <w:pStyle w:val="Normaltindrag"/>
        <w:spacing w:line="240" w:lineRule="exact"/>
        <w:rPr>
          <w:i/>
          <w:sz w:val="22"/>
        </w:rPr>
      </w:pPr>
    </w:p>
    <w:p w:rsidR="007A6E3D" w:rsidRPr="00780485" w:rsidRDefault="007A6E3D">
      <w:pPr>
        <w:pStyle w:val="Normaltindrag"/>
        <w:spacing w:line="240" w:lineRule="exact"/>
        <w:rPr>
          <w:i/>
          <w:sz w:val="22"/>
        </w:rPr>
      </w:pPr>
    </w:p>
    <w:p w:rsidR="007A6E3D" w:rsidRPr="00780485" w:rsidRDefault="007A6E3D">
      <w:pPr>
        <w:pStyle w:val="Normaltindrag"/>
        <w:spacing w:line="240" w:lineRule="exact"/>
        <w:rPr>
          <w:i/>
          <w:sz w:val="22"/>
        </w:rPr>
      </w:pPr>
    </w:p>
    <w:p w:rsidR="007A6E3D" w:rsidRPr="00780485" w:rsidRDefault="007A6E3D">
      <w:pPr>
        <w:pStyle w:val="Normaltindrag"/>
        <w:spacing w:line="240" w:lineRule="exact"/>
        <w:rPr>
          <w:i/>
          <w:sz w:val="22"/>
        </w:rPr>
      </w:pPr>
    </w:p>
    <w:p w:rsidR="007A6E3D" w:rsidRPr="00780485" w:rsidRDefault="007A6E3D">
      <w:pPr>
        <w:pStyle w:val="Normaltindrag"/>
        <w:spacing w:line="240" w:lineRule="exact"/>
        <w:rPr>
          <w:i/>
          <w:sz w:val="22"/>
        </w:rPr>
      </w:pPr>
    </w:p>
    <w:p w:rsidR="007A6E3D" w:rsidRPr="00780485" w:rsidRDefault="007A6E3D">
      <w:pPr>
        <w:pStyle w:val="Tryckort"/>
        <w:framePr w:wrap="around"/>
      </w:pPr>
      <w:r w:rsidRPr="00780485">
        <w:t>Elanders Gotab, Stockholm  2001</w:t>
      </w:r>
    </w:p>
    <w:p w:rsidR="007A6E3D" w:rsidRPr="00780485" w:rsidRDefault="007A6E3D">
      <w:pPr>
        <w:pStyle w:val="Normaltindrag"/>
        <w:spacing w:line="240" w:lineRule="exact"/>
        <w:rPr>
          <w:i/>
          <w:sz w:val="22"/>
        </w:rPr>
      </w:pPr>
    </w:p>
    <w:sectPr w:rsidR="007A6E3D" w:rsidRPr="00780485">
      <w:head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E3D" w:rsidRPr="00780485" w:rsidRDefault="007A6E3D">
      <w:pPr>
        <w:spacing w:before="0" w:line="240" w:lineRule="auto"/>
      </w:pPr>
      <w:r w:rsidRPr="00780485">
        <w:separator/>
      </w:r>
    </w:p>
  </w:endnote>
  <w:endnote w:type="continuationSeparator" w:id="0">
    <w:p w:rsidR="007A6E3D" w:rsidRPr="00780485" w:rsidRDefault="007A6E3D">
      <w:pPr>
        <w:spacing w:before="0" w:line="240" w:lineRule="auto"/>
      </w:pPr>
      <w:r w:rsidRPr="00780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E3D" w:rsidRPr="00780485" w:rsidRDefault="007A6E3D">
    <w:pPr>
      <w:pStyle w:val="SidfotH"/>
      <w:framePr w:wrap="around"/>
    </w:pPr>
    <w:r w:rsidRPr="00780485">
      <w:fldChar w:fldCharType="begin" w:fldLock="1"/>
    </w:r>
    <w:r w:rsidRPr="00780485">
      <w:instrText xml:space="preserve"> P</w:instrText>
    </w:r>
    <w:r w:rsidRPr="00780485">
      <w:instrText>A</w:instrText>
    </w:r>
    <w:r w:rsidRPr="00780485">
      <w:instrText xml:space="preserve">GE </w:instrText>
    </w:r>
    <w:r w:rsidRPr="00780485">
      <w:fldChar w:fldCharType="separate"/>
    </w:r>
    <w:r w:rsidRPr="00780485">
      <w:t>1</w:t>
    </w:r>
    <w:r w:rsidRPr="00780485">
      <w:fldChar w:fldCharType="end"/>
    </w:r>
  </w:p>
  <w:p w:rsidR="007A6E3D" w:rsidRPr="00780485" w:rsidRDefault="007A6E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E3D" w:rsidRPr="00780485" w:rsidRDefault="007A6E3D">
      <w:pPr>
        <w:pStyle w:val="Sidfot"/>
      </w:pPr>
    </w:p>
  </w:footnote>
  <w:footnote w:type="continuationSeparator" w:id="0">
    <w:p w:rsidR="007A6E3D" w:rsidRPr="00780485" w:rsidRDefault="007A6E3D">
      <w:pPr>
        <w:spacing w:before="0" w:line="240" w:lineRule="auto"/>
      </w:pPr>
      <w:r w:rsidRPr="00780485">
        <w:continuationSeparator/>
      </w:r>
    </w:p>
  </w:footnote>
  <w:footnote w:id="1">
    <w:p w:rsidR="007A6E3D" w:rsidRPr="00780485" w:rsidRDefault="007A6E3D">
      <w:pPr>
        <w:pStyle w:val="Fotnotstext"/>
      </w:pPr>
      <w:r w:rsidRPr="00780485">
        <w:rPr>
          <w:rStyle w:val="Fotnotsreferens"/>
        </w:rPr>
        <w:footnoteRef/>
      </w:r>
      <w:r w:rsidRPr="00780485">
        <w:t xml:space="preserve"> Som rapporter räknas skrifter som behandlar centrala gles- och landsbygdspolitiska frågor, är empiriskt förankrade och innehåller ett ställningstagande från Glesbygd</w:t>
      </w:r>
      <w:r w:rsidRPr="00780485">
        <w:t>s</w:t>
      </w:r>
      <w:r w:rsidRPr="00780485">
        <w:t>verket (minimikrav att skriften rekomme</w:t>
      </w:r>
      <w:r w:rsidRPr="00780485">
        <w:t>n</w:t>
      </w:r>
      <w:r w:rsidRPr="00780485">
        <w:t>deras till läsning)</w:t>
      </w:r>
    </w:p>
  </w:footnote>
  <w:footnote w:id="2">
    <w:p w:rsidR="007A6E3D" w:rsidRPr="00780485" w:rsidRDefault="007A6E3D">
      <w:pPr>
        <w:pStyle w:val="Fotnotstext"/>
      </w:pPr>
      <w:r w:rsidRPr="00780485">
        <w:rPr>
          <w:rStyle w:val="Fotnotsreferens"/>
        </w:rPr>
        <w:footnoteRef/>
      </w:r>
      <w:r w:rsidRPr="00780485">
        <w:t xml:space="preserve"> Politikområdet landsbygdspolitik omfattar verksamhet för utveckling och vård av landsbygden. Åtgärderna är i stor utsträckning riktade till lantbruksföretag, men också andra företag på landsbygden. Målet för landsbygdspolitiken är ”en ekologiskt, ek</w:t>
      </w:r>
      <w:r w:rsidRPr="00780485">
        <w:t>o</w:t>
      </w:r>
      <w:r w:rsidRPr="00780485">
        <w:t>nomiskt och socialt hållbar utveckling av landsbygden”. Under budgetåret 2001 satsas 3 755 miljoner kronor inom polit</w:t>
      </w:r>
      <w:r w:rsidRPr="00780485">
        <w:t>i</w:t>
      </w:r>
      <w:r w:rsidRPr="00780485">
        <w:t>kområdet landsbygdspolitik.</w:t>
      </w:r>
    </w:p>
  </w:footnote>
  <w:footnote w:id="3">
    <w:p w:rsidR="007A6E3D" w:rsidRPr="00780485" w:rsidRDefault="007A6E3D">
      <w:pPr>
        <w:pStyle w:val="Fotnotstext"/>
      </w:pPr>
      <w:r w:rsidRPr="00780485">
        <w:rPr>
          <w:rStyle w:val="Fotnotsreferens"/>
        </w:rPr>
        <w:footnoteRef/>
      </w:r>
      <w:r w:rsidRPr="00780485">
        <w:t xml:space="preserve"> Detta verksamhetsmål avser budgetåret 2000. För 1999 var motsvarande mål att genomförandet av EG:s strukturfondsprogram för Mål 5b och gemenskapsinitiativet LEADER 2 blir effektivt och i överensstämmelse med nationella regionalpolitiska mål.</w:t>
      </w:r>
    </w:p>
  </w:footnote>
  <w:footnote w:id="4">
    <w:p w:rsidR="007A6E3D" w:rsidRPr="00780485" w:rsidRDefault="007A6E3D">
      <w:pPr>
        <w:pStyle w:val="Fotnotstext"/>
      </w:pPr>
      <w:r w:rsidRPr="00780485">
        <w:rPr>
          <w:rStyle w:val="Fotnotsreferens"/>
        </w:rPr>
        <w:footnoteRef/>
      </w:r>
      <w:r w:rsidRPr="00780485">
        <w:t xml:space="preserve"> Med utbetalande myndighet avses den myndighet som rekvirerar medel från EG-kommissionen, tar emot betalningar från kommissionen och betalar ut stöd. För L</w:t>
      </w:r>
      <w:r w:rsidRPr="00780485">
        <w:t>E</w:t>
      </w:r>
      <w:r w:rsidRPr="00780485">
        <w:t>ADER+ gäller att den utbetalande myndigheten (Jordbruksverket) innan ett stöd betalas ut ska kontrollera att utbetalningen är förenlig med beslutet om stöd och g</w:t>
      </w:r>
      <w:r w:rsidRPr="00780485">
        <w:t>e</w:t>
      </w:r>
      <w:r w:rsidRPr="00780485">
        <w:t>menskapsreglerna samt att den stämmer överens med programdokumentet (SFS 1999:1424).</w:t>
      </w:r>
    </w:p>
  </w:footnote>
  <w:footnote w:id="5">
    <w:p w:rsidR="007A6E3D" w:rsidRPr="00780485" w:rsidRDefault="007A6E3D">
      <w:pPr>
        <w:pStyle w:val="Fotnotstext"/>
      </w:pPr>
      <w:r w:rsidRPr="00780485">
        <w:rPr>
          <w:rStyle w:val="Fotnotsreferens"/>
        </w:rPr>
        <w:footnoteRef/>
      </w:r>
      <w:r w:rsidRPr="00780485">
        <w:t xml:space="preserve"> Anslagen 33:1 Allmänna regionalpolitiska åtgärder, anslagspost 22 (439,7 Mkr.), 33:2 Landsbygdslån (60 Mkr.), 33:5 Transportbidrag (336 Mkr.), 33:7 Europeiska regionala utvecklingsfonden perioden 1995-1999, anslagspost 1 (547,6 Mkr.). Des</w:t>
      </w:r>
      <w:r w:rsidRPr="00780485">
        <w:t>s</w:t>
      </w:r>
      <w:r w:rsidRPr="00780485">
        <w:t>utom tillkommer tre äldre a</w:t>
      </w:r>
      <w:r w:rsidRPr="00780485">
        <w:t>n</w:t>
      </w:r>
      <w:r w:rsidRPr="00780485">
        <w:t>slag.</w:t>
      </w:r>
    </w:p>
  </w:footnote>
  <w:footnote w:id="6">
    <w:p w:rsidR="007A6E3D" w:rsidRPr="00780485" w:rsidRDefault="007A6E3D">
      <w:pPr>
        <w:pStyle w:val="Fotnotstext"/>
      </w:pPr>
      <w:r w:rsidRPr="00780485">
        <w:rPr>
          <w:rStyle w:val="Fotnotsreferens"/>
        </w:rPr>
        <w:footnoteRef/>
      </w:r>
      <w:r w:rsidRPr="00780485">
        <w:t xml:space="preserve"> Under 1999 uppgick anslaget till 10,6 miljoner kronor. Medlemsavgifterna uppgick till 165 000 kronor under samma år enligt rådets årsredovisning.</w:t>
      </w:r>
    </w:p>
  </w:footnote>
  <w:footnote w:id="7">
    <w:p w:rsidR="007A6E3D" w:rsidRPr="00780485" w:rsidRDefault="007A6E3D">
      <w:pPr>
        <w:pStyle w:val="Fotnotstext"/>
      </w:pPr>
      <w:r w:rsidRPr="00780485">
        <w:rPr>
          <w:rStyle w:val="Fotnotsreferens"/>
        </w:rPr>
        <w:footnoteRef/>
      </w:r>
      <w:r w:rsidRPr="00780485">
        <w:t xml:space="preserve"> Remissvar kopplade till följande utredningar ingår i undersökningen: Kostnadsu</w:t>
      </w:r>
      <w:r w:rsidRPr="00780485">
        <w:t>t</w:t>
      </w:r>
      <w:r w:rsidRPr="00780485">
        <w:t>jämning för kommuner och landsting (prop. 1998/99:89), Ett informationssamhälle för alla (prop. 1999/2000:86), Utländska förvärv av fritidsfastigheter i Sverige (prop. 1998/99:126), Små företag och konkurrenslagen (prop. 1999/2000:140), Rätt plats för vindkraften (prop. 1999/2000:134), Kontrakt för arbete – rättvisa och tydliga regler i arbetslöshetsförsäkringen (prop. 1999/00:98), Statsgarantier för investeringar i bost</w:t>
      </w:r>
      <w:r w:rsidRPr="00780485">
        <w:t>ä</w:t>
      </w:r>
      <w:r w:rsidRPr="00780485">
        <w:t>der (pr</w:t>
      </w:r>
      <w:r w:rsidRPr="00780485">
        <w:t>op. 2000/01:26).</w:t>
      </w:r>
    </w:p>
  </w:footnote>
  <w:footnote w:id="8">
    <w:p w:rsidR="007A6E3D" w:rsidRPr="00780485" w:rsidRDefault="007A6E3D">
      <w:pPr>
        <w:pStyle w:val="Fotnotstext"/>
      </w:pPr>
      <w:r w:rsidRPr="00780485">
        <w:rPr>
          <w:rStyle w:val="Fotnotsreferens"/>
        </w:rPr>
        <w:footnoteRef/>
      </w:r>
      <w:r w:rsidRPr="00780485">
        <w:t xml:space="preserve"> I SKOP:s rapport redovisas betyg för följande informationskanaler: tryckta rappo</w:t>
      </w:r>
      <w:r w:rsidRPr="00780485">
        <w:t>r</w:t>
      </w:r>
      <w:r w:rsidRPr="00780485">
        <w:t>ter, nyhetsbrev, brev från generaldirektören, genom tidningar, radio eller TV, gle</w:t>
      </w:r>
      <w:r w:rsidRPr="00780485">
        <w:t>s</w:t>
      </w:r>
      <w:r w:rsidRPr="00780485">
        <w:t>bygdsverkets he</w:t>
      </w:r>
      <w:r w:rsidRPr="00780485">
        <w:t>m</w:t>
      </w:r>
      <w:r w:rsidRPr="00780485">
        <w:t xml:space="preserve">sida, direktkontakter med Glesbygdsverkets anställda. </w:t>
      </w:r>
    </w:p>
  </w:footnote>
  <w:footnote w:id="9">
    <w:p w:rsidR="007A6E3D" w:rsidRPr="00780485" w:rsidRDefault="007A6E3D">
      <w:pPr>
        <w:pStyle w:val="Fotnotstext"/>
        <w:spacing w:before="0"/>
      </w:pPr>
      <w:r w:rsidRPr="00780485">
        <w:rPr>
          <w:rStyle w:val="Fotnotsreferens"/>
        </w:rPr>
        <w:footnoteRef/>
      </w:r>
      <w:r w:rsidRPr="00780485">
        <w:t xml:space="preserve"> Av de svarande totalt angav en av fem att de hade mycket stor nytta av Glesbygd</w:t>
      </w:r>
      <w:r w:rsidRPr="00780485">
        <w:t>s</w:t>
      </w:r>
      <w:r w:rsidRPr="00780485">
        <w:t>verket och dess material och utredningar i sitt arbete, varannan ansåg sig ha ganska stor nytta av Glesbygdsverket. Ca 20 % valde svarsalternativet ”inte särskilt stor nytta” och 7 % valde alternativet ”ingen nytta alls”.</w:t>
      </w:r>
    </w:p>
  </w:footnote>
  <w:footnote w:id="10">
    <w:p w:rsidR="007A6E3D" w:rsidRPr="00780485" w:rsidRDefault="007A6E3D">
      <w:pPr>
        <w:pStyle w:val="Fotnotstext"/>
      </w:pPr>
      <w:r w:rsidRPr="00780485">
        <w:rPr>
          <w:rStyle w:val="Fotnotsreferens"/>
        </w:rPr>
        <w:footnoteRef/>
      </w:r>
      <w:r w:rsidRPr="00780485">
        <w:t xml:space="preserve"> Länsstyrelsen i Dalarnas, Norrbottens, Västerbottens och Stockholms län har b</w:t>
      </w:r>
      <w:r w:rsidRPr="00780485">
        <w:t>e</w:t>
      </w:r>
      <w:r w:rsidRPr="00780485">
        <w:t>sökts. I Stockholm diskuterades främst skärgårdsfrågor.</w:t>
      </w:r>
    </w:p>
  </w:footnote>
  <w:footnote w:id="11">
    <w:p w:rsidR="007A6E3D" w:rsidRPr="00780485" w:rsidRDefault="007A6E3D">
      <w:pPr>
        <w:pStyle w:val="Fotnotstext"/>
      </w:pPr>
      <w:r w:rsidRPr="00780485">
        <w:rPr>
          <w:rStyle w:val="Fotnotsreferens"/>
        </w:rPr>
        <w:footnoteRef/>
      </w:r>
      <w:r w:rsidRPr="00780485">
        <w:t xml:space="preserve"> Som tätortsnära landsbygd räknar Glesbygdsverket ett område med 5 till 45 min</w:t>
      </w:r>
      <w:r w:rsidRPr="00780485">
        <w:t>u</w:t>
      </w:r>
      <w:r w:rsidRPr="00780485">
        <w:t>ters pendlingsavstånd med bil till tätorter med mer än 3 000 invånare. Huvuddelen av de ca 2 miljoner som tillhör landsbygdsbefolkningen bor runt tätorter i södra Sverige. Till glesbygden hör de områden som har mer än 45 minuters pendlingsavstånd till motsvarande tätorter. Glesbygdsbefolkningen uppgår till knappt 200 000 personer. Huvuddelen bor i skogsl</w:t>
      </w:r>
      <w:r w:rsidRPr="00780485">
        <w:t>ä</w:t>
      </w:r>
      <w:r w:rsidRPr="00780485">
        <w:t>nens inre delar.</w:t>
      </w:r>
    </w:p>
  </w:footnote>
  <w:footnote w:id="12">
    <w:p w:rsidR="007A6E3D" w:rsidRPr="00780485" w:rsidRDefault="007A6E3D">
      <w:pPr>
        <w:pStyle w:val="Fotnotstext"/>
      </w:pPr>
      <w:r w:rsidRPr="00780485">
        <w:rPr>
          <w:rStyle w:val="Fotnotsreferens"/>
        </w:rPr>
        <w:footnoteRef/>
      </w:r>
      <w:r w:rsidRPr="00780485">
        <w:t xml:space="preserve"> Glesbygdsverkets instruktion talar om att myndigheten ska verka för goda levnad</w:t>
      </w:r>
      <w:r w:rsidRPr="00780485">
        <w:t>s</w:t>
      </w:r>
      <w:r w:rsidRPr="00780485">
        <w:t>förhållanden och utvecklingsmöjligheter för glesbygds- och landsbygdsbefolkningen i olika delar av landet med tyngdpunkten i skogslänens inre delar samt i skärgårdso</w:t>
      </w:r>
      <w:r w:rsidRPr="00780485">
        <w:t>m</w:t>
      </w:r>
      <w:r w:rsidRPr="00780485">
        <w:t>rådena (SFS 1990:1008).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E3D" w:rsidRPr="00780485" w:rsidRDefault="007A6E3D">
    <w:pPr>
      <w:pStyle w:val="SidhuvudKant"/>
      <w:framePr w:w="1758" w:h="2744" w:hRule="exact" w:wrap="around" w:vAnchor="page" w:hAnchor="page" w:x="7372" w:y="568" w:anchorLock="0"/>
    </w:pPr>
    <w:r w:rsidRPr="00780485">
      <w:t>2001/02:RR4</w:t>
    </w:r>
  </w:p>
  <w:p w:rsidR="007A6E3D" w:rsidRPr="00780485" w:rsidRDefault="007A6E3D">
    <w:pPr>
      <w:pStyle w:val="SidhuvudKantBilaga"/>
      <w:framePr w:w="1758" w:h="2744" w:hRule="exact" w:wrap="around" w:vAnchor="page" w:hAnchor="page" w:x="7372" w:y="568" w:anchorLock="0"/>
    </w:pPr>
  </w:p>
  <w:p w:rsidR="007A6E3D" w:rsidRPr="00780485" w:rsidRDefault="007A6E3D">
    <w:pPr>
      <w:pStyle w:val="SidhuvudKant"/>
      <w:framePr w:w="1758" w:h="2744" w:hRule="exact" w:wrap="around" w:vAnchor="page" w:hAnchor="page" w:x="7372" w:y="568" w:anchorLock="0"/>
    </w:pPr>
  </w:p>
  <w:p w:rsidR="007A6E3D" w:rsidRPr="00780485" w:rsidRDefault="007A6E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E3D" w:rsidRPr="00780485" w:rsidRDefault="007A6E3D">
    <w:pPr>
      <w:pStyle w:val="SidhuvudKant"/>
      <w:framePr w:w="1758" w:h="2744" w:hRule="exact" w:wrap="around" w:vAnchor="page" w:hAnchor="page" w:x="7372" w:y="568" w:anchorLock="0"/>
    </w:pPr>
  </w:p>
  <w:p w:rsidR="007A6E3D" w:rsidRPr="00780485" w:rsidRDefault="007A6E3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E3D" w:rsidRPr="00780485" w:rsidRDefault="007A6E3D">
    <w:pPr>
      <w:pStyle w:val="SidhuvudKant"/>
      <w:framePr w:w="1758" w:h="2744" w:hRule="exact" w:wrap="around" w:vAnchor="page" w:hAnchor="page" w:x="7372" w:y="568" w:anchorLock="0"/>
    </w:pPr>
    <w:r w:rsidRPr="00780485">
      <w:fldChar w:fldCharType="begin" w:fldLock="1"/>
    </w:r>
    <w:r w:rsidRPr="00780485">
      <w:instrText xml:space="preserve"> if </w:instrText>
    </w:r>
    <w:r w:rsidRPr="00780485">
      <w:fldChar w:fldCharType="begin" w:fldLock="1"/>
    </w:r>
    <w:r w:rsidRPr="00780485">
      <w:instrText xml:space="preserve"> page</w:instrText>
    </w:r>
    <w:r w:rsidRPr="00780485">
      <w:fldChar w:fldCharType="separate"/>
    </w:r>
    <w:r w:rsidRPr="00780485">
      <w:instrText>1</w:instrText>
    </w:r>
    <w:r w:rsidRPr="00780485">
      <w:fldChar w:fldCharType="end"/>
    </w:r>
    <w:r w:rsidRPr="00780485">
      <w:instrText xml:space="preserve"> &gt; 1 "</w:instrText>
    </w:r>
    <w:r w:rsidRPr="00780485">
      <w:fldChar w:fldCharType="begin" w:fldLock="1"/>
    </w:r>
    <w:r w:rsidRPr="00780485">
      <w:instrText xml:space="preserve"> DOCPROPERTY BetänkandeÅr</w:instrText>
    </w:r>
    <w:r w:rsidRPr="00780485">
      <w:fldChar w:fldCharType="separate"/>
    </w:r>
    <w:r w:rsidRPr="00780485">
      <w:instrText>2001/02</w:instrText>
    </w:r>
    <w:r w:rsidRPr="00780485">
      <w:fldChar w:fldCharType="end"/>
    </w:r>
    <w:r w:rsidRPr="00780485">
      <w:instrText>:</w:instrText>
    </w:r>
    <w:r w:rsidRPr="00780485">
      <w:fldChar w:fldCharType="begin" w:fldLock="1"/>
    </w:r>
    <w:r w:rsidRPr="00780485">
      <w:instrText xml:space="preserve"> DOCPROPERTY Betä</w:instrText>
    </w:r>
    <w:r w:rsidRPr="00780485">
      <w:instrText>n</w:instrText>
    </w:r>
    <w:r w:rsidRPr="00780485">
      <w:instrText>kandeNr</w:instrText>
    </w:r>
    <w:r w:rsidRPr="00780485">
      <w:fldChar w:fldCharType="separate"/>
    </w:r>
    <w:r w:rsidRPr="00780485">
      <w:instrText>RR4</w:instrText>
    </w:r>
    <w:r w:rsidRPr="00780485">
      <w:fldChar w:fldCharType="end"/>
    </w:r>
  </w:p>
  <w:p w:rsidR="007A6E3D" w:rsidRPr="00780485" w:rsidRDefault="007A6E3D">
    <w:pPr>
      <w:pStyle w:val="SidhuvudKantBilaga"/>
      <w:framePr w:w="1758" w:h="2744" w:hRule="exact" w:wrap="around" w:vAnchor="page" w:hAnchor="page" w:x="7372" w:y="568" w:anchorLock="0"/>
    </w:pPr>
    <w:r w:rsidRPr="00780485">
      <w:instrText>Bilaga 1</w:instrText>
    </w:r>
  </w:p>
  <w:p w:rsidR="007A6E3D" w:rsidRPr="00780485" w:rsidRDefault="007A6E3D">
    <w:pPr>
      <w:pStyle w:val="SidhuvudKant"/>
      <w:framePr w:w="1758" w:h="2744" w:hRule="exact" w:wrap="around" w:vAnchor="page" w:hAnchor="page" w:x="7372" w:y="568" w:anchorLock="0"/>
    </w:pPr>
    <w:r w:rsidRPr="00780485">
      <w:instrText>"</w:instrText>
    </w:r>
    <w:r w:rsidRPr="00780485">
      <w:fldChar w:fldCharType="end"/>
    </w:r>
  </w:p>
  <w:p w:rsidR="007A6E3D" w:rsidRPr="00780485" w:rsidRDefault="007A6E3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E3D" w:rsidRPr="00780485" w:rsidRDefault="007A6E3D">
    <w:pPr>
      <w:pStyle w:val="SidhuvudKant"/>
      <w:framePr w:w="1758" w:h="2744" w:hRule="exact" w:wrap="around" w:vAnchor="page" w:hAnchor="page" w:x="7372" w:y="568" w:anchorLock="0"/>
    </w:pPr>
    <w:r w:rsidRPr="00780485">
      <w:fldChar w:fldCharType="begin" w:fldLock="1"/>
    </w:r>
    <w:r w:rsidRPr="00780485">
      <w:instrText xml:space="preserve"> if </w:instrText>
    </w:r>
    <w:r w:rsidRPr="00780485">
      <w:fldChar w:fldCharType="begin" w:fldLock="1"/>
    </w:r>
    <w:r w:rsidRPr="00780485">
      <w:instrText xml:space="preserve"> page</w:instrText>
    </w:r>
    <w:r w:rsidRPr="00780485">
      <w:fldChar w:fldCharType="separate"/>
    </w:r>
    <w:r w:rsidRPr="00780485">
      <w:instrText>91</w:instrText>
    </w:r>
    <w:r w:rsidRPr="00780485">
      <w:fldChar w:fldCharType="end"/>
    </w:r>
    <w:r w:rsidRPr="00780485">
      <w:instrText xml:space="preserve"> &gt; 1 "</w:instrText>
    </w:r>
    <w:r w:rsidRPr="00780485">
      <w:fldChar w:fldCharType="begin" w:fldLock="1"/>
    </w:r>
    <w:r w:rsidRPr="00780485">
      <w:instrText xml:space="preserve"> DOCPROPERTY BetänkandeÅr</w:instrText>
    </w:r>
    <w:r w:rsidRPr="00780485">
      <w:fldChar w:fldCharType="separate"/>
    </w:r>
    <w:r w:rsidRPr="00780485">
      <w:instrText>2001/02</w:instrText>
    </w:r>
    <w:r w:rsidRPr="00780485">
      <w:fldChar w:fldCharType="end"/>
    </w:r>
    <w:r w:rsidRPr="00780485">
      <w:instrText>:</w:instrText>
    </w:r>
    <w:r w:rsidRPr="00780485">
      <w:fldChar w:fldCharType="begin" w:fldLock="1"/>
    </w:r>
    <w:r w:rsidRPr="00780485">
      <w:instrText xml:space="preserve"> DOCPROPERTY Betä</w:instrText>
    </w:r>
    <w:r w:rsidRPr="00780485">
      <w:instrText>n</w:instrText>
    </w:r>
    <w:r w:rsidRPr="00780485">
      <w:instrText>kandeNr</w:instrText>
    </w:r>
    <w:r w:rsidRPr="00780485">
      <w:fldChar w:fldCharType="separate"/>
    </w:r>
    <w:r w:rsidRPr="00780485">
      <w:instrText>RR4</w:instrText>
    </w:r>
    <w:r w:rsidRPr="00780485">
      <w:fldChar w:fldCharType="end"/>
    </w:r>
  </w:p>
  <w:p w:rsidR="007A6E3D" w:rsidRPr="00780485" w:rsidRDefault="007A6E3D">
    <w:pPr>
      <w:pStyle w:val="SidhuvudKantBilaga"/>
      <w:framePr w:w="1758" w:h="2744" w:hRule="exact" w:wrap="around" w:vAnchor="page" w:hAnchor="page" w:x="7372" w:y="568" w:anchorLock="0"/>
    </w:pPr>
    <w:r w:rsidRPr="00780485">
      <w:instrText>Bilaga 2</w:instrText>
    </w:r>
  </w:p>
  <w:p w:rsidR="007A6E3D" w:rsidRPr="00780485" w:rsidRDefault="007A6E3D">
    <w:pPr>
      <w:pStyle w:val="SidhuvudKant"/>
      <w:framePr w:w="1758" w:h="2744" w:hRule="exact" w:wrap="around" w:vAnchor="page" w:hAnchor="page" w:x="7372" w:y="568" w:anchorLock="0"/>
    </w:pPr>
    <w:r w:rsidRPr="00780485">
      <w:instrText>"</w:instrText>
    </w:r>
    <w:r w:rsidRPr="00780485">
      <w:fldChar w:fldCharType="separate"/>
    </w:r>
    <w:r w:rsidRPr="00780485">
      <w:fldChar w:fldCharType="begin" w:fldLock="1"/>
    </w:r>
    <w:r w:rsidRPr="00780485">
      <w:instrText xml:space="preserve"> DOCPROPERTY BetänkandeÅr</w:instrText>
    </w:r>
    <w:r w:rsidRPr="00780485">
      <w:fldChar w:fldCharType="separate"/>
    </w:r>
    <w:r w:rsidRPr="00780485">
      <w:t>2001/02</w:t>
    </w:r>
    <w:r w:rsidRPr="00780485">
      <w:fldChar w:fldCharType="end"/>
    </w:r>
    <w:r w:rsidRPr="00780485">
      <w:t>:</w:t>
    </w:r>
    <w:r w:rsidRPr="00780485">
      <w:fldChar w:fldCharType="begin" w:fldLock="1"/>
    </w:r>
    <w:r w:rsidRPr="00780485">
      <w:instrText xml:space="preserve"> DOCPROPERTY Betä</w:instrText>
    </w:r>
    <w:r w:rsidRPr="00780485">
      <w:instrText>n</w:instrText>
    </w:r>
    <w:r w:rsidRPr="00780485">
      <w:instrText>kandeNr</w:instrText>
    </w:r>
    <w:r w:rsidRPr="00780485">
      <w:fldChar w:fldCharType="separate"/>
    </w:r>
    <w:r w:rsidRPr="00780485">
      <w:t>RR4</w:t>
    </w:r>
    <w:r w:rsidRPr="00780485">
      <w:fldChar w:fldCharType="end"/>
    </w:r>
  </w:p>
  <w:p w:rsidR="007A6E3D" w:rsidRPr="00780485" w:rsidRDefault="007A6E3D">
    <w:pPr>
      <w:pStyle w:val="SidhuvudKantBilaga"/>
      <w:framePr w:w="1758" w:h="2744" w:hRule="exact" w:wrap="around" w:vAnchor="page" w:hAnchor="page" w:x="7372" w:y="568" w:anchorLock="0"/>
    </w:pPr>
    <w:r w:rsidRPr="00780485">
      <w:t>Bilaga 2</w:t>
    </w:r>
  </w:p>
  <w:p w:rsidR="007A6E3D" w:rsidRPr="00780485" w:rsidRDefault="007A6E3D">
    <w:pPr>
      <w:pStyle w:val="SidhuvudKant"/>
      <w:framePr w:w="1758" w:h="2744" w:hRule="exact" w:wrap="around" w:vAnchor="page" w:hAnchor="page" w:x="7372" w:y="568" w:anchorLock="0"/>
    </w:pPr>
    <w:r w:rsidRPr="00780485">
      <w:fldChar w:fldCharType="end"/>
    </w:r>
  </w:p>
  <w:p w:rsidR="007A6E3D" w:rsidRPr="00780485" w:rsidRDefault="007A6E3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E3D" w:rsidRPr="00780485" w:rsidRDefault="007A6E3D">
    <w:pPr>
      <w:pStyle w:val="SidhuvudKant"/>
      <w:framePr w:w="1758" w:h="2744" w:hRule="exact" w:wrap="around" w:vAnchor="page" w:hAnchor="page" w:x="7372" w:y="568" w:anchorLock="0"/>
    </w:pPr>
    <w:r w:rsidRPr="00780485">
      <w:t>2001/02:RR4</w:t>
    </w:r>
  </w:p>
  <w:p w:rsidR="007A6E3D" w:rsidRPr="00780485" w:rsidRDefault="007A6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721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2E4B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C03F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AE1C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A22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200B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A4C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4CC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A636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B693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64A95"/>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A68F2"/>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42012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DE5694"/>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01F53A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1FE28E7"/>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5537C68"/>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6F1789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82D5307"/>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9CF78F6"/>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A5C2D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A96409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C275798"/>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C3A3EB9"/>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C567E79"/>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C705803"/>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D3021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D6A491C"/>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DCF6B2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E4B182C"/>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FA43B3F"/>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FBC5F50"/>
    <w:multiLevelType w:val="singleLevel"/>
    <w:tmpl w:val="041D000F"/>
    <w:lvl w:ilvl="0">
      <w:start w:val="1"/>
      <w:numFmt w:val="decimal"/>
      <w:lvlText w:val="%1."/>
      <w:lvlJc w:val="left"/>
      <w:pPr>
        <w:tabs>
          <w:tab w:val="num" w:pos="360"/>
        </w:tabs>
        <w:ind w:left="360" w:hanging="360"/>
      </w:pPr>
    </w:lvl>
  </w:abstractNum>
  <w:abstractNum w:abstractNumId="32" w15:restartNumberingAfterBreak="0">
    <w:nsid w:val="105D66E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110E697F"/>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12A32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1940E7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4096040"/>
    <w:multiLevelType w:val="singleLevel"/>
    <w:tmpl w:val="041D000F"/>
    <w:lvl w:ilvl="0">
      <w:start w:val="1"/>
      <w:numFmt w:val="decimal"/>
      <w:lvlText w:val="%1."/>
      <w:lvlJc w:val="left"/>
      <w:pPr>
        <w:tabs>
          <w:tab w:val="num" w:pos="360"/>
        </w:tabs>
        <w:ind w:left="360" w:hanging="360"/>
      </w:pPr>
    </w:lvl>
  </w:abstractNum>
  <w:abstractNum w:abstractNumId="37" w15:restartNumberingAfterBreak="0">
    <w:nsid w:val="15CE2763"/>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5F10188"/>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40" w15:restartNumberingAfterBreak="0">
    <w:nsid w:val="166A161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79C7B2A"/>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7DE628A"/>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98C506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1AF96CE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BBB16BA"/>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BBE7EF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C26076C"/>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C9240A2"/>
    <w:multiLevelType w:val="singleLevel"/>
    <w:tmpl w:val="9D986D7C"/>
    <w:lvl w:ilvl="0">
      <w:numFmt w:val="bullet"/>
      <w:lvlText w:val="-"/>
      <w:lvlJc w:val="left"/>
      <w:pPr>
        <w:tabs>
          <w:tab w:val="num" w:pos="360"/>
        </w:tabs>
        <w:ind w:left="360" w:hanging="360"/>
      </w:pPr>
      <w:rPr>
        <w:rFonts w:hint="default"/>
      </w:rPr>
    </w:lvl>
  </w:abstractNum>
  <w:abstractNum w:abstractNumId="49" w15:restartNumberingAfterBreak="0">
    <w:nsid w:val="1DB851CA"/>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E3500F1"/>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1E956C08"/>
    <w:multiLevelType w:val="singleLevel"/>
    <w:tmpl w:val="041D000F"/>
    <w:lvl w:ilvl="0">
      <w:start w:val="1"/>
      <w:numFmt w:val="decimal"/>
      <w:lvlText w:val="%1."/>
      <w:lvlJc w:val="left"/>
      <w:pPr>
        <w:tabs>
          <w:tab w:val="num" w:pos="360"/>
        </w:tabs>
        <w:ind w:left="360" w:hanging="360"/>
      </w:pPr>
    </w:lvl>
  </w:abstractNum>
  <w:abstractNum w:abstractNumId="52"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53" w15:restartNumberingAfterBreak="0">
    <w:nsid w:val="20F3521C"/>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1B711F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1D5202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36225FB"/>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23843FB6"/>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243E1D08"/>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66062F1"/>
    <w:multiLevelType w:val="singleLevel"/>
    <w:tmpl w:val="E4540A5C"/>
    <w:lvl w:ilvl="0">
      <w:start w:val="1"/>
      <w:numFmt w:val="decimal"/>
      <w:lvlText w:val="%1."/>
      <w:lvlJc w:val="left"/>
      <w:pPr>
        <w:tabs>
          <w:tab w:val="num" w:pos="530"/>
        </w:tabs>
        <w:ind w:left="530" w:hanging="360"/>
      </w:pPr>
      <w:rPr>
        <w:rFonts w:hint="default"/>
      </w:rPr>
    </w:lvl>
  </w:abstractNum>
  <w:abstractNum w:abstractNumId="60" w15:restartNumberingAfterBreak="0">
    <w:nsid w:val="28101F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83C4E5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8B435CD"/>
    <w:multiLevelType w:val="singleLevel"/>
    <w:tmpl w:val="E4540A5C"/>
    <w:lvl w:ilvl="0">
      <w:start w:val="1"/>
      <w:numFmt w:val="decimal"/>
      <w:lvlText w:val="%1."/>
      <w:lvlJc w:val="left"/>
      <w:pPr>
        <w:tabs>
          <w:tab w:val="num" w:pos="530"/>
        </w:tabs>
        <w:ind w:left="530" w:hanging="360"/>
      </w:pPr>
      <w:rPr>
        <w:rFonts w:hint="default"/>
      </w:rPr>
    </w:lvl>
  </w:abstractNum>
  <w:abstractNum w:abstractNumId="63" w15:restartNumberingAfterBreak="0">
    <w:nsid w:val="29EC710B"/>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2A786A0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2A827862"/>
    <w:multiLevelType w:val="singleLevel"/>
    <w:tmpl w:val="E4540A5C"/>
    <w:lvl w:ilvl="0">
      <w:start w:val="1"/>
      <w:numFmt w:val="decimal"/>
      <w:lvlText w:val="%1."/>
      <w:lvlJc w:val="left"/>
      <w:pPr>
        <w:tabs>
          <w:tab w:val="num" w:pos="530"/>
        </w:tabs>
        <w:ind w:left="530" w:hanging="360"/>
      </w:pPr>
      <w:rPr>
        <w:rFonts w:hint="default"/>
      </w:rPr>
    </w:lvl>
  </w:abstractNum>
  <w:abstractNum w:abstractNumId="66" w15:restartNumberingAfterBreak="0">
    <w:nsid w:val="2FE04EA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7"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31624C3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3376020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3D248C9"/>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469545C"/>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605251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6BE459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78D69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37D7776C"/>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8EF6AA5"/>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9A11DD1"/>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A0764DE"/>
    <w:multiLevelType w:val="singleLevel"/>
    <w:tmpl w:val="041D000F"/>
    <w:lvl w:ilvl="0">
      <w:start w:val="1"/>
      <w:numFmt w:val="decimal"/>
      <w:lvlText w:val="%1."/>
      <w:lvlJc w:val="left"/>
      <w:pPr>
        <w:tabs>
          <w:tab w:val="num" w:pos="360"/>
        </w:tabs>
        <w:ind w:left="360" w:hanging="360"/>
      </w:pPr>
    </w:lvl>
  </w:abstractNum>
  <w:abstractNum w:abstractNumId="79" w15:restartNumberingAfterBreak="0">
    <w:nsid w:val="3C1A76B1"/>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3CA0119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3DC609BA"/>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E8C2F6B"/>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3E9D3E5F"/>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3F9032C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402D52B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4033370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0F371F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1F941B6"/>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40B1428"/>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4A22B2C"/>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6045BEC"/>
    <w:multiLevelType w:val="singleLevel"/>
    <w:tmpl w:val="041D000F"/>
    <w:lvl w:ilvl="0">
      <w:start w:val="1"/>
      <w:numFmt w:val="decimal"/>
      <w:lvlText w:val="%1."/>
      <w:lvlJc w:val="left"/>
      <w:pPr>
        <w:tabs>
          <w:tab w:val="num" w:pos="360"/>
        </w:tabs>
        <w:ind w:left="360" w:hanging="360"/>
      </w:pPr>
    </w:lvl>
  </w:abstractNum>
  <w:abstractNum w:abstractNumId="92" w15:restartNumberingAfterBreak="0">
    <w:nsid w:val="47497B73"/>
    <w:multiLevelType w:val="singleLevel"/>
    <w:tmpl w:val="B1F6D714"/>
    <w:lvl w:ilvl="0">
      <w:numFmt w:val="bullet"/>
      <w:lvlText w:val=""/>
      <w:lvlJc w:val="left"/>
      <w:pPr>
        <w:tabs>
          <w:tab w:val="num" w:pos="360"/>
        </w:tabs>
        <w:ind w:left="360" w:hanging="360"/>
      </w:pPr>
      <w:rPr>
        <w:rFonts w:ascii="Symbol" w:hAnsi="Symbol" w:hint="default"/>
      </w:rPr>
    </w:lvl>
  </w:abstractNum>
  <w:abstractNum w:abstractNumId="93" w15:restartNumberingAfterBreak="0">
    <w:nsid w:val="49993F43"/>
    <w:multiLevelType w:val="singleLevel"/>
    <w:tmpl w:val="041D000F"/>
    <w:lvl w:ilvl="0">
      <w:start w:val="1"/>
      <w:numFmt w:val="decimal"/>
      <w:lvlText w:val="%1."/>
      <w:lvlJc w:val="left"/>
      <w:pPr>
        <w:tabs>
          <w:tab w:val="num" w:pos="360"/>
        </w:tabs>
        <w:ind w:left="360" w:hanging="360"/>
      </w:pPr>
    </w:lvl>
  </w:abstractNum>
  <w:abstractNum w:abstractNumId="94" w15:restartNumberingAfterBreak="0">
    <w:nsid w:val="4AC070D5"/>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4B9A260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4CDC6B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D35341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4FD5657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531D4EEF"/>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53577D0E"/>
    <w:multiLevelType w:val="singleLevel"/>
    <w:tmpl w:val="041D000F"/>
    <w:lvl w:ilvl="0">
      <w:start w:val="1"/>
      <w:numFmt w:val="decimal"/>
      <w:lvlText w:val="%1."/>
      <w:lvlJc w:val="left"/>
      <w:pPr>
        <w:tabs>
          <w:tab w:val="num" w:pos="360"/>
        </w:tabs>
        <w:ind w:left="360" w:hanging="360"/>
      </w:pPr>
    </w:lvl>
  </w:abstractNum>
  <w:abstractNum w:abstractNumId="101" w15:restartNumberingAfterBreak="0">
    <w:nsid w:val="551B2A93"/>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6A36162"/>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6A96465"/>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570521D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76E62A7"/>
    <w:multiLevelType w:val="singleLevel"/>
    <w:tmpl w:val="041D000F"/>
    <w:lvl w:ilvl="0">
      <w:start w:val="1"/>
      <w:numFmt w:val="decimal"/>
      <w:lvlText w:val="%1."/>
      <w:lvlJc w:val="left"/>
      <w:pPr>
        <w:tabs>
          <w:tab w:val="num" w:pos="360"/>
        </w:tabs>
        <w:ind w:left="360" w:hanging="360"/>
      </w:pPr>
    </w:lvl>
  </w:abstractNum>
  <w:abstractNum w:abstractNumId="106" w15:restartNumberingAfterBreak="0">
    <w:nsid w:val="582016FF"/>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5CA203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5CD11A9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5D7E676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0" w15:restartNumberingAfterBreak="0">
    <w:nsid w:val="5DE15488"/>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5DEB3A3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5FAA4977"/>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14279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1A24C95"/>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62C454A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7" w15:restartNumberingAfterBreak="0">
    <w:nsid w:val="665F078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66814282"/>
    <w:multiLevelType w:val="singleLevel"/>
    <w:tmpl w:val="E4540A5C"/>
    <w:lvl w:ilvl="0">
      <w:start w:val="1"/>
      <w:numFmt w:val="decimal"/>
      <w:lvlText w:val="%1."/>
      <w:lvlJc w:val="left"/>
      <w:pPr>
        <w:tabs>
          <w:tab w:val="num" w:pos="530"/>
        </w:tabs>
        <w:ind w:left="530" w:hanging="360"/>
      </w:pPr>
      <w:rPr>
        <w:rFonts w:hint="default"/>
      </w:rPr>
    </w:lvl>
  </w:abstractNum>
  <w:abstractNum w:abstractNumId="119" w15:restartNumberingAfterBreak="0">
    <w:nsid w:val="688915D7"/>
    <w:multiLevelType w:val="multilevel"/>
    <w:tmpl w:val="3F18C5A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693E4235"/>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6A7B43A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6CFB20F7"/>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6EAD2007"/>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6EBC7E2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F305D25"/>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6F8756C9"/>
    <w:multiLevelType w:val="singleLevel"/>
    <w:tmpl w:val="55B2F2AA"/>
    <w:lvl w:ilvl="0">
      <w:start w:val="1"/>
      <w:numFmt w:val="decimal"/>
      <w:lvlText w:val="%1."/>
      <w:lvlJc w:val="left"/>
      <w:pPr>
        <w:tabs>
          <w:tab w:val="num" w:pos="530"/>
        </w:tabs>
        <w:ind w:left="530" w:hanging="360"/>
      </w:pPr>
      <w:rPr>
        <w:rFonts w:hint="default"/>
      </w:rPr>
    </w:lvl>
  </w:abstractNum>
  <w:abstractNum w:abstractNumId="127" w15:restartNumberingAfterBreak="0">
    <w:nsid w:val="70205B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709B46B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70F12863"/>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71B33506"/>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72365EF6"/>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732D4D6B"/>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74215D5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74EA09AF"/>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74FB22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75D82649"/>
    <w:multiLevelType w:val="singleLevel"/>
    <w:tmpl w:val="041D000F"/>
    <w:lvl w:ilvl="0">
      <w:start w:val="1"/>
      <w:numFmt w:val="decimal"/>
      <w:lvlText w:val="%1."/>
      <w:lvlJc w:val="left"/>
      <w:pPr>
        <w:tabs>
          <w:tab w:val="num" w:pos="360"/>
        </w:tabs>
        <w:ind w:left="360" w:hanging="360"/>
      </w:pPr>
      <w:rPr>
        <w:rFonts w:hint="default"/>
      </w:rPr>
    </w:lvl>
  </w:abstractNum>
  <w:abstractNum w:abstractNumId="137" w15:restartNumberingAfterBreak="0">
    <w:nsid w:val="76531D9B"/>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765F70B7"/>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775B3BF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0" w15:restartNumberingAfterBreak="0">
    <w:nsid w:val="779C788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782E51A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78BA3A52"/>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8EF2EB8"/>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7A5023C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7B4B4F1B"/>
    <w:multiLevelType w:val="singleLevel"/>
    <w:tmpl w:val="041D000F"/>
    <w:lvl w:ilvl="0">
      <w:start w:val="1"/>
      <w:numFmt w:val="decimal"/>
      <w:lvlText w:val="%1."/>
      <w:lvlJc w:val="left"/>
      <w:pPr>
        <w:tabs>
          <w:tab w:val="num" w:pos="360"/>
        </w:tabs>
        <w:ind w:left="360" w:hanging="360"/>
      </w:pPr>
    </w:lvl>
  </w:abstractNum>
  <w:abstractNum w:abstractNumId="146" w15:restartNumberingAfterBreak="0">
    <w:nsid w:val="7B9850D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7BA36F3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7F6803C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7F8B547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28333823">
    <w:abstractNumId w:val="119"/>
  </w:num>
  <w:num w:numId="2" w16cid:durableId="1424567507">
    <w:abstractNumId w:val="119"/>
  </w:num>
  <w:num w:numId="3" w16cid:durableId="1484470346">
    <w:abstractNumId w:val="119"/>
  </w:num>
  <w:num w:numId="4" w16cid:durableId="486553446">
    <w:abstractNumId w:val="119"/>
  </w:num>
  <w:num w:numId="5" w16cid:durableId="2100247403">
    <w:abstractNumId w:val="119"/>
  </w:num>
  <w:num w:numId="6" w16cid:durableId="852301114">
    <w:abstractNumId w:val="119"/>
  </w:num>
  <w:num w:numId="7" w16cid:durableId="132872188">
    <w:abstractNumId w:val="119"/>
  </w:num>
  <w:num w:numId="8" w16cid:durableId="1613436094">
    <w:abstractNumId w:val="119"/>
  </w:num>
  <w:num w:numId="9" w16cid:durableId="1785808551">
    <w:abstractNumId w:val="8"/>
  </w:num>
  <w:num w:numId="10" w16cid:durableId="890265140">
    <w:abstractNumId w:val="3"/>
  </w:num>
  <w:num w:numId="11" w16cid:durableId="970982880">
    <w:abstractNumId w:val="2"/>
  </w:num>
  <w:num w:numId="12" w16cid:durableId="33429370">
    <w:abstractNumId w:val="1"/>
  </w:num>
  <w:num w:numId="13" w16cid:durableId="1765570878">
    <w:abstractNumId w:val="0"/>
  </w:num>
  <w:num w:numId="14" w16cid:durableId="214396560">
    <w:abstractNumId w:val="9"/>
  </w:num>
  <w:num w:numId="15" w16cid:durableId="1236159984">
    <w:abstractNumId w:val="7"/>
  </w:num>
  <w:num w:numId="16" w16cid:durableId="1127966485">
    <w:abstractNumId w:val="6"/>
  </w:num>
  <w:num w:numId="17" w16cid:durableId="1369453471">
    <w:abstractNumId w:val="5"/>
  </w:num>
  <w:num w:numId="18" w16cid:durableId="437062803">
    <w:abstractNumId w:val="4"/>
  </w:num>
  <w:num w:numId="19" w16cid:durableId="362361508">
    <w:abstractNumId w:val="105"/>
  </w:num>
  <w:num w:numId="20" w16cid:durableId="21825359">
    <w:abstractNumId w:val="28"/>
  </w:num>
  <w:num w:numId="21" w16cid:durableId="226576648">
    <w:abstractNumId w:val="138"/>
  </w:num>
  <w:num w:numId="22" w16cid:durableId="76947196">
    <w:abstractNumId w:val="13"/>
  </w:num>
  <w:num w:numId="23" w16cid:durableId="1514488275">
    <w:abstractNumId w:val="100"/>
  </w:num>
  <w:num w:numId="24" w16cid:durableId="1907834339">
    <w:abstractNumId w:val="91"/>
  </w:num>
  <w:num w:numId="25" w16cid:durableId="1534881768">
    <w:abstractNumId w:val="19"/>
  </w:num>
  <w:num w:numId="26" w16cid:durableId="1799176046">
    <w:abstractNumId w:val="99"/>
  </w:num>
  <w:num w:numId="27" w16cid:durableId="587347937">
    <w:abstractNumId w:val="116"/>
  </w:num>
  <w:num w:numId="28" w16cid:durableId="66658650">
    <w:abstractNumId w:val="52"/>
  </w:num>
  <w:num w:numId="29" w16cid:durableId="955602470">
    <w:abstractNumId w:val="39"/>
  </w:num>
  <w:num w:numId="30" w16cid:durableId="1084641223">
    <w:abstractNumId w:val="67"/>
  </w:num>
  <w:num w:numId="31" w16cid:durableId="1515925097">
    <w:abstractNumId w:val="149"/>
  </w:num>
  <w:num w:numId="32" w16cid:durableId="1060135644">
    <w:abstractNumId w:val="107"/>
  </w:num>
  <w:num w:numId="33" w16cid:durableId="1406757462">
    <w:abstractNumId w:val="14"/>
  </w:num>
  <w:num w:numId="34" w16cid:durableId="1074665969">
    <w:abstractNumId w:val="136"/>
  </w:num>
  <w:num w:numId="35" w16cid:durableId="1939219291">
    <w:abstractNumId w:val="96"/>
  </w:num>
  <w:num w:numId="36" w16cid:durableId="524174671">
    <w:abstractNumId w:val="60"/>
  </w:num>
  <w:num w:numId="37" w16cid:durableId="518855217">
    <w:abstractNumId w:val="26"/>
  </w:num>
  <w:num w:numId="38" w16cid:durableId="67001153">
    <w:abstractNumId w:val="135"/>
  </w:num>
  <w:num w:numId="39" w16cid:durableId="464666805">
    <w:abstractNumId w:val="127"/>
  </w:num>
  <w:num w:numId="40" w16cid:durableId="373581962">
    <w:abstractNumId w:val="20"/>
  </w:num>
  <w:num w:numId="41" w16cid:durableId="1241137557">
    <w:abstractNumId w:val="34"/>
  </w:num>
  <w:num w:numId="42" w16cid:durableId="973560785">
    <w:abstractNumId w:val="113"/>
  </w:num>
  <w:num w:numId="43" w16cid:durableId="940332556">
    <w:abstractNumId w:val="74"/>
  </w:num>
  <w:num w:numId="44" w16cid:durableId="1585450325">
    <w:abstractNumId w:val="148"/>
  </w:num>
  <w:num w:numId="45" w16cid:durableId="831914105">
    <w:abstractNumId w:val="40"/>
  </w:num>
  <w:num w:numId="46" w16cid:durableId="1471051708">
    <w:abstractNumId w:val="77"/>
  </w:num>
  <w:num w:numId="47" w16cid:durableId="1278758139">
    <w:abstractNumId w:val="12"/>
  </w:num>
  <w:num w:numId="48" w16cid:durableId="44454334">
    <w:abstractNumId w:val="61"/>
  </w:num>
  <w:num w:numId="49" w16cid:durableId="458451082">
    <w:abstractNumId w:val="49"/>
  </w:num>
  <w:num w:numId="50" w16cid:durableId="1410692994">
    <w:abstractNumId w:val="42"/>
  </w:num>
  <w:num w:numId="51" w16cid:durableId="2123070104">
    <w:abstractNumId w:val="22"/>
  </w:num>
  <w:num w:numId="52" w16cid:durableId="1953438766">
    <w:abstractNumId w:val="57"/>
  </w:num>
  <w:num w:numId="53" w16cid:durableId="1228682987">
    <w:abstractNumId w:val="147"/>
  </w:num>
  <w:num w:numId="54" w16cid:durableId="285814292">
    <w:abstractNumId w:val="128"/>
  </w:num>
  <w:num w:numId="55" w16cid:durableId="1639604725">
    <w:abstractNumId w:val="71"/>
  </w:num>
  <w:num w:numId="56" w16cid:durableId="1183740747">
    <w:abstractNumId w:val="25"/>
  </w:num>
  <w:num w:numId="57" w16cid:durableId="1401635072">
    <w:abstractNumId w:val="79"/>
  </w:num>
  <w:num w:numId="58" w16cid:durableId="1272278999">
    <w:abstractNumId w:val="85"/>
  </w:num>
  <w:num w:numId="59" w16cid:durableId="1534269695">
    <w:abstractNumId w:val="101"/>
  </w:num>
  <w:num w:numId="60" w16cid:durableId="440270862">
    <w:abstractNumId w:val="68"/>
  </w:num>
  <w:num w:numId="61" w16cid:durableId="1292008886">
    <w:abstractNumId w:val="43"/>
  </w:num>
  <w:num w:numId="62" w16cid:durableId="2064060651">
    <w:abstractNumId w:val="31"/>
  </w:num>
  <w:num w:numId="63" w16cid:durableId="972833350">
    <w:abstractNumId w:val="78"/>
  </w:num>
  <w:num w:numId="64" w16cid:durableId="1152482825">
    <w:abstractNumId w:val="139"/>
  </w:num>
  <w:num w:numId="65" w16cid:durableId="2000763448">
    <w:abstractNumId w:val="109"/>
  </w:num>
  <w:num w:numId="66" w16cid:durableId="663513319">
    <w:abstractNumId w:val="66"/>
  </w:num>
  <w:num w:numId="67" w16cid:durableId="784693903">
    <w:abstractNumId w:val="32"/>
  </w:num>
  <w:num w:numId="68" w16cid:durableId="634532826">
    <w:abstractNumId w:val="48"/>
  </w:num>
  <w:num w:numId="69" w16cid:durableId="1785808470">
    <w:abstractNumId w:val="88"/>
  </w:num>
  <w:num w:numId="70" w16cid:durableId="331420307">
    <w:abstractNumId w:val="58"/>
  </w:num>
  <w:num w:numId="71" w16cid:durableId="1289552265">
    <w:abstractNumId w:val="141"/>
  </w:num>
  <w:num w:numId="72" w16cid:durableId="425657003">
    <w:abstractNumId w:val="70"/>
  </w:num>
  <w:num w:numId="73" w16cid:durableId="2131777005">
    <w:abstractNumId w:val="37"/>
  </w:num>
  <w:num w:numId="74" w16cid:durableId="1017850648">
    <w:abstractNumId w:val="94"/>
  </w:num>
  <w:num w:numId="75" w16cid:durableId="1968581771">
    <w:abstractNumId w:val="143"/>
  </w:num>
  <w:num w:numId="76" w16cid:durableId="135953559">
    <w:abstractNumId w:val="53"/>
  </w:num>
  <w:num w:numId="77" w16cid:durableId="141971743">
    <w:abstractNumId w:val="73"/>
  </w:num>
  <w:num w:numId="78" w16cid:durableId="1507095244">
    <w:abstractNumId w:val="103"/>
  </w:num>
  <w:num w:numId="79" w16cid:durableId="1204446661">
    <w:abstractNumId w:val="93"/>
  </w:num>
  <w:num w:numId="80" w16cid:durableId="314644382">
    <w:abstractNumId w:val="69"/>
  </w:num>
  <w:num w:numId="81" w16cid:durableId="900824349">
    <w:abstractNumId w:val="106"/>
  </w:num>
  <w:num w:numId="82" w16cid:durableId="619337145">
    <w:abstractNumId w:val="134"/>
  </w:num>
  <w:num w:numId="83" w16cid:durableId="1366103614">
    <w:abstractNumId w:val="54"/>
  </w:num>
  <w:num w:numId="84" w16cid:durableId="191965611">
    <w:abstractNumId w:val="142"/>
  </w:num>
  <w:num w:numId="85" w16cid:durableId="870804030">
    <w:abstractNumId w:val="10"/>
  </w:num>
  <w:num w:numId="86" w16cid:durableId="448428458">
    <w:abstractNumId w:val="27"/>
  </w:num>
  <w:num w:numId="87" w16cid:durableId="1124890013">
    <w:abstractNumId w:val="120"/>
  </w:num>
  <w:num w:numId="88" w16cid:durableId="1390104928">
    <w:abstractNumId w:val="47"/>
  </w:num>
  <w:num w:numId="89" w16cid:durableId="185406063">
    <w:abstractNumId w:val="16"/>
  </w:num>
  <w:num w:numId="90" w16cid:durableId="1775129225">
    <w:abstractNumId w:val="129"/>
  </w:num>
  <w:num w:numId="91" w16cid:durableId="477109648">
    <w:abstractNumId w:val="133"/>
  </w:num>
  <w:num w:numId="92" w16cid:durableId="1417283092">
    <w:abstractNumId w:val="117"/>
  </w:num>
  <w:num w:numId="93" w16cid:durableId="1610965277">
    <w:abstractNumId w:val="50"/>
  </w:num>
  <w:num w:numId="94" w16cid:durableId="1894584882">
    <w:abstractNumId w:val="102"/>
  </w:num>
  <w:num w:numId="95" w16cid:durableId="978531283">
    <w:abstractNumId w:val="90"/>
  </w:num>
  <w:num w:numId="96" w16cid:durableId="1797721900">
    <w:abstractNumId w:val="124"/>
  </w:num>
  <w:num w:numId="97" w16cid:durableId="1107502786">
    <w:abstractNumId w:val="41"/>
  </w:num>
  <w:num w:numId="98" w16cid:durableId="347682083">
    <w:abstractNumId w:val="108"/>
  </w:num>
  <w:num w:numId="99" w16cid:durableId="1345939352">
    <w:abstractNumId w:val="17"/>
  </w:num>
  <w:num w:numId="100" w16cid:durableId="194467125">
    <w:abstractNumId w:val="115"/>
  </w:num>
  <w:num w:numId="101" w16cid:durableId="426578965">
    <w:abstractNumId w:val="36"/>
  </w:num>
  <w:num w:numId="102" w16cid:durableId="623124506">
    <w:abstractNumId w:val="21"/>
  </w:num>
  <w:num w:numId="103" w16cid:durableId="1335718600">
    <w:abstractNumId w:val="145"/>
  </w:num>
  <w:num w:numId="104" w16cid:durableId="1133593321">
    <w:abstractNumId w:val="110"/>
  </w:num>
  <w:num w:numId="105" w16cid:durableId="744491581">
    <w:abstractNumId w:val="81"/>
  </w:num>
  <w:num w:numId="106" w16cid:durableId="1836460073">
    <w:abstractNumId w:val="121"/>
  </w:num>
  <w:num w:numId="107" w16cid:durableId="1786999059">
    <w:abstractNumId w:val="140"/>
  </w:num>
  <w:num w:numId="108" w16cid:durableId="1149395499">
    <w:abstractNumId w:val="104"/>
  </w:num>
  <w:num w:numId="109" w16cid:durableId="1726834690">
    <w:abstractNumId w:val="30"/>
  </w:num>
  <w:num w:numId="110" w16cid:durableId="1890873429">
    <w:abstractNumId w:val="35"/>
  </w:num>
  <w:num w:numId="111" w16cid:durableId="934242753">
    <w:abstractNumId w:val="45"/>
  </w:num>
  <w:num w:numId="112" w16cid:durableId="1477644434">
    <w:abstractNumId w:val="44"/>
  </w:num>
  <w:num w:numId="113" w16cid:durableId="1390495260">
    <w:abstractNumId w:val="15"/>
  </w:num>
  <w:num w:numId="114" w16cid:durableId="1539858152">
    <w:abstractNumId w:val="125"/>
  </w:num>
  <w:num w:numId="115" w16cid:durableId="963654597">
    <w:abstractNumId w:val="46"/>
  </w:num>
  <w:num w:numId="116" w16cid:durableId="1128086502">
    <w:abstractNumId w:val="122"/>
  </w:num>
  <w:num w:numId="117" w16cid:durableId="367606696">
    <w:abstractNumId w:val="131"/>
  </w:num>
  <w:num w:numId="118" w16cid:durableId="1452481071">
    <w:abstractNumId w:val="98"/>
  </w:num>
  <w:num w:numId="119" w16cid:durableId="833492787">
    <w:abstractNumId w:val="76"/>
  </w:num>
  <w:num w:numId="120" w16cid:durableId="619410187">
    <w:abstractNumId w:val="23"/>
  </w:num>
  <w:num w:numId="121" w16cid:durableId="1074813404">
    <w:abstractNumId w:val="137"/>
  </w:num>
  <w:num w:numId="122" w16cid:durableId="620310136">
    <w:abstractNumId w:val="144"/>
  </w:num>
  <w:num w:numId="123" w16cid:durableId="1917863252">
    <w:abstractNumId w:val="80"/>
  </w:num>
  <w:num w:numId="124" w16cid:durableId="1883135178">
    <w:abstractNumId w:val="51"/>
  </w:num>
  <w:num w:numId="125" w16cid:durableId="815808">
    <w:abstractNumId w:val="64"/>
  </w:num>
  <w:num w:numId="126" w16cid:durableId="1915507408">
    <w:abstractNumId w:val="82"/>
  </w:num>
  <w:num w:numId="127" w16cid:durableId="1044597089">
    <w:abstractNumId w:val="29"/>
  </w:num>
  <w:num w:numId="128" w16cid:durableId="1196190979">
    <w:abstractNumId w:val="130"/>
  </w:num>
  <w:num w:numId="129" w16cid:durableId="1413624081">
    <w:abstractNumId w:val="24"/>
  </w:num>
  <w:num w:numId="130" w16cid:durableId="636381239">
    <w:abstractNumId w:val="84"/>
  </w:num>
  <w:num w:numId="131" w16cid:durableId="1157301851">
    <w:abstractNumId w:val="95"/>
  </w:num>
  <w:num w:numId="132" w16cid:durableId="295523982">
    <w:abstractNumId w:val="126"/>
  </w:num>
  <w:num w:numId="133" w16cid:durableId="1590505891">
    <w:abstractNumId w:val="123"/>
  </w:num>
  <w:num w:numId="134" w16cid:durableId="2057121279">
    <w:abstractNumId w:val="111"/>
  </w:num>
  <w:num w:numId="135" w16cid:durableId="1289630494">
    <w:abstractNumId w:val="55"/>
  </w:num>
  <w:num w:numId="136" w16cid:durableId="816991772">
    <w:abstractNumId w:val="56"/>
  </w:num>
  <w:num w:numId="137" w16cid:durableId="988746389">
    <w:abstractNumId w:val="87"/>
  </w:num>
  <w:num w:numId="138" w16cid:durableId="618922241">
    <w:abstractNumId w:val="75"/>
  </w:num>
  <w:num w:numId="139" w16cid:durableId="1131245091">
    <w:abstractNumId w:val="72"/>
  </w:num>
  <w:num w:numId="140" w16cid:durableId="365566561">
    <w:abstractNumId w:val="86"/>
  </w:num>
  <w:num w:numId="141" w16cid:durableId="807357662">
    <w:abstractNumId w:val="83"/>
  </w:num>
  <w:num w:numId="142" w16cid:durableId="858398917">
    <w:abstractNumId w:val="63"/>
  </w:num>
  <w:num w:numId="143" w16cid:durableId="1576429807">
    <w:abstractNumId w:val="146"/>
  </w:num>
  <w:num w:numId="144" w16cid:durableId="2017801463">
    <w:abstractNumId w:val="33"/>
  </w:num>
  <w:num w:numId="145" w16cid:durableId="437989551">
    <w:abstractNumId w:val="132"/>
  </w:num>
  <w:num w:numId="146" w16cid:durableId="1552155018">
    <w:abstractNumId w:val="97"/>
  </w:num>
  <w:num w:numId="147" w16cid:durableId="1220943403">
    <w:abstractNumId w:val="89"/>
  </w:num>
  <w:num w:numId="148" w16cid:durableId="2117747112">
    <w:abstractNumId w:val="18"/>
  </w:num>
  <w:num w:numId="149" w16cid:durableId="259528162">
    <w:abstractNumId w:val="11"/>
  </w:num>
  <w:num w:numId="150" w16cid:durableId="1106148257">
    <w:abstractNumId w:val="112"/>
  </w:num>
  <w:num w:numId="151" w16cid:durableId="394472780">
    <w:abstractNumId w:val="38"/>
  </w:num>
  <w:num w:numId="152" w16cid:durableId="1795444704">
    <w:abstractNumId w:val="114"/>
  </w:num>
  <w:num w:numId="153" w16cid:durableId="74473225">
    <w:abstractNumId w:val="59"/>
  </w:num>
  <w:num w:numId="154" w16cid:durableId="806120345">
    <w:abstractNumId w:val="118"/>
  </w:num>
  <w:num w:numId="155" w16cid:durableId="589042264">
    <w:abstractNumId w:val="62"/>
  </w:num>
  <w:num w:numId="156" w16cid:durableId="1730806802">
    <w:abstractNumId w:val="65"/>
  </w:num>
  <w:num w:numId="157" w16cid:durableId="155461081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61933250">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DB52A1"/>
    <w:rsid w:val="00780485"/>
    <w:rsid w:val="007A6E3D"/>
    <w:rsid w:val="00DB52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5:chartTrackingRefBased/>
  <w15:docId w15:val="{703CACAF-5B71-4FCC-B701-FED399A3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142"/>
        <w:tab w:val="right" w:leader="dot" w:pos="5886"/>
      </w:tabs>
      <w:spacing w:before="0"/>
      <w:jc w:val="left"/>
    </w:pPr>
    <w:rPr>
      <w:noProof/>
    </w:rPr>
  </w:style>
  <w:style w:type="paragraph" w:styleId="Innehll2">
    <w:name w:val="toc 2"/>
    <w:basedOn w:val="Normal"/>
    <w:next w:val="Normal"/>
    <w:autoRedefine/>
    <w:semiHidden/>
    <w:pPr>
      <w:tabs>
        <w:tab w:val="left" w:pos="567"/>
        <w:tab w:val="right" w:leader="dot" w:pos="5886"/>
      </w:tabs>
      <w:spacing w:before="0"/>
      <w:ind w:left="193"/>
      <w:jc w:val="left"/>
    </w:pPr>
    <w:rPr>
      <w:noProof/>
    </w:rPr>
  </w:style>
  <w:style w:type="paragraph" w:styleId="Innehll3">
    <w:name w:val="toc 3"/>
    <w:basedOn w:val="Normal"/>
    <w:next w:val="Normal"/>
    <w:autoRedefine/>
    <w:semiHidden/>
    <w:pPr>
      <w:tabs>
        <w:tab w:val="left" w:pos="851"/>
        <w:tab w:val="right" w:leader="dot" w:pos="5886"/>
      </w:tabs>
      <w:spacing w:before="0"/>
      <w:ind w:left="380"/>
    </w:pPr>
    <w:rPr>
      <w:noProof/>
    </w:r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n">
    <w:name w:val="n"/>
    <w:basedOn w:val="Normaltindrag"/>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customStyle="1" w:styleId="Rubrik1-Utannumrering">
    <w:name w:val="Rubrik 1 - Utan numrering"/>
    <w:basedOn w:val="Rubrik1"/>
    <w:next w:val="Normal"/>
    <w:pPr>
      <w:numPr>
        <w:numId w:val="0"/>
      </w:numPr>
      <w:spacing w:before="600"/>
    </w:pPr>
  </w:style>
  <w:style w:type="paragraph" w:customStyle="1" w:styleId="e">
    <w:name w:val="e"/>
    <w:basedOn w:val="Normaltindrag"/>
  </w:style>
  <w:style w:type="paragraph" w:customStyle="1" w:styleId="t">
    <w:name w:val="t"/>
    <w:basedOn w:val="Normal"/>
    <w:rPr>
      <w:b/>
      <w:sz w:val="17"/>
    </w:rPr>
  </w:style>
  <w:style w:type="paragraph" w:customStyle="1" w:styleId="Rubrik2-Utannumrering">
    <w:name w:val="Rubrik 2 - Utan numrering"/>
    <w:basedOn w:val="Rubrik2"/>
    <w:next w:val="Normal"/>
    <w:pPr>
      <w:numPr>
        <w:ilvl w:val="0"/>
        <w:numId w:val="0"/>
      </w:numPr>
      <w:tabs>
        <w:tab w:val="clear" w:pos="340"/>
      </w:tabs>
    </w:pPr>
  </w:style>
  <w:style w:type="paragraph" w:customStyle="1" w:styleId="re">
    <w:name w:val="re"/>
    <w:basedOn w:val="Rubrik5"/>
    <w:rPr>
      <w:i/>
    </w:rPr>
  </w:style>
  <w:style w:type="character" w:styleId="Hyperlnk">
    <w:name w:val="Hyperlink"/>
    <w:basedOn w:val="Standardstycketeckensnitt"/>
    <w:semiHidden/>
    <w:rPr>
      <w:color w:val="0000FF"/>
      <w:u w:val="single"/>
    </w:r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30317</Words>
  <Characters>198580</Characters>
  <Application>Microsoft Office Word</Application>
  <DocSecurity>4</DocSecurity>
  <Lines>3893</Lines>
  <Paragraphs>1307</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Förslag till riksdagen</vt:lpstr>
      <vt:lpstr>Revisorernas granskning</vt:lpstr>
      <vt:lpstr>Remissinstansernas synpunkter och revisorernas överväganden</vt:lpstr>
      <vt:lpstr>    Översyn av Glesbygdsverkets roll inom regionalpolitiken</vt:lpstr>
      <vt:lpstr>    Förtydliga geografisk avgränsning av gles- och landsbygd</vt:lpstr>
      <vt:lpstr>    Ansvarsfördelning rörande stöd till kommersiell service</vt:lpstr>
      <vt:lpstr>    Överväganden om saklighet </vt:lpstr>
      <vt:lpstr>Revisorernas förslag</vt:lpstr>
      <vt:lpstr>Förord</vt:lpstr>
      <vt:lpstr>Sammanfattning</vt:lpstr>
      <vt:lpstr>Revisorernas överväganden och förslag</vt:lpstr>
      <vt:lpstr>Granskningens bakgrund och inriktning</vt:lpstr>
      <vt:lpstr>    Hur bildades Glesbygdsverket?</vt:lpstr>
      <vt:lpstr>Regionalpolitikens utveckling</vt:lpstr>
      <vt:lpstr>    Regionalpolitikens inriktning under 1990-talet</vt:lpstr>
      <vt:lpstr>        Ökad delegering och decentralisering</vt:lpstr>
      <vt:lpstr>        Ökad målstyrning</vt:lpstr>
      <vt:lpstr>        EU-medlemskapet</vt:lpstr>
      <vt:lpstr>        Decentralisering och kommunalisering</vt:lpstr>
      <vt:lpstr>        Regional näringspolitik</vt:lpstr>
      <vt:lpstr>        Utredning om den framtida regionalpolitiken </vt:lpstr>
      <vt:lpstr>Regionalpolitikens medel </vt:lpstr>
      <vt:lpstr>    Den lilla regionalpolitiken</vt:lpstr>
      <vt:lpstr>    Den stora regionalpolitiken</vt:lpstr>
      <vt:lpstr>        Statliga myndigheter och bolag</vt:lpstr>
      <vt:lpstr>        Kommuner och landsting</vt:lpstr>
      <vt:lpstr>        Uppföljning </vt:lpstr>
      <vt:lpstr>Glesbygdsverkets uppdrag och verksamhet</vt:lpstr>
      <vt:lpstr>    Övergripande mål</vt:lpstr>
      <vt:lpstr>    Regeringens mål för Glesbygdsverket</vt:lpstr>
      <vt:lpstr>    Glesbygdsverkets verksamhetsgrenar</vt:lpstr>
      <vt:lpstr>        Sektorssamordning</vt:lpstr>
      <vt:lpstr>        Beslutsunderlag till regeringen</vt:lpstr>
      <vt:lpstr>        Kunskapsförmedling</vt:lpstr>
      <vt:lpstr>        Förvaltningsmyndighet gemenskapsinitiativet LEADER+</vt:lpstr>
    </vt:vector>
  </TitlesOfParts>
  <Company>Riksdagen</Company>
  <LinksUpToDate>false</LinksUpToDate>
  <CharactersWithSpaces>227590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2001-10-17T09:49:00Z</cp:lastPrinted>
  <dcterms:created xsi:type="dcterms:W3CDTF">2025-12-16T00:55:00Z</dcterms:created>
  <dcterms:modified xsi:type="dcterms:W3CDTF">2025-12-16T00:55:00Z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RR4</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RR4</vt:lpwstr>
  </property>
</Properties>
</file>