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85B04" w:rsidRDefault="00085B04">
            <w:pPr>
              <w:pStyle w:val="HuvudRubrik"/>
            </w:pPr>
            <w:bookmarkStart w:id="0" w:name="BetänkandeRubrik"/>
            <w:bookmarkEnd w:id="0"/>
            <w:r>
              <w:t>Justitieutskottets betänkande</w:t>
            </w:r>
            <w:r w:rsidR="0065696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74272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85B04" w:rsidRDefault="00085B0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19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85B04" w:rsidRDefault="00085B04">
                            <w:pPr>
                              <w:pStyle w:val="Logo"/>
                            </w:pPr>
                            <w:r>
                              <w:object w:dxaOrig="840" w:dyaOrig="1545">
                                <v:shape id="_x0000_i1025" type="#_x0000_t75" style="width:41.55pt;height:77.15pt" fillcolor="window">
                                  <v:imagedata r:id="rId7" o:title=""/>
                                </v:shape>
                                <o:OLEObject Type="Embed" ProgID="Word.Picture.8" ShapeID="_x0000_i1025" DrawAspect="Content" ObjectID="_1827335192" r:id="rId9"/>
                              </w:object>
                            </w:r>
                          </w:p>
                        </w:txbxContent>
                      </v:textbox>
                      <w10:wrap anchorx="page" anchory="page"/>
                    </v:shape>
                  </w:pict>
                </mc:Fallback>
              </mc:AlternateContent>
            </w:r>
          </w:p>
          <w:p w:rsidR="00085B04" w:rsidRDefault="00085B04">
            <w:pPr>
              <w:pStyle w:val="HuvudRubrikRad2"/>
            </w:pPr>
            <w:bookmarkStart w:id="15" w:name="BetänkandeNr"/>
            <w:bookmarkEnd w:id="15"/>
            <w:r>
              <w:t>1998/99:JuU16</w:t>
            </w:r>
          </w:p>
          <w:p w:rsidR="00085B04" w:rsidRDefault="00085B04">
            <w:pPr>
              <w:pStyle w:val="BetnkandeRubrik"/>
            </w:pPr>
            <w:bookmarkStart w:id="16" w:name="Huvudrubrik"/>
            <w:bookmarkEnd w:id="16"/>
            <w:r>
              <w:t>EU-bedrägerier och korruption</w:t>
            </w:r>
          </w:p>
        </w:tc>
        <w:tc>
          <w:tcPr>
            <w:tcW w:w="1559" w:type="dxa"/>
            <w:tcBorders>
              <w:bottom w:val="nil"/>
            </w:tcBorders>
          </w:tcPr>
          <w:p w:rsidR="00085B04" w:rsidRDefault="00085B0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85B04" w:rsidRDefault="00085B04">
            <w:pPr>
              <w:spacing w:before="40" w:after="900" w:line="280" w:lineRule="exact"/>
              <w:jc w:val="left"/>
              <w:rPr>
                <w:sz w:val="28"/>
              </w:rPr>
            </w:pPr>
          </w:p>
        </w:tc>
        <w:tc>
          <w:tcPr>
            <w:tcW w:w="1559" w:type="dxa"/>
          </w:tcPr>
          <w:p w:rsidR="00085B04" w:rsidRDefault="00085B0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85B04" w:rsidRDefault="00085B04">
            <w:pPr>
              <w:spacing w:before="40" w:after="900" w:line="280" w:lineRule="exact"/>
              <w:jc w:val="left"/>
              <w:rPr>
                <w:sz w:val="28"/>
              </w:rPr>
            </w:pPr>
          </w:p>
        </w:tc>
        <w:tc>
          <w:tcPr>
            <w:tcW w:w="1559" w:type="dxa"/>
            <w:tcBorders>
              <w:bottom w:val="single" w:sz="6" w:space="0" w:color="auto"/>
            </w:tcBorders>
          </w:tcPr>
          <w:p w:rsidR="00085B04" w:rsidRDefault="00085B04">
            <w:pPr>
              <w:pStyle w:val="rtal"/>
            </w:pPr>
            <w:r>
              <w:t>JuU16</w:t>
            </w:r>
          </w:p>
        </w:tc>
      </w:tr>
      <w:tr w:rsidR="00000000">
        <w:tblPrEx>
          <w:tblCellMar>
            <w:top w:w="0" w:type="dxa"/>
            <w:bottom w:w="0" w:type="dxa"/>
          </w:tblCellMar>
        </w:tblPrEx>
        <w:trPr>
          <w:cantSplit/>
          <w:trHeight w:hRule="exact" w:val="660"/>
        </w:trPr>
        <w:tc>
          <w:tcPr>
            <w:tcW w:w="3012" w:type="dxa"/>
          </w:tcPr>
          <w:p w:rsidR="00085B04" w:rsidRDefault="00085B04">
            <w:pPr>
              <w:pStyle w:val="StatusSida1"/>
            </w:pPr>
          </w:p>
        </w:tc>
        <w:tc>
          <w:tcPr>
            <w:tcW w:w="3012" w:type="dxa"/>
          </w:tcPr>
          <w:p w:rsidR="00085B04" w:rsidRDefault="00085B04">
            <w:pPr>
              <w:pStyle w:val="UtskriftsdatumSida1"/>
              <w:rPr>
                <w:b/>
                <w:sz w:val="28"/>
              </w:rPr>
            </w:pPr>
          </w:p>
        </w:tc>
        <w:tc>
          <w:tcPr>
            <w:tcW w:w="1559" w:type="dxa"/>
          </w:tcPr>
          <w:p w:rsidR="00085B04" w:rsidRDefault="00085B04"/>
        </w:tc>
      </w:tr>
    </w:tbl>
    <w:p w:rsidR="00085B04" w:rsidRDefault="00085B04">
      <w:pPr>
        <w:pStyle w:val="Rubrik1"/>
        <w:spacing w:before="0"/>
      </w:pPr>
      <w:bookmarkStart w:id="17" w:name="_Toc446307411"/>
      <w:r>
        <w:t>Sammanfattning</w:t>
      </w:r>
      <w:bookmarkEnd w:id="17"/>
    </w:p>
    <w:p w:rsidR="00085B04" w:rsidRDefault="00085B04">
      <w:bookmarkStart w:id="18" w:name="Textstart"/>
      <w:bookmarkEnd w:id="18"/>
      <w:r>
        <w:t>I detta ärende behandlar utskottet ett regeringsförslag som avser godkänna</w:t>
      </w:r>
      <w:r>
        <w:t>n</w:t>
      </w:r>
      <w:r>
        <w:t>de av vissa internationella konventioner, protokoll och rekommendationer rö</w:t>
      </w:r>
      <w:r>
        <w:softHyphen/>
        <w:t>rande bedrägerier mot Europeiska gemenskapernas ekonomiska intressen och korruption. Regeringen föreslår också vissa lagändringar till följd av åtaga</w:t>
      </w:r>
      <w:r>
        <w:t>n</w:t>
      </w:r>
      <w:r>
        <w:t>dena i konventionerna och protokollen. Bl.a. föreslås att det i brottsbalken införs ett nytt brott, subventionsmissbruk. Den nya straffbestämmelsen inn</w:t>
      </w:r>
      <w:r>
        <w:t>e</w:t>
      </w:r>
      <w:r>
        <w:t>bär att det blir straffbart att använda ett bidrag från EU på ett sätt som avv</w:t>
      </w:r>
      <w:r>
        <w:t>i</w:t>
      </w:r>
      <w:r>
        <w:t xml:space="preserve">ker från det ändamål för vilket det beviljats. Vidare </w:t>
      </w:r>
      <w:r>
        <w:t xml:space="preserve">föreslås en utvidgning av mutansvaret till situationer där förmånen tillfaller någon annan än den vars tjänsteutövning kan påverkas av mutan. </w:t>
      </w:r>
    </w:p>
    <w:p w:rsidR="00085B04" w:rsidRDefault="00085B04">
      <w:pPr>
        <w:pStyle w:val="Normaltindrag"/>
      </w:pPr>
      <w:r>
        <w:t xml:space="preserve">Utskottet tillstyrker regeringens förslag och avstyrker en motion som väckts med anledning av propositionen. </w:t>
      </w:r>
    </w:p>
    <w:p w:rsidR="00085B04" w:rsidRDefault="00085B04">
      <w:pPr>
        <w:pStyle w:val="Normaltindrag"/>
      </w:pPr>
      <w:r>
        <w:t xml:space="preserve">Till betänkandet har fogats en reservation och två särskilda yttranden. </w:t>
      </w:r>
    </w:p>
    <w:p w:rsidR="00085B04" w:rsidRDefault="00085B04">
      <w:pPr>
        <w:pStyle w:val="Rubrik1"/>
      </w:pPr>
      <w:bookmarkStart w:id="19" w:name="_Toc446307412"/>
      <w:r>
        <w:t>Propositionen</w:t>
      </w:r>
      <w:bookmarkEnd w:id="19"/>
    </w:p>
    <w:p w:rsidR="00085B04" w:rsidRDefault="00085B04">
      <w:r>
        <w:t xml:space="preserve">I proposition 1998/99:32 (Justitiedepartementet) har regeringen föreslagit </w:t>
      </w:r>
    </w:p>
    <w:p w:rsidR="00085B04" w:rsidRDefault="00085B04">
      <w:pPr>
        <w:pStyle w:val="Normaltindrag"/>
      </w:pPr>
      <w:r>
        <w:t>1. att riksdagen godkänner konventionen om skydd av Europeiska geme</w:t>
      </w:r>
      <w:r>
        <w:t>n</w:t>
      </w:r>
      <w:r>
        <w:t xml:space="preserve">skapernas finansiella intressen med den förklaring beträffande artikel 7 i konventionen som regeringen förordat, </w:t>
      </w:r>
    </w:p>
    <w:p w:rsidR="00085B04" w:rsidRDefault="00085B04">
      <w:pPr>
        <w:pStyle w:val="Normaltindrag"/>
      </w:pPr>
      <w:r>
        <w:t>2. att riksdagen godkänner protokollet till konventionen om skydd av E</w:t>
      </w:r>
      <w:r>
        <w:t>u</w:t>
      </w:r>
      <w:r>
        <w:t>ropeiska gemenskapernas finansiella intressen med den förklaring beträffa</w:t>
      </w:r>
      <w:r>
        <w:t>n</w:t>
      </w:r>
      <w:r>
        <w:t xml:space="preserve">de artikel 6 i protokollet som regeringen förordat, </w:t>
      </w:r>
    </w:p>
    <w:p w:rsidR="00085B04" w:rsidRDefault="00085B04">
      <w:pPr>
        <w:pStyle w:val="Normaltindrag"/>
      </w:pPr>
      <w:r>
        <w:t>3. att riksdagen godkänner protokollet om förhandsavgörande av Europ</w:t>
      </w:r>
      <w:r>
        <w:t>e</w:t>
      </w:r>
      <w:r>
        <w:t>iska gemenskapernas domstol angående tolkningen av konventionen om skydd av Europeiska gemenskapernas finansiella intressen med den förkl</w:t>
      </w:r>
      <w:r>
        <w:t>a</w:t>
      </w:r>
      <w:r>
        <w:t xml:space="preserve">ring beträffande artikel 2 i protokollet som regeringen förordat, </w:t>
      </w:r>
    </w:p>
    <w:p w:rsidR="00085B04" w:rsidRDefault="00085B04">
      <w:pPr>
        <w:pStyle w:val="Normaltindrag"/>
      </w:pPr>
      <w:r>
        <w:t>4. att riksdagen godkänner konventionen om kamp mot korruption som tjänstemän i Europeiska gemenskaperna eller Europeiska unionens medlem</w:t>
      </w:r>
      <w:r>
        <w:t>s</w:t>
      </w:r>
      <w:r>
        <w:t xml:space="preserve">stater är delaktiga i, med de förklaringar beträffande artiklarna 7, 10, 12 och 13 i konventionen som regeringen förordat, </w:t>
      </w:r>
    </w:p>
    <w:p w:rsidR="00085B04" w:rsidRDefault="00085B04">
      <w:pPr>
        <w:pStyle w:val="Normaltindrag"/>
      </w:pPr>
      <w:r>
        <w:t>5. att riksdagen godkänner OECD-konventionen om bekämpande av b</w:t>
      </w:r>
      <w:r>
        <w:t>e</w:t>
      </w:r>
      <w:r>
        <w:t>stickning av utländska offentliga tjänstemän i internationella affärsförbinde</w:t>
      </w:r>
      <w:r>
        <w:t>l</w:t>
      </w:r>
      <w:r>
        <w:t xml:space="preserve">ser med den förklaring beträffande artikel 15 i konventionen som regeringen förordat, </w:t>
      </w:r>
    </w:p>
    <w:p w:rsidR="00085B04" w:rsidRDefault="00085B04">
      <w:pPr>
        <w:pStyle w:val="Normaltindrag"/>
      </w:pPr>
      <w:r>
        <w:lastRenderedPageBreak/>
        <w:t xml:space="preserve">6. att riksdagen antar regeringens förslag till lag om ändring i brottsbalken, </w:t>
      </w:r>
    </w:p>
    <w:p w:rsidR="00085B04" w:rsidRDefault="00085B04">
      <w:pPr>
        <w:pStyle w:val="Normaltindrag"/>
      </w:pPr>
      <w:r>
        <w:t>7. att riksdagen antar regeringens förslag till lag om ändring i kommuna</w:t>
      </w:r>
      <w:r>
        <w:t>l</w:t>
      </w:r>
      <w:r>
        <w:t xml:space="preserve">skattelagen (1928:370). </w:t>
      </w:r>
    </w:p>
    <w:p w:rsidR="00085B04" w:rsidRDefault="00085B04">
      <w:pPr>
        <w:pStyle w:val="Normaltindrag"/>
      </w:pPr>
      <w:r>
        <w:t xml:space="preserve">Lagförslagen, som granskats av Lagrådet, har jämte konventionstexterna och protokollen fogats till betänkandet, se bilagorna 1–6. </w:t>
      </w:r>
    </w:p>
    <w:p w:rsidR="00085B04" w:rsidRDefault="00085B04">
      <w:pPr>
        <w:pStyle w:val="Rubrik1"/>
      </w:pPr>
      <w:bookmarkStart w:id="20" w:name="_Toc446307413"/>
      <w:r>
        <w:t>Motionen</w:t>
      </w:r>
      <w:bookmarkEnd w:id="20"/>
    </w:p>
    <w:p w:rsidR="00085B04" w:rsidRDefault="00085B04">
      <w:r>
        <w:t xml:space="preserve">1998/99:Ju14 av Gunnel Wallin m.fl. (c) vari yrkas att riksdagen som sin mening ger regeringen till känna vad i motionen anförts om enklare regler. </w:t>
      </w:r>
    </w:p>
    <w:p w:rsidR="00085B04" w:rsidRDefault="00085B04">
      <w:pPr>
        <w:pStyle w:val="Rubrik1"/>
      </w:pPr>
      <w:bookmarkStart w:id="21" w:name="_Toc446307414"/>
      <w:r>
        <w:t>Utskottet</w:t>
      </w:r>
      <w:bookmarkEnd w:id="21"/>
    </w:p>
    <w:p w:rsidR="00085B04" w:rsidRDefault="00085B04">
      <w:pPr>
        <w:pStyle w:val="Rubrik2"/>
        <w:spacing w:before="123"/>
      </w:pPr>
      <w:bookmarkStart w:id="22" w:name="_Toc446307415"/>
      <w:r>
        <w:t>Ärendet</w:t>
      </w:r>
      <w:bookmarkEnd w:id="22"/>
    </w:p>
    <w:p w:rsidR="00085B04" w:rsidRDefault="00085B04">
      <w:r>
        <w:t xml:space="preserve">I detta ärende behandlar utskottet ett regeringsförslag om att godkänna ett antal internationella instrument som syftar till att motverka bedrägerier som riktar sig mot EG:s finansiella intressen och mot korruption. </w:t>
      </w:r>
    </w:p>
    <w:p w:rsidR="00085B04" w:rsidRDefault="00085B04">
      <w:pPr>
        <w:pStyle w:val="Normaltindrag"/>
      </w:pPr>
      <w:r>
        <w:t>Förslagen grundar sig på två departementspromemorior. I den ena – Sver</w:t>
      </w:r>
      <w:r>
        <w:t>i</w:t>
      </w:r>
      <w:r>
        <w:t>ges tillträde till bedrägerikonventionen (Ds 1998:1) – behandlas en konve</w:t>
      </w:r>
      <w:r>
        <w:t>n</w:t>
      </w:r>
      <w:r>
        <w:t>tion om skydd av EG:s finansiella intressen samt behovet av lagändringar.</w:t>
      </w:r>
    </w:p>
    <w:p w:rsidR="00085B04" w:rsidRDefault="00085B04">
      <w:pPr>
        <w:pStyle w:val="Normaltindrag"/>
      </w:pPr>
      <w:r>
        <w:t xml:space="preserve">I den andra promemorian, benämnd Korruption – svenskt tillträde till vissa internationella konventioner m.m. (Ds 1998:29), behandlas dels två protokoll med anknytning till den nyss nämnda konventionen, dels två konventioner mot korruption, dels en OECD-rekommendation om skattebehandling av mutor, dels behovet av lagändringar. </w:t>
      </w:r>
    </w:p>
    <w:p w:rsidR="00085B04" w:rsidRDefault="00085B04">
      <w:pPr>
        <w:pStyle w:val="Normaltindrag"/>
      </w:pPr>
      <w:r>
        <w:t xml:space="preserve">Promemoriorna har remissbehandlats. </w:t>
      </w:r>
    </w:p>
    <w:p w:rsidR="00085B04" w:rsidRDefault="00085B04">
      <w:pPr>
        <w:pStyle w:val="Normaltindrag"/>
      </w:pPr>
      <w:r>
        <w:t xml:space="preserve">Regeringen har inhämtat yttrande från Lagrådet över de lagförslag som läggs fram i ärendet. Regeringen har anslutit sig till Lagrådets bedömningar. </w:t>
      </w:r>
    </w:p>
    <w:p w:rsidR="00085B04" w:rsidRDefault="00085B04">
      <w:pPr>
        <w:pStyle w:val="Rubrik2"/>
      </w:pPr>
      <w:bookmarkStart w:id="23" w:name="_Toc446307416"/>
      <w:r>
        <w:t>Propositionens huvudsakliga innehåll</w:t>
      </w:r>
      <w:bookmarkEnd w:id="23"/>
    </w:p>
    <w:p w:rsidR="00085B04" w:rsidRDefault="00085B04">
      <w:r>
        <w:t>I propositionen behandlas frågan om Sveriges tillträde till och efterlevnad av vissa internationella konventioner, protokoll och rekommendationer rörande bedrägerier mot Europeiska gemenskapernas (EG) finansiella intressen och korruption. De internationella instrument som avses är</w:t>
      </w:r>
    </w:p>
    <w:p w:rsidR="00085B04" w:rsidRDefault="00085B04">
      <w:pPr>
        <w:pStyle w:val="Normaltindrag"/>
        <w:numPr>
          <w:ilvl w:val="0"/>
          <w:numId w:val="2"/>
        </w:numPr>
        <w:tabs>
          <w:tab w:val="clear" w:pos="360"/>
          <w:tab w:val="num" w:pos="530"/>
        </w:tabs>
        <w:ind w:left="530"/>
      </w:pPr>
      <w:r>
        <w:t>konventionen om skydd av EG:s finansiella intressen,</w:t>
      </w:r>
    </w:p>
    <w:p w:rsidR="00085B04" w:rsidRDefault="00085B04">
      <w:pPr>
        <w:pStyle w:val="Normaltindrag"/>
        <w:numPr>
          <w:ilvl w:val="0"/>
          <w:numId w:val="2"/>
        </w:numPr>
        <w:tabs>
          <w:tab w:val="clear" w:pos="360"/>
          <w:tab w:val="num" w:pos="530"/>
        </w:tabs>
        <w:ind w:left="530"/>
      </w:pPr>
      <w:r>
        <w:t>det första protokollet, som rör korruption,</w:t>
      </w:r>
    </w:p>
    <w:p w:rsidR="00085B04" w:rsidRDefault="00085B04">
      <w:pPr>
        <w:pStyle w:val="Normaltindrag"/>
        <w:numPr>
          <w:ilvl w:val="0"/>
          <w:numId w:val="2"/>
        </w:numPr>
        <w:tabs>
          <w:tab w:val="clear" w:pos="360"/>
          <w:tab w:val="num" w:pos="530"/>
        </w:tabs>
        <w:ind w:left="530"/>
      </w:pPr>
      <w:r>
        <w:t>det s.k. domstolsprotokollet, som behandlar EG-domstolens roll vid tolkning av konventionen och det första protokollet,</w:t>
      </w:r>
    </w:p>
    <w:p w:rsidR="00085B04" w:rsidRDefault="00085B04">
      <w:pPr>
        <w:pStyle w:val="Normaltindrag"/>
        <w:numPr>
          <w:ilvl w:val="0"/>
          <w:numId w:val="2"/>
        </w:numPr>
        <w:tabs>
          <w:tab w:val="clear" w:pos="360"/>
          <w:tab w:val="num" w:pos="530"/>
        </w:tabs>
        <w:ind w:left="530"/>
      </w:pPr>
      <w:r>
        <w:t>den inom Europeiska unionen (EU) utarbetade konventionen om ko</w:t>
      </w:r>
      <w:r>
        <w:t>r</w:t>
      </w:r>
      <w:r>
        <w:t>ruption,</w:t>
      </w:r>
    </w:p>
    <w:p w:rsidR="00085B04" w:rsidRDefault="00085B04">
      <w:pPr>
        <w:pStyle w:val="Normaltindrag"/>
        <w:numPr>
          <w:ilvl w:val="0"/>
          <w:numId w:val="2"/>
        </w:numPr>
        <w:tabs>
          <w:tab w:val="clear" w:pos="360"/>
          <w:tab w:val="num" w:pos="530"/>
        </w:tabs>
        <w:ind w:left="530"/>
      </w:pPr>
      <w:r>
        <w:t>den inom den ekonomiska samarbets- och utvecklingsorganisationen OECD utarbetade konventionen om bestickning i internationella a</w:t>
      </w:r>
      <w:r>
        <w:t>f</w:t>
      </w:r>
      <w:r>
        <w:t>färsförhållanden,</w:t>
      </w:r>
    </w:p>
    <w:p w:rsidR="00085B04" w:rsidRDefault="00085B04">
      <w:pPr>
        <w:pStyle w:val="Normaltindrag"/>
        <w:numPr>
          <w:ilvl w:val="0"/>
          <w:numId w:val="2"/>
        </w:numPr>
        <w:tabs>
          <w:tab w:val="clear" w:pos="360"/>
          <w:tab w:val="num" w:pos="530"/>
        </w:tabs>
        <w:ind w:left="530"/>
      </w:pPr>
      <w:r>
        <w:t>den inom OECD utarbetade rekommendationen om skattebehandling av mutor.</w:t>
      </w:r>
    </w:p>
    <w:p w:rsidR="00085B04" w:rsidRDefault="00085B04">
      <w:r>
        <w:t>I propositionen föreslås att riksdagen godkänner konventionerna och prot</w:t>
      </w:r>
      <w:r>
        <w:t>o</w:t>
      </w:r>
      <w:r>
        <w:t>kollen. Vidare innehåller den förslag till ändringar i brottsbalken till följd av dessa åtaganden. Det föreslås att det i brottsbalken införs ett nytt brott, su</w:t>
      </w:r>
      <w:r>
        <w:t>b</w:t>
      </w:r>
      <w:r>
        <w:t>ventionsmissbruk. Denna straffbeläggning innebär att användning av ett EU-bidrag på ett sätt som avviker från det ändamål för vilket det beviljats straf</w:t>
      </w:r>
      <w:r>
        <w:t>f</w:t>
      </w:r>
      <w:r>
        <w:t>beläggs. Vidare föreslås bl.a. att bestickning av utländska ministrar och par</w:t>
      </w:r>
      <w:r>
        <w:softHyphen/>
        <w:t>lamentsledamöter, liksom utövare av offentliga funktioner, straffbeläggs. Det föreslås också en utvidgning av mutansvar</w:t>
      </w:r>
      <w:r>
        <w:t>et till situationer där förmånen till</w:t>
      </w:r>
      <w:r>
        <w:softHyphen/>
        <w:t>faller någon annan än den vars tjänsteutövning kan påverkas av mutan, samt justeringar i reglerna om utländsk brottmålsdoms hinderverkan.</w:t>
      </w:r>
    </w:p>
    <w:p w:rsidR="00085B04" w:rsidRDefault="00085B04">
      <w:pPr>
        <w:pStyle w:val="Normaltindrag"/>
      </w:pPr>
      <w:r>
        <w:t>Vissa rent nationellt betingade lagstiftningsfrågor tas också upp. Det rör sig om en teknisk justering av den personkrets som kan göra sig skyldig till mutbrott, föranledd av lagstiftningen om totalförsvaret, samt en utvidgning av samma personkrets till att omfatta personer med vetenskapligt uppdrag.</w:t>
      </w:r>
    </w:p>
    <w:p w:rsidR="00085B04" w:rsidRDefault="00085B04">
      <w:pPr>
        <w:pStyle w:val="Normaltindrag"/>
      </w:pPr>
      <w:r>
        <w:t>Slutligen föreslås att det införs ett uttryckligt avdragsförbud för mutor och andra otillbörliga belöningar.</w:t>
      </w:r>
    </w:p>
    <w:p w:rsidR="00085B04" w:rsidRDefault="00085B04">
      <w:pPr>
        <w:pStyle w:val="Normaltindrag"/>
      </w:pPr>
      <w:r>
        <w:t>Lagändringarna föreslås träda i kraft den 1 juli 1999.</w:t>
      </w:r>
    </w:p>
    <w:p w:rsidR="00085B04" w:rsidRDefault="00085B04">
      <w:pPr>
        <w:pStyle w:val="Rubrik2"/>
      </w:pPr>
      <w:bookmarkStart w:id="24" w:name="_Toc446307417"/>
      <w:r>
        <w:t>Närmare om regeringens förslag</w:t>
      </w:r>
      <w:bookmarkEnd w:id="24"/>
    </w:p>
    <w:p w:rsidR="00085B04" w:rsidRDefault="00085B04">
      <w:pPr>
        <w:pStyle w:val="Rubrik3"/>
        <w:spacing w:before="123"/>
      </w:pPr>
      <w:bookmarkStart w:id="25" w:name="_Toc446307418"/>
      <w:r>
        <w:t>Bedrägerikonventionen</w:t>
      </w:r>
      <w:bookmarkEnd w:id="25"/>
    </w:p>
    <w:p w:rsidR="00085B04" w:rsidRDefault="00085B04">
      <w:pPr>
        <w:pStyle w:val="Rubrik4"/>
        <w:spacing w:before="123"/>
      </w:pPr>
      <w:bookmarkStart w:id="26" w:name="_Toc446307419"/>
      <w:r>
        <w:t>Bakgrund och innehåll</w:t>
      </w:r>
      <w:bookmarkEnd w:id="26"/>
    </w:p>
    <w:p w:rsidR="00085B04" w:rsidRDefault="00085B04">
      <w:r>
        <w:t>EU-kommissionen avger varje år en rapport om åtgärder som vidtagits för att skydda gemenskapernas finansiella intressen. I 1997 års rapport anges att upptäckta bedrägerier och andra oegentligheter avseende budgetarnas utgift</w:t>
      </w:r>
      <w:r>
        <w:t>s</w:t>
      </w:r>
      <w:r>
        <w:t>sida (bl.a. bidrag till jordbruket) uppgick till 395 miljoner ecu, dvs. drygt 3,3 miljarder kronor. På inkomstsidan (bl.a. avgifter från handeln med tredje land) uppgick motsvarande belopp  till en miljard ecu, dvs. omkring 8,5 miljarder kronor. Som jämförelse kan nämnas att gemenskapernas bu</w:t>
      </w:r>
      <w:r>
        <w:t>d</w:t>
      </w:r>
      <w:r>
        <w:t>getar för år 1997 uppgick till över 82 miljarder ecu, vilket motsvarar omkring 700 miljarder kronor. De rapporterade bedrägerierna och oegentligheterna up</w:t>
      </w:r>
      <w:r>
        <w:t>p</w:t>
      </w:r>
      <w:r>
        <w:t xml:space="preserve">gick således till omkring 1,7 % av budgeten. </w:t>
      </w:r>
    </w:p>
    <w:p w:rsidR="00085B04" w:rsidRDefault="00085B04">
      <w:pPr>
        <w:pStyle w:val="Normaltindrag"/>
      </w:pPr>
      <w:r>
        <w:t>Inom ramen för E</w:t>
      </w:r>
      <w:r>
        <w:t>U:s inrikes och rättsliga samarbete (tredje pelaren) har utarbetats en konvention om skydd för Europeiska gemenskapernas finans</w:t>
      </w:r>
      <w:r>
        <w:t>i</w:t>
      </w:r>
      <w:r>
        <w:t>ella intressen, den s.k. bedrägerikonventionen. Konventionen syftar till att säkerställa en bättre överensstämmelse mellan medlemsstaternas bestämme</w:t>
      </w:r>
      <w:r>
        <w:t>l</w:t>
      </w:r>
      <w:r>
        <w:t>ser genom att fastställa straffrättsliga miniminormer. Konventionen skall också leda till att det straffrättsliga samarbetet mellan medlemsstaterna fö</w:t>
      </w:r>
      <w:r>
        <w:t>r</w:t>
      </w:r>
      <w:r>
        <w:t xml:space="preserve">stärks. </w:t>
      </w:r>
    </w:p>
    <w:p w:rsidR="00085B04" w:rsidRDefault="00085B04">
      <w:pPr>
        <w:pStyle w:val="Normaltindrag"/>
      </w:pPr>
      <w:r>
        <w:t>Bedrägerikonventionen innehåller till att börja med regler om vad som skall</w:t>
      </w:r>
      <w:r>
        <w:t xml:space="preserve"> vara straffbart (artikel 1). När det gäller bedrägerier mot budgetarnas </w:t>
      </w:r>
      <w:r>
        <w:rPr>
          <w:i/>
        </w:rPr>
        <w:t>utgiftssida</w:t>
      </w:r>
      <w:r>
        <w:t xml:space="preserve"> ankommer det på medlemsstaterna att kriminalisera gärningar som innefattar bl.a. användande av falska, felaktiga eller ofullständiga up</w:t>
      </w:r>
      <w:r>
        <w:t>p</w:t>
      </w:r>
      <w:r>
        <w:t>gifter eller dokument eller undanhållande av information som skall lämnas i enlighet med särskilda bestämmelser. För ansvar krävs att EG-medel otil</w:t>
      </w:r>
      <w:r>
        <w:t>l</w:t>
      </w:r>
      <w:r>
        <w:t>börligen uppbärs eller innehålls. Vidare ankommer det på medlemsstaterna att kriminalisera användande av gemenskapsmedel för andra syften än de</w:t>
      </w:r>
      <w:r>
        <w:t xml:space="preserve">m som medlen ursprungligen har beviljats för. </w:t>
      </w:r>
    </w:p>
    <w:p w:rsidR="00085B04" w:rsidRDefault="00085B04">
      <w:pPr>
        <w:pStyle w:val="Normaltindrag"/>
      </w:pPr>
      <w:r>
        <w:t xml:space="preserve">När det gäller bedrägerier mot budgetarnas </w:t>
      </w:r>
      <w:r>
        <w:rPr>
          <w:i/>
        </w:rPr>
        <w:t>inkomstsida</w:t>
      </w:r>
      <w:r>
        <w:t xml:space="preserve"> är de förfaranden som skall vara straffbara i stort sett desamma som när det gäller bedrägerier mot budgetarnas utgiftssida. Skillnaden ligger i att de gemensamma medlen skall ha minskats på ett olagligt sätt. </w:t>
      </w:r>
    </w:p>
    <w:p w:rsidR="00085B04" w:rsidRDefault="00085B04">
      <w:pPr>
        <w:pStyle w:val="Normaltindrag"/>
      </w:pPr>
      <w:r>
        <w:t>Konventionen kräver endast att uppsåtliga gärningar kriminaliseras. I ko</w:t>
      </w:r>
      <w:r>
        <w:t>n</w:t>
      </w:r>
      <w:r>
        <w:t>ventionen finns därutöver regler bl.a. om vilka påföljder som skall kunna komma i fråga (artikel 2), om jurisdiktion, dvs. i vilken utsträckning länderna skall åta sig ansvar för att döma för brott som avses i konventionen (art</w:t>
      </w:r>
      <w:r>
        <w:t>i</w:t>
      </w:r>
      <w:r>
        <w:t xml:space="preserve">kel 4), och om hinderverkan av utländska brottmålsdomar, </w:t>
      </w:r>
      <w:r>
        <w:rPr>
          <w:i/>
        </w:rPr>
        <w:t>ne bis in idem</w:t>
      </w:r>
      <w:r>
        <w:t xml:space="preserve"> (inte två gånger för samma sak), (artikel 7).</w:t>
      </w:r>
    </w:p>
    <w:p w:rsidR="00085B04" w:rsidRDefault="00085B04">
      <w:pPr>
        <w:pStyle w:val="Rubrik4"/>
      </w:pPr>
      <w:bookmarkStart w:id="27" w:name="_Toc446307420"/>
      <w:r>
        <w:t>Regeringens förslag</w:t>
      </w:r>
      <w:bookmarkEnd w:id="27"/>
      <w:r>
        <w:t xml:space="preserve"> </w:t>
      </w:r>
    </w:p>
    <w:p w:rsidR="00085B04" w:rsidRDefault="00085B04">
      <w:r>
        <w:t>Regeringen föreslår att riksdagen godkänner bedrägerikonventionen. Vidare föreslås att riksdagen godkänner att Sverige avger en förklaring om att i Sverige kunna lagföra den som har dömts för samma gärning i en annan EU-stat om gärningen helt eller delvis begåtts inom svenskt territorium eller om gärningen riktats mot Sveriges säkerhet eller andra för Sverige lika viktiga intressen. Förklaringen bör enligt regeringen omfatta även de gärningar som avses i det nedan beskrivna korruptionsprotokollet. I denna</w:t>
      </w:r>
      <w:r>
        <w:t xml:space="preserve"> del innebär reg</w:t>
      </w:r>
      <w:r>
        <w:t>e</w:t>
      </w:r>
      <w:r>
        <w:t>ringens förslag att Sverige utnyttjar en möjlighet till undantag (artikel 7.2) från huvudregeln i konventionen. Detta undantag medför att Sverige kan behålla sin jurisdi</w:t>
      </w:r>
      <w:r>
        <w:t>k</w:t>
      </w:r>
      <w:r>
        <w:t xml:space="preserve">tion i de angivna fallen. </w:t>
      </w:r>
    </w:p>
    <w:p w:rsidR="00085B04" w:rsidRDefault="00085B04">
      <w:pPr>
        <w:pStyle w:val="Normaltindrag"/>
      </w:pPr>
      <w:r>
        <w:t>Vad härefter gäller behovet av lagändringar anför regeringen att de gä</w:t>
      </w:r>
      <w:r>
        <w:t>r</w:t>
      </w:r>
      <w:r>
        <w:t xml:space="preserve">ningar som skall kriminaliseras – oavsett om de avser budgetarnas inkomst- eller utgiftssida – i huvudsak redan torde vara straffbelagda i den svenska straffrätten. Vissa lagändringar behövs dock. Sålunda föreslås att det i 9 kap. brottsbalken skall införas en ny straffbestämmelse – subventionsmissbruk. För att straffrättsligt ansvar enligt den bestämmelsen skall kunna utkrävas förutsätts att ett bidrag eller en förmån beviljats enligt gällande regelverk, att bidraget eller förmånen finansieras över eller </w:t>
      </w:r>
      <w:r>
        <w:t>påverkar EG:s budgetar och att bidraget eller förmånen används eller utnyttjas för ett annat ändamål än det som bidraget eller förmånen beviljats för. Straffrättsligt ansvar skall bara kunna utkrävas för uppsåtliga gärningar. Påföljden skall vara böter eller fängelse i högst två år. För ringa fall skall ansvar inte utkrävas. Vidare för</w:t>
      </w:r>
      <w:r>
        <w:t>e</w:t>
      </w:r>
      <w:r>
        <w:t>slås vissa justeringar i reglerna om hinderverkan av utländska brottmålsd</w:t>
      </w:r>
      <w:r>
        <w:t>o</w:t>
      </w:r>
      <w:r>
        <w:t>mar. De sistnämnda ändringarna innebär inskränkningar av svensk jurisdi</w:t>
      </w:r>
      <w:r>
        <w:t>k</w:t>
      </w:r>
      <w:r>
        <w:t xml:space="preserve">tion. </w:t>
      </w:r>
    </w:p>
    <w:p w:rsidR="00085B04" w:rsidRDefault="00085B04">
      <w:pPr>
        <w:pStyle w:val="Rubrik3"/>
      </w:pPr>
      <w:bookmarkStart w:id="28" w:name="_Toc446307421"/>
      <w:r>
        <w:t>Korruption</w:t>
      </w:r>
      <w:bookmarkEnd w:id="28"/>
    </w:p>
    <w:p w:rsidR="00085B04" w:rsidRDefault="00085B04">
      <w:pPr>
        <w:pStyle w:val="Rubrik4"/>
        <w:spacing w:before="123"/>
      </w:pPr>
      <w:bookmarkStart w:id="29" w:name="_Toc446307422"/>
      <w:r>
        <w:t>Inledning</w:t>
      </w:r>
      <w:bookmarkEnd w:id="29"/>
    </w:p>
    <w:p w:rsidR="00085B04" w:rsidRDefault="00085B04">
      <w:r>
        <w:t>I en rad internationella organisationer pågår arbete för att motverka korru</w:t>
      </w:r>
      <w:r>
        <w:t>p</w:t>
      </w:r>
      <w:r>
        <w:t xml:space="preserve">tion i form av muta och bestickning. Det anses allmänt att korruptionens skadeverkningar är stora, både nationellt och på ett internationellt plan. </w:t>
      </w:r>
    </w:p>
    <w:p w:rsidR="00085B04" w:rsidRDefault="00085B04">
      <w:pPr>
        <w:pStyle w:val="Normaltindrag"/>
      </w:pPr>
      <w:r>
        <w:t xml:space="preserve">Tyngdpunkten i det internationella arbetet mot korruption kan sägas ligga på utarbetande av åtaganden att straffbelägga olika korruptiva förfaranden. </w:t>
      </w:r>
    </w:p>
    <w:p w:rsidR="00085B04" w:rsidRDefault="00085B04">
      <w:pPr>
        <w:pStyle w:val="Normaltindrag"/>
      </w:pPr>
      <w:r>
        <w:t>I denna del behandlas tre internationella instrument, nämligen ett protokoll till den ovan nämnda bedrägerikonventionen med bestämmelser om korru</w:t>
      </w:r>
      <w:r>
        <w:t>p</w:t>
      </w:r>
      <w:r>
        <w:t>tion (korruptionsprotokollet), en fristående konvention om korruption (ko</w:t>
      </w:r>
      <w:r>
        <w:t>r</w:t>
      </w:r>
      <w:r>
        <w:t>ruptionskonventionen) samt en konvention upprättad inom OECD som syftar till att bekämpa korruption i internationella affärstransaktioner (OECD-kon</w:t>
      </w:r>
      <w:r>
        <w:softHyphen/>
        <w:t xml:space="preserve">ventionen). </w:t>
      </w:r>
    </w:p>
    <w:p w:rsidR="00085B04" w:rsidRDefault="00085B04">
      <w:pPr>
        <w:pStyle w:val="Rubrik4"/>
      </w:pPr>
      <w:bookmarkStart w:id="30" w:name="_Toc446307423"/>
      <w:r>
        <w:t>Korruptionsprotokollet</w:t>
      </w:r>
      <w:bookmarkEnd w:id="30"/>
    </w:p>
    <w:p w:rsidR="00085B04" w:rsidRDefault="00085B04">
      <w:r>
        <w:t>Syftet med protokollet är att bekämpa sådan korruption som skadar eller kan skada EG:s finansiella intressen. Protokollet innehåller åtaganden att straf</w:t>
      </w:r>
      <w:r>
        <w:t>f</w:t>
      </w:r>
      <w:r>
        <w:t>belägga mutbrott (artikel 2) och bestickning (artikel 3) av nationella offentl</w:t>
      </w:r>
      <w:r>
        <w:t>i</w:t>
      </w:r>
      <w:r>
        <w:t>ga tjänstemän och EG-tjänstemän, liksom även EG-kommissionärer och ledamöter av Europaparlamentet, EG-domstolen och Revisionsrätten. Bro</w:t>
      </w:r>
      <w:r>
        <w:t>t</w:t>
      </w:r>
      <w:r>
        <w:t>ten skall beläggas med proportionerliga och avskräckande påföljder (art</w:t>
      </w:r>
      <w:r>
        <w:t>i</w:t>
      </w:r>
      <w:r>
        <w:t>kel 5). Vidare finns bestämmelser om bl.a. jurisdiktion (artikel 6) och lösning av tvister om tolkning av protokollet (artikel 8). Här bör även nämnas att bedrägerikonventionens regler om bl.a. hinderverkan av utländska bro</w:t>
      </w:r>
      <w:r>
        <w:t>ttmål</w:t>
      </w:r>
      <w:r>
        <w:t>s</w:t>
      </w:r>
      <w:r>
        <w:t xml:space="preserve">domar gäller även på protokollets område (artikel 7). </w:t>
      </w:r>
    </w:p>
    <w:p w:rsidR="00085B04" w:rsidRDefault="00085B04">
      <w:pPr>
        <w:pStyle w:val="Rubrik4"/>
      </w:pPr>
      <w:bookmarkStart w:id="31" w:name="_Toc446307424"/>
      <w:r>
        <w:t>Korruptionskonventionen</w:t>
      </w:r>
      <w:bookmarkEnd w:id="31"/>
    </w:p>
    <w:p w:rsidR="00085B04" w:rsidRDefault="00085B04">
      <w:r>
        <w:t>Konventionens bestämmelser överensstämmer i stora delar med vad me</w:t>
      </w:r>
      <w:r>
        <w:t>d</w:t>
      </w:r>
      <w:r>
        <w:t>lemsstaterna redan åtagit sig i bedrägerikonventionen och i korruptionspr</w:t>
      </w:r>
      <w:r>
        <w:t>o</w:t>
      </w:r>
      <w:r>
        <w:t xml:space="preserve">tokollet. Korruptionskonventionen går emellertid ett steg längre på det sättet att det inte finns något krav på skada för EG:s finanser. </w:t>
      </w:r>
    </w:p>
    <w:p w:rsidR="00085B04" w:rsidRDefault="00085B04">
      <w:pPr>
        <w:pStyle w:val="Normaltindrag"/>
      </w:pPr>
      <w:r>
        <w:t>Konventionen innehåller regler om mutbrott (artikel 2) och bestickning (artikel 3) samt jurisdiktion (artikel 7) som överensstämmer med korru</w:t>
      </w:r>
      <w:r>
        <w:t>p</w:t>
      </w:r>
      <w:r>
        <w:t>tionsprotokollet. Vidare finns det bestämmelser om utländsk brottmålsdoms hinderverkan (artikel 10), som har sin huvudsakliga motsvarighet i bedräg</w:t>
      </w:r>
      <w:r>
        <w:t>e</w:t>
      </w:r>
      <w:r>
        <w:t>rikonventionen. Medlemsstaterna ges också möjlighet att låta de nationella domstolarna inhämta förhandsbesked om tolkningen av konventionen (art</w:t>
      </w:r>
      <w:r>
        <w:t>i</w:t>
      </w:r>
      <w:r>
        <w:t xml:space="preserve">kel 12). </w:t>
      </w:r>
    </w:p>
    <w:p w:rsidR="00085B04" w:rsidRDefault="00085B04">
      <w:pPr>
        <w:pStyle w:val="Rubrik4"/>
      </w:pPr>
      <w:bookmarkStart w:id="32" w:name="_Toc446307425"/>
      <w:r>
        <w:t>OECD-konventionen</w:t>
      </w:r>
      <w:bookmarkEnd w:id="32"/>
    </w:p>
    <w:p w:rsidR="00085B04" w:rsidRDefault="00085B04">
      <w:r>
        <w:t>Syftet med konventionen är att bekämpa korruption i internationella affär</w:t>
      </w:r>
      <w:r>
        <w:t>s</w:t>
      </w:r>
      <w:r>
        <w:t>relationer. Bekämpandet skall ske främst genom att ländernas lagstiftning närmar sig varandra. Konventionen innehåller åtaganden att straffbelägga be</w:t>
      </w:r>
      <w:r>
        <w:softHyphen/>
        <w:t>stickning av utländska offentliga tjänstemän i internationella affärstransa</w:t>
      </w:r>
      <w:r>
        <w:t>k</w:t>
      </w:r>
      <w:r>
        <w:t>tioner. I definitionen av offentlig tjänsteman ingår även t.ex. utländska m</w:t>
      </w:r>
      <w:r>
        <w:t>i</w:t>
      </w:r>
      <w:r>
        <w:t>nistrar och parlamentsledamöter. Vidare finns bestämmelser om bl.a. förve</w:t>
      </w:r>
      <w:r>
        <w:t>r</w:t>
      </w:r>
      <w:r>
        <w:t>kande (artikel 3.3), jurisdiktion (artikel 4) och bokföringsregler (artikel 8).</w:t>
      </w:r>
    </w:p>
    <w:p w:rsidR="00085B04" w:rsidRDefault="00085B04">
      <w:pPr>
        <w:pStyle w:val="Rubrik4"/>
      </w:pPr>
      <w:bookmarkStart w:id="33" w:name="_Toc446307426"/>
      <w:r>
        <w:t>Regeringens förslag</w:t>
      </w:r>
      <w:bookmarkEnd w:id="33"/>
    </w:p>
    <w:p w:rsidR="00085B04" w:rsidRDefault="00085B04">
      <w:r>
        <w:t>Regeringen föreslår att riksdagen godkänner korruptionsprotokollet, korru</w:t>
      </w:r>
      <w:r>
        <w:t>p</w:t>
      </w:r>
      <w:r>
        <w:t xml:space="preserve">tionskonventionen och OECD-konventionen. Vidare föreslår regeringen att riksdagen godkänner ett antal förklaringar med anledning av protokollet och konventionerna. Sålunda föreslås med anledning av </w:t>
      </w:r>
      <w:r>
        <w:rPr>
          <w:i/>
        </w:rPr>
        <w:t>korruptionsprotokollet</w:t>
      </w:r>
      <w:r>
        <w:t xml:space="preserve"> en förklaring dels att vi inte ämnar utöva domsrätt på den grunden att brottet begåtts gentemot en gemenskapstjänsteman eller vissa andra befattningsh</w:t>
      </w:r>
      <w:r>
        <w:t>a</w:t>
      </w:r>
      <w:r>
        <w:t>vare i EU-administrationen (artikel 6.1.c</w:t>
      </w:r>
      <w:r>
        <w:rPr>
          <w:sz w:val="21"/>
        </w:rPr>
        <w:t>)</w:t>
      </w:r>
      <w:r>
        <w:t>, dels att vi inte ämnar utöva dom</w:t>
      </w:r>
      <w:r>
        <w:t>s</w:t>
      </w:r>
      <w:r>
        <w:t>rätt på den grunden att gärningsmannen är gemenskapstjänsteman</w:t>
      </w:r>
      <w:r>
        <w:t xml:space="preserve"> vid en institution eller ett organ med säte i Sverige (artikel 6.1.d). Förklaringen tar i praktiken sikte på bestickningsbrott som begås utomlands av personer som inte är medborgare i någon medlemsstat och på fall där en överträdelse begås utanför medlemsstaterna av en gemenskapstjänsteman som inte är medborg</w:t>
      </w:r>
      <w:r>
        <w:t>a</w:t>
      </w:r>
      <w:r>
        <w:t xml:space="preserve">re i någon medlemsstat. Regeringen anser sammanfattningsvis att det inte behövs någon jurisdiktion i Sverige i dessa fall. </w:t>
      </w:r>
    </w:p>
    <w:p w:rsidR="00085B04" w:rsidRDefault="00085B04">
      <w:pPr>
        <w:pStyle w:val="Normaltindrag"/>
      </w:pPr>
      <w:r>
        <w:t xml:space="preserve">Som en följd av </w:t>
      </w:r>
      <w:r>
        <w:rPr>
          <w:i/>
        </w:rPr>
        <w:t>korruptionskonventionen</w:t>
      </w:r>
      <w:r>
        <w:t xml:space="preserve"> föreslår regeringen att riksdagen godkänner fyra förklaringar. </w:t>
      </w:r>
    </w:p>
    <w:p w:rsidR="00085B04" w:rsidRDefault="00085B04">
      <w:pPr>
        <w:pStyle w:val="Normaltindrag"/>
      </w:pPr>
      <w:r>
        <w:t xml:space="preserve">Den första förklaringen innebär att vi inte ämnar utöva domsrätt på den grunden att brottet begåtts gentemot en gemenskapstjänsteman eller vissa andra befattningshavare i EU-administrationen (artikel 7.1 c), eller på den grunden att gärningsmannen är gemenskapstjänsteman vid en institution eller ett organ med säte i Sverige (artikel 7.1 d). Denna förklaring motiveras av att det inte finns något praktiskt behov av svensk </w:t>
      </w:r>
      <w:r>
        <w:t xml:space="preserve">domsrätt i dessa fall. </w:t>
      </w:r>
    </w:p>
    <w:p w:rsidR="00085B04" w:rsidRDefault="00085B04">
      <w:pPr>
        <w:pStyle w:val="Normaltindrag"/>
      </w:pPr>
      <w:r>
        <w:t>Den andra förklaringen går ut på att vi här i landet skall kunna lagföra den som har dömts för samma gärning i en annan EU-stat om gärningen helt eller delvis har begåtts inom svenskt territorium (artikel 10.2 a) eller om gärnin</w:t>
      </w:r>
      <w:r>
        <w:t>g</w:t>
      </w:r>
      <w:r>
        <w:t xml:space="preserve">en riktats mot Sveriges säkerhet eller andra för Sverige lika viktiga intressen (artikel 10.2 b). Denna förklaring motiverar regeringen med att Sverige bör behålla sin domsrätt i dessa fall, något som annars inte vore möjligt. </w:t>
      </w:r>
    </w:p>
    <w:p w:rsidR="00085B04" w:rsidRDefault="00085B04">
      <w:pPr>
        <w:pStyle w:val="Normaltindrag"/>
      </w:pPr>
      <w:r>
        <w:t>Den tredje förklaringen innebär att svenska domstolar ges möjlighet att i</w:t>
      </w:r>
      <w:r>
        <w:t>n</w:t>
      </w:r>
      <w:r>
        <w:t>hämta förhandsavgöranden från EG-domstolen om tolkningen av konventi</w:t>
      </w:r>
      <w:r>
        <w:t>o</w:t>
      </w:r>
      <w:r>
        <w:t xml:space="preserve">nen (artikel 12.3). Denna möjlighet skall inte begränsas till domstolar i sista instans. </w:t>
      </w:r>
    </w:p>
    <w:p w:rsidR="00085B04" w:rsidRDefault="00085B04">
      <w:pPr>
        <w:pStyle w:val="Normaltindrag"/>
      </w:pPr>
      <w:r>
        <w:t>Slutligen föreslås att riksdagen godkänner att Sverige avger en förklaring om sin avsikt att – gentemot de EU-medlemsstater som avgivit en motsv</w:t>
      </w:r>
      <w:r>
        <w:t>a</w:t>
      </w:r>
      <w:r>
        <w:t>rande förklaring – tillämpa EU:s korruptionskonvention innan den trätt i kraft (artikel 13.4). Annars gäller enligt konventionen att den träder i kraft 90 dagar efter det att den sista medlemsstaten deponerat sitt ratifikationsi</w:t>
      </w:r>
      <w:r>
        <w:t>n</w:t>
      </w:r>
      <w:r>
        <w:t xml:space="preserve">strument. </w:t>
      </w:r>
    </w:p>
    <w:p w:rsidR="00085B04" w:rsidRDefault="00085B04">
      <w:pPr>
        <w:pStyle w:val="Normaltindrag"/>
      </w:pPr>
      <w:r>
        <w:t xml:space="preserve">Som en följd av </w:t>
      </w:r>
      <w:r>
        <w:rPr>
          <w:i/>
        </w:rPr>
        <w:t>OECD</w:t>
      </w:r>
      <w:r>
        <w:t>-</w:t>
      </w:r>
      <w:r>
        <w:rPr>
          <w:i/>
        </w:rPr>
        <w:t>konventionen</w:t>
      </w:r>
      <w:r>
        <w:t xml:space="preserve"> föreslår regeringen att riksdagen godkänner en förklaring om att konventionen – om situationen medger det – för svensk del skall träda i kraft i förhållande till länder som avgivit motsv</w:t>
      </w:r>
      <w:r>
        <w:t>a</w:t>
      </w:r>
      <w:r>
        <w:t xml:space="preserve">rande förklaring.  </w:t>
      </w:r>
    </w:p>
    <w:p w:rsidR="00085B04" w:rsidRDefault="00085B04">
      <w:pPr>
        <w:pStyle w:val="Normaltindrag"/>
      </w:pPr>
      <w:r>
        <w:t xml:space="preserve">Vad härefter gäller behovet av </w:t>
      </w:r>
      <w:r>
        <w:rPr>
          <w:i/>
        </w:rPr>
        <w:t>lagändringar</w:t>
      </w:r>
      <w:r>
        <w:t xml:space="preserve"> gör regeringen bedömningen att svensk rätt redan i huvudsak uppfyller de krav som ställs i korruption</w:t>
      </w:r>
      <w:r>
        <w:t>s</w:t>
      </w:r>
      <w:r>
        <w:t>protokollet, korruptionskonventionen och OECD-konventionen. Vissa än</w:t>
      </w:r>
      <w:r>
        <w:t>d</w:t>
      </w:r>
      <w:r>
        <w:t>ringar behövs dock. De går i huvudsak ut på följande. Mut- och bestic</w:t>
      </w:r>
      <w:r>
        <w:t>k</w:t>
      </w:r>
      <w:r>
        <w:t>ningsansvaret skall omfatta också förmåner som är avsedda att tillfalla – eller tillfaller – annan än den vars tjänsteutövning gärningen avser. På denna punkt finns det enligt regeringen ett behov av klargörande i den svenska lag</w:t>
      </w:r>
      <w:r>
        <w:softHyphen/>
        <w:t>stiftningen. Med anledning a</w:t>
      </w:r>
      <w:r>
        <w:t>v korruptionsprotokollet och korruptionsko</w:t>
      </w:r>
      <w:r>
        <w:t>n</w:t>
      </w:r>
      <w:r>
        <w:t>ventionen föreslås att mut- och bestickningsansvaret skall omfatta också för</w:t>
      </w:r>
      <w:r>
        <w:softHyphen/>
        <w:t>måner till EG-kommissionärer, EU-parlamentariker samt domare i EG-domstolen och Revisionsrätten. Som en följd av OECD-konventionen för</w:t>
      </w:r>
      <w:r>
        <w:t>e</w:t>
      </w:r>
      <w:r>
        <w:t>slås att det blir straffbart i Sverige att besticka en utländsk parlamentsled</w:t>
      </w:r>
      <w:r>
        <w:t>a</w:t>
      </w:r>
      <w:r>
        <w:t>mot eller minister och vissa andra utövare av offentliga funktioner. Vidare föreslås ändringar i reglerna om hinderverkan av utländska brottmålsdomar. De sistnämnda ändringarna mo</w:t>
      </w:r>
      <w:r>
        <w:t>tsvarar dem som föreslås på grund av bedr</w:t>
      </w:r>
      <w:r>
        <w:t>ä</w:t>
      </w:r>
      <w:r>
        <w:t>gerikonventionen. Slutligen föreslås i denna del att det inte skall krävas åtalsangivelse eller att åtal skall vara påkallat från allmän synpunkt för att åtal skall få väckas för bestickning gentemot eller mutbrott av vissa befat</w:t>
      </w:r>
      <w:r>
        <w:t>t</w:t>
      </w:r>
      <w:r>
        <w:t xml:space="preserve">ningshavare i EU-administrationen. Sådana krav skall inte heller ställas för åtal för bestickning av utländska parlamentsledamöter och ministrar. Enligt regeringen framstår det inte som motiverat att kräva åtalsangivelse i dessa fall. </w:t>
      </w:r>
    </w:p>
    <w:p w:rsidR="00085B04" w:rsidRDefault="00085B04">
      <w:pPr>
        <w:pStyle w:val="Rubrik3"/>
      </w:pPr>
      <w:bookmarkStart w:id="34" w:name="_Toc446307427"/>
      <w:r>
        <w:t>Skat</w:t>
      </w:r>
      <w:r>
        <w:t>tefrågor</w:t>
      </w:r>
      <w:bookmarkEnd w:id="34"/>
    </w:p>
    <w:p w:rsidR="00085B04" w:rsidRDefault="00085B04">
      <w:r>
        <w:t>I en OECD-rekommendation från år 1996 om skattebehandling av mutor åtar sig medlemsstaterna bl.a. att vägra avdrag vid taxeringen för mutor. Enligt rekommendationen skall de medlemsländer som inte redan vägrar avdrag för sådana utgifter se över sin skattelagstiftning i syfte att införa ett avdragsfö</w:t>
      </w:r>
      <w:r>
        <w:t>r</w:t>
      </w:r>
      <w:r>
        <w:t xml:space="preserve">bud för mutor till utländska statstjänstemän. </w:t>
      </w:r>
    </w:p>
    <w:p w:rsidR="00085B04" w:rsidRDefault="00085B04">
      <w:pPr>
        <w:pStyle w:val="Normaltindrag"/>
      </w:pPr>
      <w:r>
        <w:t>Regeringen föreslår att det i skattelagstiftningen införs ett uttryckligt a</w:t>
      </w:r>
      <w:r>
        <w:t>v</w:t>
      </w:r>
      <w:r>
        <w:t>dragsförbud för mutor och andra otillbörliga belöningar. Skattemyndigheten skall göra anmälan till åklagare så snart det finns anledning anta att den skattskyldige gjort sig skyldig till bestickning. Enligt regeringen är det tve</w:t>
      </w:r>
      <w:r>
        <w:t>k</w:t>
      </w:r>
      <w:r>
        <w:t>samt om avdrag är uteslutet redan enligt nu gällande regler. Det föreslagna avdragsförbudets räckvidd är inte begränsad enbart till kostnader för bestic</w:t>
      </w:r>
      <w:r>
        <w:t>k</w:t>
      </w:r>
      <w:r>
        <w:t xml:space="preserve">ning av utländska tjänstemän utan gäller hela den personkrets som avses i 17 kap. 7 § och 20 kap. 2 § brottsbalken. </w:t>
      </w:r>
    </w:p>
    <w:p w:rsidR="00085B04" w:rsidRDefault="00085B04">
      <w:pPr>
        <w:pStyle w:val="Rubrik3"/>
      </w:pPr>
      <w:bookmarkStart w:id="35" w:name="_Toc446307428"/>
      <w:r>
        <w:t>Domstolspr</w:t>
      </w:r>
      <w:r>
        <w:t>o</w:t>
      </w:r>
      <w:r>
        <w:t>tokollet</w:t>
      </w:r>
      <w:bookmarkEnd w:id="35"/>
    </w:p>
    <w:p w:rsidR="00085B04" w:rsidRDefault="00085B04">
      <w:r>
        <w:t>Enligt protokollet kan medlemsstaterna begära förhandsavgörande av EG-domstolen rörande tolkningen av bedrägerikonventionen och korruption</w:t>
      </w:r>
      <w:r>
        <w:t>s</w:t>
      </w:r>
      <w:r>
        <w:t>protokollet. Protokollet är uppbyggt så att medlemsstaterna kan välja om de vill ge EG-domstolen denna roll. Det krävs en förklaring från respektive medlemsstat för att göra detta möjligt. Staterna kan också välja om de vill låta möjligheten att inhämta förhandsavgöranden omfatta alla domstolar eller bara dem vars avgöranden inte kan överkl</w:t>
      </w:r>
      <w:r>
        <w:t>a</w:t>
      </w:r>
      <w:r>
        <w:t xml:space="preserve">gas. </w:t>
      </w:r>
    </w:p>
    <w:p w:rsidR="00085B04" w:rsidRDefault="00085B04">
      <w:pPr>
        <w:pStyle w:val="Normaltindrag"/>
      </w:pPr>
      <w:r>
        <w:t>Regeringen föreslår att riksdagen godkänner protokollet. Vidare föreslås att riksdagen godkänner att Sverige avger en förklaring som innebär att svenska domstolar</w:t>
      </w:r>
      <w:r>
        <w:t xml:space="preserve"> ges möjlighet att inhämta förhandsavgöranden från EG-domstolen (artikel 2). Denna möjlighet skall inte begränsas till domstolar i sista instans. </w:t>
      </w:r>
    </w:p>
    <w:p w:rsidR="00085B04" w:rsidRDefault="00085B04">
      <w:pPr>
        <w:pStyle w:val="Normaltindrag"/>
      </w:pPr>
      <w:r>
        <w:t xml:space="preserve">Någon lagstiftningsåtgärd är inte påkallad i denna del. I lagen (1997:895) om rätt för svensk domstol att begära förhandsavgörande från EG-domstolen i vissa fall finns nämligen redan generellt utformade bestämmelser i ämnet. </w:t>
      </w:r>
    </w:p>
    <w:p w:rsidR="00085B04" w:rsidRDefault="00085B04">
      <w:pPr>
        <w:pStyle w:val="Rubrik2"/>
      </w:pPr>
      <w:bookmarkStart w:id="36" w:name="_Toc446307429"/>
      <w:r>
        <w:t>Överväganden</w:t>
      </w:r>
      <w:bookmarkEnd w:id="36"/>
    </w:p>
    <w:p w:rsidR="00085B04" w:rsidRDefault="00085B04">
      <w:r>
        <w:t>Utskottet konstaterar inledningsvis att bedrägerier och andra oegentligheter som riktar sig mot Europeiska gemenskapernas finansiella intressen utgör ett allvarligt problem. Som framgår ovan uppgick dessa bara under år 1997 till 12 miljarder kronor. En oförmåga att bekämpa denna – ofta organiserade – brottslighet får betydande återverkningar på såväl gemenskapernas som Sveriges ekonomi. Om inte medlemsstaterna vidtar gemensamma och kraf</w:t>
      </w:r>
      <w:r>
        <w:t>t</w:t>
      </w:r>
      <w:r>
        <w:t xml:space="preserve">fulla åtgärder mot denna brottslighet kan det också få till följd att unionens trovärdighet förringas. Som regeringen konstaterar är det ett starkt svenskt intresse att oegentligheterna med gemenskapernas medel bringas till ett minimum och att de som i sådant sammanhang begår brott upptäcks och lagförs. Finansutskottet har också vid flera tillfällen framhållit att det är angeläget för Sverige att gemenskapsmedel används på ett korrekt sätt (se bl.a. bet. 1997/98:FiU20 s. 212). Justitieutskottet delar även </w:t>
      </w:r>
      <w:r>
        <w:t>regeringens upp</w:t>
      </w:r>
      <w:r>
        <w:softHyphen/>
        <w:t>fattning att konventionsbestämmelserna bör kunna tillämpas så snart som möjligt mellan medlemsstaterna. Utskottet tillstyrker således regeringens för</w:t>
      </w:r>
      <w:r>
        <w:softHyphen/>
        <w:t>slag att godkänna bedrägerikonventionen och den till konventionen kopplade förkl</w:t>
      </w:r>
      <w:r>
        <w:t>a</w:t>
      </w:r>
      <w:r>
        <w:t xml:space="preserve">ringen. Utskottet tillstyrker även hithörande lagförslag. </w:t>
      </w:r>
    </w:p>
    <w:p w:rsidR="00085B04" w:rsidRDefault="00085B04">
      <w:pPr>
        <w:pStyle w:val="Normaltindrag"/>
      </w:pPr>
      <w:r>
        <w:t>Vad härefter gäller de förslag som tar sikte på att bekämpa korruption n</w:t>
      </w:r>
      <w:r>
        <w:t>o</w:t>
      </w:r>
      <w:r>
        <w:t>terar utskottet att frågan om ändrade regler för mutor och bestickning i utla</w:t>
      </w:r>
      <w:r>
        <w:t>n</w:t>
      </w:r>
      <w:r>
        <w:t>det behandlades i utskottet våren 1997. Utskottet noterade då att det på det internationella planet pågår samarbete bl.a. inom EU som syftar till att sa</w:t>
      </w:r>
      <w:r>
        <w:t>m</w:t>
      </w:r>
      <w:r>
        <w:t>ordna ländernas lagstiftning för att bekämpa korruption (1996/97:JuU7 s. 9 f). Utskottet fann inte skäl att frångå den gällande ordningen och a</w:t>
      </w:r>
      <w:r>
        <w:t>v</w:t>
      </w:r>
      <w:r>
        <w:t xml:space="preserve">styrkte det då aktuella motionsyrkandet. </w:t>
      </w:r>
    </w:p>
    <w:p w:rsidR="00085B04" w:rsidRDefault="00085B04">
      <w:pPr>
        <w:pStyle w:val="Normaltindrag"/>
      </w:pPr>
      <w:r>
        <w:t>Utskottet kan nu konstatera att det internationella samarbetet – som har stor betydelse i kamp</w:t>
      </w:r>
      <w:r>
        <w:t>en mot korruptionens skadeverkningar – burit frukt. Utskottet välkomnar därför regeringens förslag såvitt gäller godkännande av korruptionsprotokollet, korruptionskonventionen och OECD-konventionen, och utskottet tillstyrker förslagen om godkännande av dessa instrument samt därtill anslutande förklaringar och lagändringar. Utskottet tillstyrker även regeringens förslag avseende domstolsprotokollet och ändringen i komm</w:t>
      </w:r>
      <w:r>
        <w:t>u</w:t>
      </w:r>
      <w:r>
        <w:t>nalskattelagen (1928:370).</w:t>
      </w:r>
    </w:p>
    <w:p w:rsidR="00085B04" w:rsidRDefault="00085B04">
      <w:pPr>
        <w:pStyle w:val="Rubrik2"/>
      </w:pPr>
      <w:bookmarkStart w:id="37" w:name="_Toc446307430"/>
      <w:r>
        <w:t>Enklare regler</w:t>
      </w:r>
      <w:bookmarkEnd w:id="37"/>
      <w:r>
        <w:t xml:space="preserve"> </w:t>
      </w:r>
    </w:p>
    <w:p w:rsidR="00085B04" w:rsidRDefault="00085B04">
      <w:r>
        <w:t>I motion Ju14 (c) hävdas att de svenska reglerna som rör stöd från EU är för krångliga, och motionärerna befarar att detta ökar risken för att enskilda och o</w:t>
      </w:r>
      <w:r>
        <w:t>r</w:t>
      </w:r>
      <w:r>
        <w:t xml:space="preserve">ganisationer utan avsikt utnyttjar EU-stöd på ett otillåtet sätt. </w:t>
      </w:r>
    </w:p>
    <w:p w:rsidR="00085B04" w:rsidRDefault="00085B04">
      <w:pPr>
        <w:pStyle w:val="Normaltindrag"/>
      </w:pPr>
      <w:r>
        <w:t>I propositionen gör regeringen, som framgår ovan, den bedömningen att de flesta av de åtaganden om kriminalisering med anknytning till budgetarnas utgiftssida som görs i bedrägerikonventionen redan täcks av svensk straffla</w:t>
      </w:r>
      <w:r>
        <w:t>g</w:t>
      </w:r>
      <w:r>
        <w:t>stiftning. Som exempel på vilka brott som kan komma i fråga nämner reg</w:t>
      </w:r>
      <w:r>
        <w:t>e</w:t>
      </w:r>
      <w:r>
        <w:t>ringen bedrägeri, oredligt förfarande, osann försäkran och brukande av osann urkund. För ansvar för dessa brott krävs uppsåt, vilket följer av bestämme</w:t>
      </w:r>
      <w:r>
        <w:t>l</w:t>
      </w:r>
      <w:r>
        <w:t>sen i 1 kap. 2 § första stycket brottsbalken. På samma sätt förhåller det sig med den av regeringen föreslagna och av utskottet ovan tillstyrkta bestä</w:t>
      </w:r>
      <w:r>
        <w:t>m</w:t>
      </w:r>
      <w:r>
        <w:t xml:space="preserve">melsen om subventionsmissbruk. Gärningsmannen skall ha kännedom om de föreskrifter eller villkor som gäller för bidraget eller förmånen. </w:t>
      </w:r>
      <w:r>
        <w:t>Likaså krävs att gärningsmannen inser att bidraget eller förmånen används eller utnyttjas felaktigt. Hans uppsåt skall också omfatta att det som missbrukats helt eller delvis utgjorts av EG-medel.</w:t>
      </w:r>
    </w:p>
    <w:p w:rsidR="00085B04" w:rsidRDefault="00085B04">
      <w:pPr>
        <w:pStyle w:val="Normaltindrag"/>
      </w:pPr>
      <w:r>
        <w:t>I samband med att utskottet behandlade en skrivelse från regeringen om ett nytt offentligt rättsinformationssystem (bet. 1998/99:JuU11) uttalade utsko</w:t>
      </w:r>
      <w:r>
        <w:t>t</w:t>
      </w:r>
      <w:r>
        <w:t>tet att det alltid måste vara en strävan att göra språket i t.ex. lagar och föror</w:t>
      </w:r>
      <w:r>
        <w:t>d</w:t>
      </w:r>
      <w:r>
        <w:t>ningar så enkelt och klart som möjligt. Ett språkvårdande arbete pågår också sedan länge på många håll inom den offentliga förvaltningen. I Regering</w:t>
      </w:r>
      <w:r>
        <w:t>s</w:t>
      </w:r>
      <w:r>
        <w:t>kansliet finns t.ex. en särskild enhet med uppgift bl.a. att granska – och fö</w:t>
      </w:r>
      <w:r>
        <w:t>r</w:t>
      </w:r>
      <w:r>
        <w:t>bättra – den språkliga utfor</w:t>
      </w:r>
      <w:r>
        <w:t>m</w:t>
      </w:r>
      <w:r>
        <w:t xml:space="preserve">ningen av lagar och förordningar. </w:t>
      </w:r>
    </w:p>
    <w:p w:rsidR="00085B04" w:rsidRDefault="00085B04">
      <w:pPr>
        <w:pStyle w:val="Normaltindrag"/>
      </w:pPr>
      <w:r>
        <w:t>Utskottet vill inledningsvis framhålla att frågan om reglerna rörande EG-stöd är ändamålsenligt utformade eller inte faller utanför justit</w:t>
      </w:r>
      <w:r>
        <w:t xml:space="preserve">ieutskottets beredningsområde. </w:t>
      </w:r>
    </w:p>
    <w:p w:rsidR="00085B04" w:rsidRDefault="00085B04">
      <w:pPr>
        <w:pStyle w:val="Normaltindrag"/>
      </w:pPr>
      <w:r>
        <w:t xml:space="preserve">När det gäller farhågorna för att regelverken är så krångliga att de riskerar att leda till oavsiktligt utnyttjande på ett otillåtet sätt vill utskottet framhålla att straffansvar i sådana fall inte synes kunna komma i fråga. Oavsett om någon kan straffas eller inte är det dock enligt utskottets uppfattning ett krav att reglerna är lätta att förstå. För denna ståndpunkt talar inte minst intresset av att gemenskapsmedel inte skall förslösas bara för att de bidragssökande inte </w:t>
      </w:r>
      <w:r>
        <w:t xml:space="preserve">inser att de gör något otillåtet. Utskottet håller dessutom självfallet fast vid den uppfattning som kom till uttryck i det nyss nämnda betänkandet. Med det anförda avstyrker utskottet motion Ju14. </w:t>
      </w:r>
    </w:p>
    <w:p w:rsidR="00085B04" w:rsidRDefault="00085B04">
      <w:pPr>
        <w:pStyle w:val="Rubrik2"/>
      </w:pPr>
      <w:bookmarkStart w:id="38" w:name="_Toc446307431"/>
      <w:r>
        <w:t>Övrigt</w:t>
      </w:r>
      <w:bookmarkEnd w:id="38"/>
      <w:r>
        <w:t xml:space="preserve"> </w:t>
      </w:r>
    </w:p>
    <w:p w:rsidR="00085B04" w:rsidRDefault="00085B04">
      <w:r>
        <w:t>Utskottet noterar att ett godkännande av korruptionskonventionen, do</w:t>
      </w:r>
      <w:r>
        <w:t>m</w:t>
      </w:r>
      <w:r>
        <w:t>stols</w:t>
      </w:r>
      <w:r>
        <w:softHyphen/>
        <w:t>protokollet jämte de förklaringar som tar sikte på förhandsavgöranden från EG-domstolen innebär att beslutskompetens överlåts till EG eftersom sådana avgöranden är bindande. Beträffande moment 2 i utskottets hemställan (punkterna 3 och 4 i regeringens förslag till beslut) skall beslut därför fattas i den ordning som föreskrivs i 10 kap. 5 § första stycket regeringsfo</w:t>
      </w:r>
      <w:r>
        <w:t>r</w:t>
      </w:r>
      <w:r>
        <w:t xml:space="preserve">men. </w:t>
      </w:r>
    </w:p>
    <w:p w:rsidR="00085B04" w:rsidRDefault="00085B04">
      <w:pPr>
        <w:pStyle w:val="Normaltindrag"/>
      </w:pPr>
      <w:r>
        <w:t>Utskottet har uppmärksammat att de lydelser av bedrägerikonventionen, korruptionsprotokollet, korruptionskonventionen och domstol</w:t>
      </w:r>
      <w:r>
        <w:t>sprotokollet som återges i propositionen i vissa avseenden inte överensstämmer med originaltexterna. Rätt lydelse av de nämnda dokumenten framgår av de bil</w:t>
      </w:r>
      <w:r>
        <w:t>a</w:t>
      </w:r>
      <w:r>
        <w:t xml:space="preserve">gor som fogats till betänkandet. Avvikelser från propositionen har markerats med noter. </w:t>
      </w:r>
    </w:p>
    <w:p w:rsidR="00085B04" w:rsidRDefault="00085B04">
      <w:pPr>
        <w:pStyle w:val="Normaltindrag"/>
      </w:pPr>
      <w:r>
        <w:t xml:space="preserve">I övrigt har utskottet ingenting att anföra med anledning av propositionen eller motionen. </w:t>
      </w:r>
    </w:p>
    <w:p w:rsidR="00085B04" w:rsidRDefault="00085B04">
      <w:pPr>
        <w:pStyle w:val="Rubrik2"/>
      </w:pPr>
      <w:bookmarkStart w:id="39" w:name="_Toc446307432"/>
      <w:r>
        <w:t>Hemställan</w:t>
      </w:r>
      <w:bookmarkEnd w:id="39"/>
    </w:p>
    <w:p w:rsidR="00085B04" w:rsidRDefault="00085B04">
      <w:r>
        <w:t>Utskottet hemställer</w:t>
      </w:r>
    </w:p>
    <w:p w:rsidR="00085B04" w:rsidRDefault="00085B04">
      <w:pPr>
        <w:pStyle w:val="hembetr"/>
      </w:pPr>
      <w:bookmarkStart w:id="40" w:name="Nästa_Hpunkt"/>
      <w:bookmarkEnd w:id="40"/>
      <w:r>
        <w:t xml:space="preserve">1. beträffande </w:t>
      </w:r>
      <w:r>
        <w:rPr>
          <w:i/>
        </w:rPr>
        <w:t>bedrägerikonventionen m.m.</w:t>
      </w:r>
    </w:p>
    <w:p w:rsidR="00085B04" w:rsidRDefault="00085B04">
      <w:pPr>
        <w:pStyle w:val="hemtext"/>
      </w:pPr>
      <w:r>
        <w:t xml:space="preserve">att riksdagen godkänner </w:t>
      </w:r>
    </w:p>
    <w:p w:rsidR="00085B04" w:rsidRDefault="00085B04">
      <w:pPr>
        <w:pStyle w:val="hemtext"/>
      </w:pPr>
      <w:r>
        <w:rPr>
          <w:i/>
        </w:rPr>
        <w:t>dels</w:t>
      </w:r>
      <w:r>
        <w:t xml:space="preserve"> konventionen om skydd av Europeiska gemenskapernas finans</w:t>
      </w:r>
      <w:r>
        <w:t>i</w:t>
      </w:r>
      <w:r>
        <w:t>ella intressen med den förklaring beträffande artikel 7 i konventionen som reg</w:t>
      </w:r>
      <w:r>
        <w:t>e</w:t>
      </w:r>
      <w:r>
        <w:t>ringen förordat,</w:t>
      </w:r>
    </w:p>
    <w:p w:rsidR="00085B04" w:rsidRDefault="00085B04">
      <w:pPr>
        <w:pStyle w:val="hemtext"/>
      </w:pPr>
      <w:r>
        <w:rPr>
          <w:i/>
        </w:rPr>
        <w:t>dels</w:t>
      </w:r>
      <w:r>
        <w:t xml:space="preserve"> protokollet till konventionen om skydd av Europeiska gemensk</w:t>
      </w:r>
      <w:r>
        <w:t>a</w:t>
      </w:r>
      <w:r>
        <w:t xml:space="preserve">pernas finansiella intressen med den förklaring beträffande artikel 6 i protokollet som regeringen förordat, </w:t>
      </w:r>
    </w:p>
    <w:p w:rsidR="00085B04" w:rsidRDefault="00085B04">
      <w:pPr>
        <w:pStyle w:val="hemtext"/>
      </w:pPr>
      <w:r>
        <w:rPr>
          <w:i/>
        </w:rPr>
        <w:t>dels</w:t>
      </w:r>
      <w:r>
        <w:t xml:space="preserve"> OECD-konventionen om bekämpande av bestickning av utlän</w:t>
      </w:r>
      <w:r>
        <w:t>d</w:t>
      </w:r>
      <w:r>
        <w:t>ska offentliga tjänstemän i internationella affärsförbindelser med den förklaring beträffande artikel 15 i konventionen som regeringen föro</w:t>
      </w:r>
      <w:r>
        <w:t>r</w:t>
      </w:r>
      <w:r>
        <w:t>dat,</w:t>
      </w:r>
    </w:p>
    <w:p w:rsidR="00085B04" w:rsidRDefault="00085B04">
      <w:pPr>
        <w:pStyle w:val="hembetr"/>
      </w:pPr>
      <w:r>
        <w:t xml:space="preserve">2. beträffande </w:t>
      </w:r>
      <w:r>
        <w:rPr>
          <w:i/>
        </w:rPr>
        <w:t>korruptionskonventionen m.m.</w:t>
      </w:r>
    </w:p>
    <w:p w:rsidR="00085B04" w:rsidRDefault="00085B04">
      <w:pPr>
        <w:pStyle w:val="hemtext"/>
      </w:pPr>
      <w:r>
        <w:t xml:space="preserve">att riksdagen godkänner </w:t>
      </w:r>
    </w:p>
    <w:p w:rsidR="00085B04" w:rsidRDefault="00085B04">
      <w:pPr>
        <w:pStyle w:val="hemtext"/>
      </w:pPr>
      <w:r>
        <w:rPr>
          <w:i/>
        </w:rPr>
        <w:t>dels</w:t>
      </w:r>
      <w:r>
        <w:t xml:space="preserve"> konventionen om kamp mot korruption som tjänstemän i Eur</w:t>
      </w:r>
      <w:r>
        <w:t>o</w:t>
      </w:r>
      <w:r>
        <w:t xml:space="preserve">peiska gemenskaperna eller Europeiska unionens medlemsstater är delaktiga i, med de förklaringar beträffande artiklarna 7, 10, 12 och 13 i konventionen som regeringen förordat, </w:t>
      </w:r>
    </w:p>
    <w:p w:rsidR="00085B04" w:rsidRDefault="00085B04">
      <w:pPr>
        <w:pStyle w:val="hemtext"/>
      </w:pPr>
      <w:r>
        <w:rPr>
          <w:i/>
        </w:rPr>
        <w:t>dels</w:t>
      </w:r>
      <w:r>
        <w:t xml:space="preserve"> protokollet om förhandsavgörande av Europeiska gemenskape</w:t>
      </w:r>
      <w:r>
        <w:t>r</w:t>
      </w:r>
      <w:r>
        <w:t>nas domstol angående tolkningen av konventionen om skydd av Eur</w:t>
      </w:r>
      <w:r>
        <w:t>o</w:t>
      </w:r>
      <w:r>
        <w:t>peiska gemenskapernas finansiella intressen med den förklaring b</w:t>
      </w:r>
      <w:r>
        <w:t>e</w:t>
      </w:r>
      <w:r>
        <w:t xml:space="preserve">träffande artikel 2 i protokollet som regeringen förordat, </w:t>
      </w:r>
    </w:p>
    <w:p w:rsidR="00085B04" w:rsidRDefault="00085B04">
      <w:pPr>
        <w:pStyle w:val="hembetr"/>
      </w:pPr>
      <w:r>
        <w:t xml:space="preserve">3. beträffande </w:t>
      </w:r>
      <w:r>
        <w:rPr>
          <w:i/>
        </w:rPr>
        <w:t>regeringens lagförslag</w:t>
      </w:r>
    </w:p>
    <w:p w:rsidR="00085B04" w:rsidRDefault="00085B04">
      <w:pPr>
        <w:pStyle w:val="hemtext"/>
      </w:pPr>
      <w:r>
        <w:t xml:space="preserve">att riksdagen antar regeringens förslag till </w:t>
      </w:r>
    </w:p>
    <w:p w:rsidR="00085B04" w:rsidRDefault="00085B04">
      <w:pPr>
        <w:pStyle w:val="hemtext"/>
      </w:pPr>
      <w:r>
        <w:t xml:space="preserve">a) lag om ändring i brottsbalken, </w:t>
      </w:r>
    </w:p>
    <w:p w:rsidR="00085B04" w:rsidRDefault="00085B04">
      <w:pPr>
        <w:pStyle w:val="hemtext"/>
      </w:pPr>
      <w:r>
        <w:t xml:space="preserve">b) lag om ändring i kommunalskattelagen (1928:370).  </w:t>
      </w:r>
    </w:p>
    <w:p w:rsidR="00085B04" w:rsidRDefault="00085B04">
      <w:pPr>
        <w:pStyle w:val="hembetr"/>
      </w:pPr>
      <w:r>
        <w:t xml:space="preserve">4. beträffande </w:t>
      </w:r>
      <w:r>
        <w:rPr>
          <w:i/>
        </w:rPr>
        <w:t>enklare regler</w:t>
      </w:r>
      <w:r>
        <w:t xml:space="preserve"> </w:t>
      </w:r>
    </w:p>
    <w:p w:rsidR="00085B04" w:rsidRDefault="00085B04">
      <w:pPr>
        <w:pStyle w:val="hemtext"/>
      </w:pPr>
      <w:r>
        <w:t>att riksdagen avslår motion 1998/99:Ju14.</w:t>
      </w:r>
    </w:p>
    <w:p w:rsidR="00085B04" w:rsidRDefault="00085B04">
      <w:pPr>
        <w:pStyle w:val="Reseftermom"/>
      </w:pPr>
      <w:r>
        <w:t>res. (c)</w:t>
      </w:r>
    </w:p>
    <w:p w:rsidR="00085B04" w:rsidRDefault="00085B04">
      <w:pPr>
        <w:pStyle w:val="Stockholm"/>
      </w:pPr>
      <w:r>
        <w:t>Stockholm den 9 mars 1999</w:t>
      </w:r>
    </w:p>
    <w:p w:rsidR="00085B04" w:rsidRDefault="00085B04">
      <w:pPr>
        <w:pStyle w:val="Vgnar"/>
      </w:pPr>
      <w:r>
        <w:t>På justitieutskottets vägnar</w:t>
      </w:r>
    </w:p>
    <w:p w:rsidR="00085B04" w:rsidRDefault="00085B04">
      <w:pPr>
        <w:pStyle w:val="Ordfnamn"/>
      </w:pPr>
      <w:bookmarkStart w:id="41" w:name="Ordförande"/>
      <w:bookmarkEnd w:id="41"/>
      <w:r>
        <w:t xml:space="preserve">Gun Hellsvik </w:t>
      </w:r>
    </w:p>
    <w:p w:rsidR="00085B04" w:rsidRDefault="00085B04">
      <w:pPr>
        <w:pStyle w:val="Deltagare"/>
      </w:pPr>
      <w:bookmarkStart w:id="42" w:name="Deltagare"/>
      <w:bookmarkEnd w:id="42"/>
      <w:r>
        <w:t>I beslutet har deltagit: Gun Hellsvik (m), Ingvar Johnsson (s), Märta Johan</w:t>
      </w:r>
      <w:r>
        <w:t>s</w:t>
      </w:r>
      <w:r>
        <w:t>son (s), Margareta Sandgren (s), Alice Åström (v), Ingemar Vänerlöv (kd), Anders G Högmark (m), Ann-Marie Fagerström (s), Maud Ekendahl (m), Helena Frisk (s), Morgan Johansson (s), Yvonne Oscarsson (v), Ragnwi Marcelind (kd), Jeppe Johnsson (m), Kia Andreasson (mp), Gunnel Wallin (c) och Siw Persson (fp).</w:t>
      </w:r>
    </w:p>
    <w:p w:rsidR="00085B04" w:rsidRDefault="00085B04">
      <w:pPr>
        <w:pStyle w:val="Rubrik1"/>
      </w:pPr>
      <w:bookmarkStart w:id="43" w:name="_Toc446307433"/>
      <w:r>
        <w:t>Reservation</w:t>
      </w:r>
      <w:bookmarkEnd w:id="43"/>
    </w:p>
    <w:p w:rsidR="00085B04" w:rsidRDefault="00085B04">
      <w:pPr>
        <w:pStyle w:val="Rubrik2"/>
        <w:spacing w:before="123"/>
      </w:pPr>
      <w:bookmarkStart w:id="44" w:name="Nästa_Reservation"/>
      <w:bookmarkStart w:id="45" w:name="_Toc446307434"/>
      <w:bookmarkEnd w:id="44"/>
      <w:r>
        <w:t>Enklare regler (mom. 4)</w:t>
      </w:r>
      <w:bookmarkEnd w:id="45"/>
    </w:p>
    <w:p w:rsidR="00085B04" w:rsidRDefault="00085B04">
      <w:r>
        <w:t>Gunnel Wallin (c) anför:</w:t>
      </w:r>
    </w:p>
    <w:p w:rsidR="00085B04" w:rsidRDefault="00085B04">
      <w:r>
        <w:t>Jag anser att det finns en risk att de krångliga reglerna kring stödet från EG ökar risken för att enskilda medborgare, organisationer och företag utan avsikt överutnyttjar möjligheterna till stöd från EG. Regelverken måste u</w:t>
      </w:r>
      <w:r>
        <w:t>t</w:t>
      </w:r>
      <w:r>
        <w:t>formas så att de inte ökar risken för att brott begås. Det bör ankomma på regeringen att se över gällande bestämmelser och vidta åtgärder med anle</w:t>
      </w:r>
      <w:r>
        <w:t>d</w:t>
      </w:r>
      <w:r>
        <w:t xml:space="preserve">ning av vad jag nu anfört. </w:t>
      </w:r>
    </w:p>
    <w:p w:rsidR="00085B04" w:rsidRDefault="00085B04">
      <w:r>
        <w:t>Jag anser att utskottets hemställan under moment 4 bort ha följande lydelse:</w:t>
      </w:r>
    </w:p>
    <w:p w:rsidR="00085B04" w:rsidRDefault="00085B04">
      <w:pPr>
        <w:pStyle w:val="hembetr"/>
      </w:pPr>
      <w:r>
        <w:t xml:space="preserve">4. beträffande </w:t>
      </w:r>
      <w:r>
        <w:rPr>
          <w:i/>
        </w:rPr>
        <w:t>enklare regler</w:t>
      </w:r>
    </w:p>
    <w:p w:rsidR="00085B04" w:rsidRDefault="00085B04">
      <w:pPr>
        <w:pStyle w:val="hemtext"/>
      </w:pPr>
      <w:r>
        <w:t>att riksdagen med anledning av motion 1998/99:Ju14 som sin mening ger regeringen till känna vad som anförts i reservationen.</w:t>
      </w:r>
    </w:p>
    <w:p w:rsidR="00085B04" w:rsidRDefault="00085B04">
      <w:pPr>
        <w:pStyle w:val="Rubrik1"/>
      </w:pPr>
      <w:bookmarkStart w:id="46" w:name="_Toc446307435"/>
      <w:r>
        <w:t>Särskilda yttranden</w:t>
      </w:r>
      <w:bookmarkEnd w:id="46"/>
    </w:p>
    <w:p w:rsidR="00085B04" w:rsidRDefault="00085B04">
      <w:pPr>
        <w:pStyle w:val="Rubrik2"/>
        <w:spacing w:before="123"/>
      </w:pPr>
      <w:bookmarkStart w:id="47" w:name="_Toc446307436"/>
      <w:r>
        <w:t>1. Regeringens förslag (mom. 1, 2 och 3)</w:t>
      </w:r>
      <w:bookmarkEnd w:id="47"/>
    </w:p>
    <w:p w:rsidR="00085B04" w:rsidRDefault="00085B04">
      <w:r>
        <w:t>Kia Andreasson (mp) anför:</w:t>
      </w:r>
    </w:p>
    <w:p w:rsidR="00085B04" w:rsidRDefault="00085B04">
      <w:r>
        <w:t>Miljöpartiet delar regeringens ståndpunkter att bedrägerier och andra oegentligheter som riktar sig mot Europeiska gemenskapernas finansiella intressen utgör ett allvarligt problem, och vi välkomnar de förslag som förs fram i propositionen. Andra strukturella fel inom unionen som bör åtgärdas, är den stora byråkratin samt bidragskarusellen som utgör grogrund för b</w:t>
      </w:r>
      <w:r>
        <w:t>e</w:t>
      </w:r>
      <w:r>
        <w:t>drägerier och andra oegentligheter. Dock är det inte i första hand genom att vidtaga åtgärder mot brottslighet som bedrägerier och korruption inom EU kan bekämpas; den viktigaste åtgärden för att komma åt EU-korruption är ökad insyn och öppenhet i EU-kommissionen. Sverige måste med ökad kraft verka för offentlighetsprincipen och meddelarskydd på alla nivåer inom EU.</w:t>
      </w:r>
    </w:p>
    <w:p w:rsidR="00085B04" w:rsidRDefault="00085B04">
      <w:pPr>
        <w:pStyle w:val="Rubrik2"/>
      </w:pPr>
      <w:bookmarkStart w:id="48" w:name="_Toc446307437"/>
      <w:r>
        <w:t>2. Enklare regler (mom. 4)</w:t>
      </w:r>
      <w:bookmarkEnd w:id="48"/>
    </w:p>
    <w:p w:rsidR="00085B04" w:rsidRDefault="00085B04">
      <w:r>
        <w:t>Gun Hellsvik (m), Anders G Högmark (m), Maud Ekendahl (m), Jeppe Johnsson (m) och Siw Persson (fp) anför:</w:t>
      </w:r>
    </w:p>
    <w:p w:rsidR="00085B04" w:rsidRDefault="00085B04">
      <w:r>
        <w:t>Varje reglerings- och subventionspolitik riskerar att leda till missbruk och oegentligheter.</w:t>
      </w:r>
    </w:p>
    <w:p w:rsidR="00085B04" w:rsidRDefault="00085B04">
      <w:pPr>
        <w:pStyle w:val="Normaltindrag"/>
      </w:pPr>
      <w:r>
        <w:t>Den viktigaste åtgärden för att minska olika former av missbruk och b</w:t>
      </w:r>
      <w:r>
        <w:t>e</w:t>
      </w:r>
      <w:r>
        <w:t>drägerier är därför en långsiktig avreglering, regelförenklingar och minskade subventioner. Sveriges regering bör därför agera i denna riktning.</w:t>
      </w:r>
    </w:p>
    <w:p w:rsidR="00085B04" w:rsidRDefault="00085B04">
      <w:pPr>
        <w:sectPr w:rsidR="00000000">
          <w:headerReference w:type="default" r:id="rId10"/>
          <w:footerReference w:type="default" r:id="rId11"/>
          <w:pgSz w:w="11906" w:h="16838" w:code="9"/>
          <w:pgMar w:top="567" w:right="4876" w:bottom="4508" w:left="1134" w:header="227" w:footer="227" w:gutter="0"/>
          <w:cols w:space="720"/>
        </w:sectPr>
      </w:pPr>
    </w:p>
    <w:p w:rsidR="00085B04" w:rsidRDefault="00085B04">
      <w:pPr>
        <w:pStyle w:val="Rubrik2"/>
        <w:spacing w:before="0"/>
      </w:pPr>
      <w:bookmarkStart w:id="49" w:name="_Toc446307438"/>
      <w:r>
        <w:t>Regeringens lagförslag</w:t>
      </w:r>
      <w:bookmarkEnd w:id="49"/>
    </w:p>
    <w:p w:rsidR="00085B04" w:rsidRDefault="00085B04">
      <w:pPr>
        <w:pStyle w:val="Rubrik2"/>
        <w:spacing w:before="0"/>
      </w:pPr>
      <w:r>
        <w:br w:type="page"/>
      </w:r>
      <w:r>
        <w:br w:type="page"/>
      </w:r>
      <w:r>
        <w:br w:type="page"/>
      </w:r>
      <w:r>
        <w:br w:type="page"/>
      </w:r>
      <w:r>
        <w:br w:type="page"/>
      </w:r>
      <w:r>
        <w:br w:type="page"/>
      </w:r>
      <w:r>
        <w:br w:type="page"/>
      </w:r>
    </w:p>
    <w:p w:rsidR="00085B04" w:rsidRDefault="00085B04"/>
    <w:p w:rsidR="00085B04" w:rsidRDefault="00085B04">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085B04" w:rsidRDefault="00085B04">
      <w:pPr>
        <w:pStyle w:val="Rubrik1"/>
        <w:spacing w:before="0"/>
      </w:pPr>
      <w:bookmarkStart w:id="50" w:name="_Toc438865949"/>
      <w:bookmarkStart w:id="51" w:name="_Toc446307439"/>
      <w:r>
        <w:t>Bedrägerikonventionen</w:t>
      </w:r>
      <w:bookmarkEnd w:id="50"/>
      <w:bookmarkEnd w:id="51"/>
    </w:p>
    <w:p w:rsidR="00085B04" w:rsidRDefault="00085B04">
      <w:pPr>
        <w:pStyle w:val="Rubrik2"/>
        <w:jc w:val="center"/>
        <w:rPr>
          <w:b/>
          <w:sz w:val="19"/>
        </w:rPr>
      </w:pPr>
      <w:bookmarkStart w:id="52" w:name="_Toc445710211"/>
      <w:bookmarkStart w:id="53" w:name="_Toc446307440"/>
      <w:r>
        <w:rPr>
          <w:b/>
          <w:sz w:val="19"/>
        </w:rPr>
        <w:t>RÅDETS AKT</w:t>
      </w:r>
      <w:bookmarkEnd w:id="52"/>
      <w:bookmarkEnd w:id="53"/>
    </w:p>
    <w:p w:rsidR="00085B04" w:rsidRDefault="00085B04">
      <w:pPr>
        <w:pStyle w:val="Rubrik3"/>
        <w:spacing w:before="123"/>
        <w:jc w:val="center"/>
      </w:pPr>
      <w:bookmarkStart w:id="54" w:name="_Toc445710212"/>
      <w:bookmarkStart w:id="55" w:name="_Toc446307441"/>
      <w:r>
        <w:t>av den 26 juli 1995</w:t>
      </w:r>
      <w:r>
        <w:br/>
        <w:t xml:space="preserve">om utarbetandet av konventionen om skydd av Europeiska </w:t>
      </w:r>
      <w:r>
        <w:br/>
        <w:t>geme</w:t>
      </w:r>
      <w:r>
        <w:t>n</w:t>
      </w:r>
      <w:r>
        <w:t>skapernas finansiella intressen</w:t>
      </w:r>
      <w:bookmarkEnd w:id="54"/>
      <w:bookmarkEnd w:id="55"/>
    </w:p>
    <w:p w:rsidR="00085B04" w:rsidRDefault="00085B04">
      <w:pPr>
        <w:pStyle w:val="Rubrik2"/>
        <w:spacing w:before="0"/>
        <w:jc w:val="center"/>
      </w:pPr>
    </w:p>
    <w:p w:rsidR="00085B04" w:rsidRDefault="00085B04">
      <w:pPr>
        <w:pStyle w:val="Rubrik2"/>
        <w:spacing w:before="0"/>
        <w:jc w:val="center"/>
        <w:rPr>
          <w:sz w:val="19"/>
        </w:rPr>
      </w:pPr>
      <w:bookmarkStart w:id="56" w:name="_Toc445710213"/>
      <w:bookmarkStart w:id="57" w:name="_Toc446307442"/>
      <w:r>
        <w:rPr>
          <w:sz w:val="19"/>
        </w:rPr>
        <w:t>(95/C 316/03)</w:t>
      </w:r>
      <w:bookmarkEnd w:id="56"/>
      <w:bookmarkEnd w:id="57"/>
    </w:p>
    <w:p w:rsidR="00085B04" w:rsidRDefault="00085B04">
      <w:pPr>
        <w:pStyle w:val="Rubrik2"/>
        <w:rPr>
          <w:sz w:val="19"/>
        </w:rPr>
      </w:pPr>
      <w:bookmarkStart w:id="58" w:name="_Toc445710214"/>
      <w:bookmarkStart w:id="59" w:name="_Toc446307443"/>
      <w:r>
        <w:rPr>
          <w:sz w:val="19"/>
        </w:rPr>
        <w:t>EUROPEISKA UNIONENS RÅD HAR ANTAGIT DENNA AKT</w:t>
      </w:r>
      <w:bookmarkEnd w:id="58"/>
      <w:bookmarkEnd w:id="59"/>
    </w:p>
    <w:p w:rsidR="00085B04" w:rsidRDefault="00085B04">
      <w:r>
        <w:t>med beaktande av Fördraget om Europeiska unionen, särskilt artikel K.3.2c i detta, och</w:t>
      </w:r>
    </w:p>
    <w:p w:rsidR="00085B04" w:rsidRDefault="00085B04">
      <w:r>
        <w:t>med beaktande av följande:</w:t>
      </w:r>
    </w:p>
    <w:p w:rsidR="00085B04" w:rsidRDefault="00085B04">
      <w:r>
        <w:t>För att förverkliga unionens mål betraktar medlemsstaterna kampen mot bedrägeri som riktar sig mot Europeiska gemenskapernas finansiella intre</w:t>
      </w:r>
      <w:r>
        <w:t>s</w:t>
      </w:r>
      <w:r>
        <w:t>sen, som en fråga av gemensamt intresse som ingår i det samarbete som inrättats med stöd av avdelning VI i fö</w:t>
      </w:r>
      <w:r>
        <w:t>r</w:t>
      </w:r>
      <w:r>
        <w:t>draget.</w:t>
      </w:r>
    </w:p>
    <w:p w:rsidR="00085B04" w:rsidRDefault="00085B04">
      <w:r>
        <w:t>För att med full kraft bekämpa sådant bedrägeri är det nödvändigt att träffa en första överenskommelse som snarast skall kompletteras med en annan juridisk akt i syfte att förstärka det straffrättsliga skyddet för Europeiska gemenskapernas finansiella intre</w:t>
      </w:r>
      <w:r>
        <w:t>s</w:t>
      </w:r>
      <w:r>
        <w:t>sen.</w:t>
      </w:r>
    </w:p>
    <w:p w:rsidR="00085B04" w:rsidRDefault="00085B04">
      <w:pPr>
        <w:pStyle w:val="Rubrik2"/>
      </w:pPr>
      <w:bookmarkStart w:id="60" w:name="_Toc445710215"/>
      <w:bookmarkStart w:id="61" w:name="_Toc446307444"/>
      <w:r>
        <w:rPr>
          <w:sz w:val="19"/>
        </w:rPr>
        <w:t>RÅDET</w:t>
      </w:r>
      <w:bookmarkEnd w:id="60"/>
      <w:bookmarkEnd w:id="61"/>
      <w:r>
        <w:t xml:space="preserve"> </w:t>
      </w:r>
    </w:p>
    <w:p w:rsidR="00085B04" w:rsidRDefault="00085B04">
      <w:r>
        <w:t>BESLUTAR att upprätta den konvention vars text återfinns i bilagan och som denna dag har undertecknats av företrädare för regeringarna i unionens me</w:t>
      </w:r>
      <w:r>
        <w:t>d</w:t>
      </w:r>
      <w:r>
        <w:t>lemsstater,</w:t>
      </w:r>
    </w:p>
    <w:p w:rsidR="00085B04" w:rsidRDefault="00085B04">
      <w:r>
        <w:t>REKOMMENDERAR att konventionen antas av medlemsstaterna i enlighet med deras konst</w:t>
      </w:r>
      <w:r>
        <w:t>i</w:t>
      </w:r>
      <w:r>
        <w:t>tutionella bestämmelser.</w:t>
      </w:r>
    </w:p>
    <w:p w:rsidR="00085B04" w:rsidRDefault="00085B04">
      <w:r>
        <w:t>Utfärdad i Bryssel den 26 juli 1995.</w:t>
      </w:r>
    </w:p>
    <w:p w:rsidR="00085B04" w:rsidRDefault="00085B04">
      <w:pPr>
        <w:pStyle w:val="Normaltindrag"/>
      </w:pPr>
    </w:p>
    <w:p w:rsidR="00085B04" w:rsidRDefault="00085B04">
      <w:pPr>
        <w:rPr>
          <w:i/>
        </w:rPr>
      </w:pPr>
      <w:r>
        <w:rPr>
          <w:i/>
        </w:rPr>
        <w:tab/>
      </w:r>
      <w:r>
        <w:rPr>
          <w:i/>
        </w:rPr>
        <w:tab/>
      </w:r>
      <w:r>
        <w:rPr>
          <w:i/>
        </w:rPr>
        <w:tab/>
        <w:t>På rådets vägnar</w:t>
      </w:r>
    </w:p>
    <w:p w:rsidR="00085B04" w:rsidRDefault="00085B04">
      <w:pPr>
        <w:spacing w:before="0"/>
      </w:pPr>
      <w:r>
        <w:tab/>
      </w:r>
      <w:r>
        <w:tab/>
      </w:r>
      <w:r>
        <w:tab/>
        <w:t xml:space="preserve">J. A. BELLOCH JULBE </w:t>
      </w:r>
    </w:p>
    <w:p w:rsidR="00085B04" w:rsidRDefault="00085B04">
      <w:pPr>
        <w:spacing w:before="0"/>
        <w:rPr>
          <w:i/>
        </w:rPr>
      </w:pPr>
      <w:r>
        <w:rPr>
          <w:i/>
        </w:rPr>
        <w:tab/>
      </w:r>
      <w:r>
        <w:rPr>
          <w:i/>
        </w:rPr>
        <w:tab/>
      </w:r>
      <w:r>
        <w:rPr>
          <w:i/>
        </w:rPr>
        <w:tab/>
        <w:t>Ordförande</w:t>
      </w:r>
    </w:p>
    <w:p w:rsidR="00085B04" w:rsidRDefault="00085B04">
      <w:pPr>
        <w:pStyle w:val="Rubrik2"/>
        <w:jc w:val="center"/>
        <w:rPr>
          <w:b/>
        </w:rPr>
      </w:pPr>
      <w:r>
        <w:rPr>
          <w:i/>
        </w:rPr>
        <w:br w:type="page"/>
      </w:r>
      <w:bookmarkStart w:id="62" w:name="_Toc445710216"/>
      <w:bookmarkStart w:id="63" w:name="_Toc446307445"/>
      <w:r>
        <w:rPr>
          <w:b/>
          <w:sz w:val="19"/>
        </w:rPr>
        <w:t>KONVENTION</w:t>
      </w:r>
      <w:bookmarkEnd w:id="62"/>
      <w:bookmarkEnd w:id="63"/>
    </w:p>
    <w:p w:rsidR="00085B04" w:rsidRDefault="00085B04">
      <w:pPr>
        <w:pStyle w:val="Rubrik3"/>
        <w:spacing w:before="123"/>
        <w:jc w:val="center"/>
      </w:pPr>
      <w:bookmarkStart w:id="64" w:name="_Toc445710217"/>
      <w:bookmarkStart w:id="65" w:name="_Toc446307446"/>
      <w:r>
        <w:t xml:space="preserve">som utarbetats på grundval av artikel K.3 i fördraget om Europeiska </w:t>
      </w:r>
      <w:r>
        <w:br/>
        <w:t xml:space="preserve">unionen om skydd av Europeiska gemenskapernas finansiella </w:t>
      </w:r>
      <w:r>
        <w:br/>
        <w:t>intre</w:t>
      </w:r>
      <w:r>
        <w:t>s</w:t>
      </w:r>
      <w:r>
        <w:t>sen</w:t>
      </w:r>
      <w:bookmarkEnd w:id="64"/>
      <w:bookmarkEnd w:id="65"/>
    </w:p>
    <w:p w:rsidR="00085B04" w:rsidRDefault="00085B04">
      <w:r>
        <w:t>DE HÖGA FÖRDRAGSSLUTANDE PARTERNA till denna konvention, Eur</w:t>
      </w:r>
      <w:r>
        <w:t>o</w:t>
      </w:r>
      <w:r>
        <w:t>peiska unionens medlemsstater,</w:t>
      </w:r>
    </w:p>
    <w:p w:rsidR="00085B04" w:rsidRDefault="00085B04">
      <w:r>
        <w:t>SOM HÄNVISAR till Europeiska unionens råds akt av den 26 juli 1995</w:t>
      </w:r>
      <w:r>
        <w:rPr>
          <w:rStyle w:val="Fotnotsreferens"/>
        </w:rPr>
        <w:footnoteReference w:customMarkFollows="1" w:id="1"/>
        <w:t>*</w:t>
      </w:r>
      <w:r>
        <w:t>,</w:t>
      </w:r>
    </w:p>
    <w:p w:rsidR="00085B04" w:rsidRDefault="00085B04">
      <w:r>
        <w:t>SOM ÖNSKAR säkerställa att deras straffrättsliga bestämmelser på effektivt sätt b</w:t>
      </w:r>
      <w:r>
        <w:t>i</w:t>
      </w:r>
      <w:r>
        <w:t>drar till att skydda Europeiska gemenskapernas finansiella intressen,</w:t>
      </w:r>
    </w:p>
    <w:p w:rsidR="00085B04" w:rsidRDefault="00085B04">
      <w:r>
        <w:t>SOM UPPMÄRKSAMMAR att bedrägerier som riktar sig mot gemensk</w:t>
      </w:r>
      <w:r>
        <w:t>a</w:t>
      </w:r>
      <w:r>
        <w:t>pernas inkomster och utgifter i många fall inte är begränsade till ett enda land och att de ofta genomförs i form av organiserad brottslighet,</w:t>
      </w:r>
    </w:p>
    <w:p w:rsidR="00085B04" w:rsidRDefault="00085B04">
      <w:r>
        <w:t>SOM ÄR ÖVERTYGADE om att skyddet för Europeiska gemenskapernas finansiella intressen skall vara sådant att alla bedrägliga förfaranden som riktar sig mot dessa intressen blir föremål för straffrättslig lagföring och att det krävs att en gemensam defin</w:t>
      </w:r>
      <w:r>
        <w:t>i</w:t>
      </w:r>
      <w:r>
        <w:t>tion införs i detta syfte,</w:t>
      </w:r>
    </w:p>
    <w:p w:rsidR="00085B04" w:rsidRDefault="00085B04">
      <w:r>
        <w:t>SOM ÄR ÖVERTYGADE om behovet av att belägga sådana förfaranden med effektiva, proportionella och avskräckande straffrättsliga påföljder, utan att detta påverkar möjligheten att använda andra påföljder när så är lämpligt liksom om behovet av att, åtminstone när det är fråga om allvarliga fall, införa frihetsberövande påföljder som kan medföra utlä</w:t>
      </w:r>
      <w:r>
        <w:t>m</w:t>
      </w:r>
      <w:r>
        <w:t>ning,</w:t>
      </w:r>
    </w:p>
    <w:p w:rsidR="00085B04" w:rsidRDefault="00085B04">
      <w:r>
        <w:t>SOM INSER att företag spelar en viktig roll på de områden som finansieras genom Europeiska gemenskapernas budget och att, under vissa omständi</w:t>
      </w:r>
      <w:r>
        <w:t>g</w:t>
      </w:r>
      <w:r>
        <w:t>heter, personer med befogenhet att fatta beslut i företagen inte skall kunna undgå straffrättsligt a</w:t>
      </w:r>
      <w:r>
        <w:t>n</w:t>
      </w:r>
      <w:r>
        <w:t>svar,</w:t>
      </w:r>
    </w:p>
    <w:p w:rsidR="00085B04" w:rsidRDefault="00085B04">
      <w:r>
        <w:t>SOM ÄR FAST BESLUTNA att tillsammans bekämpa bedrägeri som riktar sig mot Europeiska gemenskapernas finansiella intressen genom att åta sig förpliktelser som rör jurisdiktion, utlämning och ömsesidigt sa</w:t>
      </w:r>
      <w:r>
        <w:t>m</w:t>
      </w:r>
      <w:r>
        <w:t>arbete,</w:t>
      </w:r>
    </w:p>
    <w:p w:rsidR="00085B04" w:rsidRDefault="00085B04">
      <w:r>
        <w:t>HAR ENATS om följande bestämmelser</w:t>
      </w:r>
      <w:r>
        <w:rPr>
          <w:rStyle w:val="Fotnotsreferens"/>
        </w:rPr>
        <w:footnoteReference w:customMarkFollows="1" w:id="2"/>
        <w:t>*</w:t>
      </w:r>
      <w:r>
        <w:t>:</w:t>
      </w:r>
    </w:p>
    <w:p w:rsidR="00085B04" w:rsidRDefault="00085B04">
      <w:pPr>
        <w:pStyle w:val="Rubrik4"/>
        <w:jc w:val="center"/>
      </w:pPr>
      <w:bookmarkStart w:id="66" w:name="_Toc445710218"/>
      <w:bookmarkStart w:id="67" w:name="_Toc446307447"/>
      <w:r>
        <w:t>Artikel 1</w:t>
      </w:r>
      <w:bookmarkEnd w:id="66"/>
      <w:bookmarkEnd w:id="67"/>
    </w:p>
    <w:p w:rsidR="00085B04" w:rsidRDefault="00085B04">
      <w:pPr>
        <w:pStyle w:val="Rubrik3"/>
        <w:spacing w:before="123"/>
        <w:jc w:val="center"/>
      </w:pPr>
      <w:bookmarkStart w:id="68" w:name="_Toc445710219"/>
      <w:bookmarkStart w:id="69" w:name="_Toc446307448"/>
      <w:r>
        <w:t>Allmänna bestämmelser</w:t>
      </w:r>
      <w:bookmarkEnd w:id="68"/>
      <w:bookmarkEnd w:id="69"/>
    </w:p>
    <w:p w:rsidR="00085B04" w:rsidRDefault="00085B04">
      <w:r>
        <w:t>1. I denna konvention förstås med bedrägeri som riktar sig mot Europeiska gemensk</w:t>
      </w:r>
      <w:r>
        <w:t>a</w:t>
      </w:r>
      <w:r>
        <w:t>pernas finansiella intressen:</w:t>
      </w:r>
    </w:p>
    <w:p w:rsidR="00085B04" w:rsidRDefault="00085B04">
      <w:r>
        <w:t>a) i fråga om utgifter, varje uppsåtlig handling eller uppsåtlig underlåtenhet som är att hänföra till</w:t>
      </w:r>
    </w:p>
    <w:p w:rsidR="00085B04" w:rsidRDefault="00085B04">
      <w:r>
        <w:t>– användning eller presentation av falska, felaktiga eller ofullständiga up</w:t>
      </w:r>
      <w:r>
        <w:t>p</w:t>
      </w:r>
      <w:r>
        <w:t>gifter eller dokument, om detta leder till att medel från Europeiska geme</w:t>
      </w:r>
      <w:r>
        <w:t>n</w:t>
      </w:r>
      <w:r>
        <w:t>skapernas allmänna budget eller från de budgetar som förvaltas av Europei</w:t>
      </w:r>
      <w:r>
        <w:t>s</w:t>
      </w:r>
      <w:r>
        <w:t>ka gemenskaperna eller för deras räkning otillbörligen uppbärs eller inn</w:t>
      </w:r>
      <w:r>
        <w:t>e</w:t>
      </w:r>
      <w:r>
        <w:t>hålls,</w:t>
      </w:r>
    </w:p>
    <w:p w:rsidR="00085B04" w:rsidRDefault="00085B04">
      <w:r>
        <w:t>– undanhållande av information som skall lämnas i enlighet med särskilda föreskrifter, om gä</w:t>
      </w:r>
      <w:r>
        <w:t>r</w:t>
      </w:r>
      <w:r>
        <w:t>ningen har samma effekt,</w:t>
      </w:r>
    </w:p>
    <w:p w:rsidR="00085B04" w:rsidRDefault="00085B04">
      <w:r>
        <w:t>– användning av sådana medel för andra syften än de som medlen ursprun</w:t>
      </w:r>
      <w:r>
        <w:t>g</w:t>
      </w:r>
      <w:r>
        <w:t>ligen har beviljats för,</w:t>
      </w:r>
    </w:p>
    <w:p w:rsidR="00085B04" w:rsidRDefault="00085B04">
      <w:r>
        <w:t>b) i fråga om inkomster, varje uppsåtlig handling eller uppsåtlig underlåte</w:t>
      </w:r>
      <w:r>
        <w:t>n</w:t>
      </w:r>
      <w:r>
        <w:t>het som är att hänföra till</w:t>
      </w:r>
    </w:p>
    <w:p w:rsidR="00085B04" w:rsidRDefault="00085B04">
      <w:r>
        <w:t>– användning eller presentation av falska, felaktiga eller ofullständiga up</w:t>
      </w:r>
      <w:r>
        <w:t>p</w:t>
      </w:r>
      <w:r>
        <w:t>gifter eller dokument, om detta leder till att medel från Europeiska geme</w:t>
      </w:r>
      <w:r>
        <w:t>n</w:t>
      </w:r>
      <w:r>
        <w:t>skapernas allmänna budget eller från de budgetar som förvaltas av Europei</w:t>
      </w:r>
      <w:r>
        <w:t>s</w:t>
      </w:r>
      <w:r>
        <w:t>ka gemenskaperna eller för deras räkning minskas på ett olagligt sätt,</w:t>
      </w:r>
    </w:p>
    <w:p w:rsidR="00085B04" w:rsidRDefault="00085B04">
      <w:r>
        <w:t>– undanhållande av information som skall lämnas i enlighet med särskilda föreskrifter, om gä</w:t>
      </w:r>
      <w:r>
        <w:t>r</w:t>
      </w:r>
      <w:r>
        <w:t>ningen har samma effekt,</w:t>
      </w:r>
    </w:p>
    <w:p w:rsidR="00085B04" w:rsidRDefault="00085B04">
      <w:r>
        <w:t>– missbruk av en förmån som lagligen erhållits, om gärningen har samma effekt.</w:t>
      </w:r>
    </w:p>
    <w:p w:rsidR="00085B04" w:rsidRDefault="00085B04">
      <w:r>
        <w:t>2. Om inte annat följer av artikel 2.2 skall varje medlemsstat vidta nöd</w:t>
      </w:r>
      <w:r>
        <w:softHyphen/>
        <w:t>vändiga och lämpliga åtgärder för att överföra bestämmelserna i punkt 1 till den nationella straffrätten så att de förfaranden som avses där beläggs med straff.</w:t>
      </w:r>
    </w:p>
    <w:p w:rsidR="00085B04" w:rsidRDefault="00085B04">
      <w:r>
        <w:t>3. Om inte annat följer av artikel 2.2 skall varje medlemsstat också vidta nödvändiga åtgärder för att uppsåtligt upprättande eller uppsåtligt tillhand</w:t>
      </w:r>
      <w:r>
        <w:t>a</w:t>
      </w:r>
      <w:r>
        <w:t>hållande av falska, felaktiga eller ofullständiga uppgifter eller dokument som har den effekt som anges i punkt 1, beläggs med straff om gärningarna inte redan är straffbelagda, antingen som gärningsmannaskap eller som medhjälp, anstiftan eller försök till bedrägeri enligt definitionen i punkt 1.</w:t>
      </w:r>
    </w:p>
    <w:p w:rsidR="00085B04" w:rsidRDefault="00085B04">
      <w:r>
        <w:t>4. Bedömningen av om en handling eller underlåtenhet enligt punkterna 1 och 3 varit uppsåtlig får göras mot bakgrund av yttre faktiska omständigh</w:t>
      </w:r>
      <w:r>
        <w:t>e</w:t>
      </w:r>
      <w:r>
        <w:t>ter.</w:t>
      </w:r>
    </w:p>
    <w:p w:rsidR="00085B04" w:rsidRDefault="00085B04">
      <w:pPr>
        <w:pStyle w:val="Rubrik4"/>
        <w:jc w:val="center"/>
      </w:pPr>
      <w:bookmarkStart w:id="70" w:name="_Toc445710220"/>
      <w:bookmarkStart w:id="71" w:name="_Toc446307449"/>
      <w:r>
        <w:t>Artikel 2</w:t>
      </w:r>
      <w:bookmarkEnd w:id="70"/>
      <w:bookmarkEnd w:id="71"/>
    </w:p>
    <w:p w:rsidR="00085B04" w:rsidRDefault="00085B04">
      <w:pPr>
        <w:pStyle w:val="Rubrik3"/>
        <w:spacing w:before="123"/>
        <w:jc w:val="center"/>
      </w:pPr>
      <w:bookmarkStart w:id="72" w:name="_Toc445710221"/>
      <w:bookmarkStart w:id="73" w:name="_Toc446307450"/>
      <w:r>
        <w:t>Straffrättsliga påföljder</w:t>
      </w:r>
      <w:bookmarkEnd w:id="72"/>
      <w:bookmarkEnd w:id="73"/>
    </w:p>
    <w:p w:rsidR="00085B04" w:rsidRDefault="00085B04">
      <w:r>
        <w:t>1. Varje medlemsstat skall vidta de åtgärder som är nödvändiga för att såd</w:t>
      </w:r>
      <w:r>
        <w:t>a</w:t>
      </w:r>
      <w:r>
        <w:t>na förfaranden som avses i artikel l, liksom medhjälp, anstiftan eller försök till de gärningar som avses i artikel 1.1, beläggs med effektiva, proporti</w:t>
      </w:r>
      <w:r>
        <w:t>o</w:t>
      </w:r>
      <w:r>
        <w:t>nella och avskräckande straffrättsliga påföljder, däribland, åtminstone i al</w:t>
      </w:r>
      <w:r>
        <w:t>l</w:t>
      </w:r>
      <w:r>
        <w:t>varliga fall, frihetsberövande påföljder som kan medföra utlämning, varvid det står klart att med allvarliga fall</w:t>
      </w:r>
      <w:r>
        <w:rPr>
          <w:rStyle w:val="Fotnotsreferens"/>
          <w:sz w:val="17"/>
        </w:rPr>
        <w:footnoteReference w:customMarkFollows="1" w:id="3"/>
        <w:t>*</w:t>
      </w:r>
      <w:r>
        <w:t xml:space="preserve"> menas de bedrägerier som rör minst det minimibelopp som varje medlemsstat fastställt. Detta minimibelopp får inte öve</w:t>
      </w:r>
      <w:r>
        <w:t>r</w:t>
      </w:r>
      <w:r>
        <w:t>stiga 50 000 ecu.</w:t>
      </w:r>
    </w:p>
    <w:p w:rsidR="00085B04" w:rsidRDefault="00085B04">
      <w:r>
        <w:t>2. När det är fråga om mindre allvarliga bedrägerier som avser värden unde</w:t>
      </w:r>
      <w:r>
        <w:t>r</w:t>
      </w:r>
      <w:r>
        <w:t>stigande 4 000 ecu och när det inte föreligger några försvårande omständi</w:t>
      </w:r>
      <w:r>
        <w:t>g</w:t>
      </w:r>
      <w:r>
        <w:t>heter enligt statens lagstiftning kan en medlemsstat dock föreskriva andra påföljder än de som anges i punkt 1.</w:t>
      </w:r>
    </w:p>
    <w:p w:rsidR="00085B04" w:rsidRDefault="00085B04">
      <w:r>
        <w:t>3. Europeiska unionens råd kan enhälligt ändra den värdegräns som anges i punkt 2.</w:t>
      </w:r>
    </w:p>
    <w:p w:rsidR="00085B04" w:rsidRDefault="00085B04">
      <w:pPr>
        <w:pStyle w:val="Rubrik4"/>
        <w:jc w:val="center"/>
      </w:pPr>
      <w:bookmarkStart w:id="74" w:name="_Toc445710222"/>
      <w:bookmarkStart w:id="75" w:name="_Toc446307451"/>
      <w:r>
        <w:t>Artikel 3</w:t>
      </w:r>
      <w:bookmarkEnd w:id="74"/>
      <w:bookmarkEnd w:id="75"/>
    </w:p>
    <w:p w:rsidR="00085B04" w:rsidRDefault="00085B04">
      <w:pPr>
        <w:pStyle w:val="Rubrik3"/>
        <w:spacing w:before="123"/>
        <w:jc w:val="center"/>
      </w:pPr>
      <w:bookmarkStart w:id="76" w:name="_Toc445710223"/>
      <w:bookmarkStart w:id="77" w:name="_Toc446307452"/>
      <w:r>
        <w:t>Straffrättsligt ansvar för företagsledare</w:t>
      </w:r>
      <w:bookmarkEnd w:id="76"/>
      <w:bookmarkEnd w:id="77"/>
    </w:p>
    <w:p w:rsidR="00085B04" w:rsidRDefault="00085B04">
      <w:r>
        <w:t>Varje medlemsstat skall vidta nödvändiga åtgärder för att företagsledare eller andra personer med befogenhet att fatta beslut eller utöva kontroll inom företaget skall kunna hållas straffrättsligt ansvariga enligt de principer som anges i den nationella rätten, i fråga om bedrägerier som riktar sig mot Eur</w:t>
      </w:r>
      <w:r>
        <w:t>o</w:t>
      </w:r>
      <w:r>
        <w:t>peiska gemenskapernas finansiella intressen och som avses i artikel 1, om gärningen har begåtts för företagets räkning av en person som är underställd dem.</w:t>
      </w:r>
    </w:p>
    <w:p w:rsidR="00085B04" w:rsidRDefault="00085B04">
      <w:pPr>
        <w:pStyle w:val="Rubrik4"/>
        <w:jc w:val="center"/>
      </w:pPr>
      <w:bookmarkStart w:id="78" w:name="_Toc445710224"/>
      <w:bookmarkStart w:id="79" w:name="_Toc446307453"/>
      <w:r>
        <w:t>Artikel 4</w:t>
      </w:r>
      <w:bookmarkEnd w:id="78"/>
      <w:bookmarkEnd w:id="79"/>
    </w:p>
    <w:p w:rsidR="00085B04" w:rsidRDefault="00085B04">
      <w:pPr>
        <w:pStyle w:val="Rubrik3"/>
        <w:spacing w:before="123"/>
        <w:jc w:val="center"/>
      </w:pPr>
      <w:bookmarkStart w:id="80" w:name="_Toc445710225"/>
      <w:bookmarkStart w:id="81" w:name="_Toc446307454"/>
      <w:r>
        <w:t>Jurisdiktion</w:t>
      </w:r>
      <w:bookmarkEnd w:id="80"/>
      <w:bookmarkEnd w:id="81"/>
    </w:p>
    <w:p w:rsidR="00085B04" w:rsidRDefault="00085B04">
      <w:r>
        <w:t>l. Varje medlemsstat skall vidta nödvändiga åtgärder för att kunna utöva jurisdiktion över de gärningar som staten har belagt med straff i enlighet med artikel 1 och artikel 2.1 när</w:t>
      </w:r>
      <w:r>
        <w:rPr>
          <w:rStyle w:val="Fotnotsreferens"/>
        </w:rPr>
        <w:footnoteReference w:customMarkFollows="1" w:id="4"/>
        <w:t>*</w:t>
      </w:r>
    </w:p>
    <w:p w:rsidR="00085B04" w:rsidRDefault="00085B04">
      <w:r>
        <w:t>– bedrägeri, delaktighet i eller försök till bedrägeri mot Europeiska geme</w:t>
      </w:r>
      <w:r>
        <w:t>n</w:t>
      </w:r>
      <w:r>
        <w:t>skapernas finansiella intressen helt eller delvis begås inom dess territorium liksom bedrägeri där vinningen uppko</w:t>
      </w:r>
      <w:r>
        <w:t>m</w:t>
      </w:r>
      <w:r>
        <w:t>mer inom det territoriet,</w:t>
      </w:r>
    </w:p>
    <w:p w:rsidR="00085B04" w:rsidRDefault="00085B04">
      <w:r>
        <w:t>– en person inom dess territorium medvetet medverkar till eller anstiftar sådant bedr</w:t>
      </w:r>
      <w:r>
        <w:t>ä</w:t>
      </w:r>
      <w:r>
        <w:t>geri inom en annan medlemsstats territorium,</w:t>
      </w:r>
    </w:p>
    <w:p w:rsidR="00085B04" w:rsidRDefault="00085B04">
      <w:r>
        <w:t>– gärningsmannen är medborgare i den berörda medlemsstaten varvid dock den statens lagstiftning får ställa som villkor att gärningen är belagd med straff i den stat där den begicks.</w:t>
      </w:r>
    </w:p>
    <w:p w:rsidR="00085B04" w:rsidRDefault="00085B04">
      <w:r>
        <w:t>2. Varje medlemsstat får, i samband med anmälan enligt artikel 11.2, förklara att den inte avser att tillämpa tredje strecksatsen i punkt 1 i de</w:t>
      </w:r>
      <w:r>
        <w:t>n</w:t>
      </w:r>
      <w:r>
        <w:t>na artikel.</w:t>
      </w:r>
    </w:p>
    <w:p w:rsidR="00085B04" w:rsidRDefault="00085B04">
      <w:pPr>
        <w:pStyle w:val="Rubrik4"/>
        <w:jc w:val="center"/>
      </w:pPr>
      <w:bookmarkStart w:id="82" w:name="_Toc445710226"/>
      <w:bookmarkStart w:id="83" w:name="_Toc446307455"/>
      <w:r>
        <w:t>Artikel 5</w:t>
      </w:r>
      <w:bookmarkEnd w:id="82"/>
      <w:bookmarkEnd w:id="83"/>
    </w:p>
    <w:p w:rsidR="00085B04" w:rsidRDefault="00085B04">
      <w:pPr>
        <w:pStyle w:val="Rubrik3"/>
        <w:spacing w:before="123"/>
        <w:jc w:val="center"/>
      </w:pPr>
      <w:bookmarkStart w:id="84" w:name="_Toc445710227"/>
      <w:bookmarkStart w:id="85" w:name="_Toc446307456"/>
      <w:r>
        <w:t>Utlämning och åtal</w:t>
      </w:r>
      <w:bookmarkEnd w:id="84"/>
      <w:bookmarkEnd w:id="85"/>
    </w:p>
    <w:p w:rsidR="00085B04" w:rsidRDefault="00085B04">
      <w:r>
        <w:t>1. Varje medlemsstat som enligt sin nationella lagstiftning inte utlämnar sina egna medborgare skall vidta nödvändiga åtgärder för att kunna utöva juri</w:t>
      </w:r>
      <w:r>
        <w:t>s</w:t>
      </w:r>
      <w:r>
        <w:t>diktion i fråga om gärningar som staten har belagt med straff i enlighet med artikel 1 och artikel 2.1</w:t>
      </w:r>
      <w:r>
        <w:rPr>
          <w:rStyle w:val="Fotnotsreferens"/>
        </w:rPr>
        <w:footnoteReference w:customMarkFollows="1" w:id="5"/>
        <w:t>*</w:t>
      </w:r>
      <w:r>
        <w:t xml:space="preserve"> och som begåtts av dess egna medborgare utanför dess territorium.</w:t>
      </w:r>
    </w:p>
    <w:p w:rsidR="00085B04" w:rsidRDefault="00085B04">
      <w:r>
        <w:t>2. När en medborgare i en medlemsstat anklagas för att i en annan medlem</w:t>
      </w:r>
      <w:r>
        <w:t>s</w:t>
      </w:r>
      <w:r>
        <w:t>stat ha begått en straffbar gärning som beskrivs i artikel 1 och artikel 2.1</w:t>
      </w:r>
      <w:r>
        <w:rPr>
          <w:rStyle w:val="Fotnotsreferens"/>
        </w:rPr>
        <w:footnoteReference w:customMarkFollows="1" w:id="6"/>
        <w:t>*</w:t>
      </w:r>
      <w:r>
        <w:t>, och medlemsstaten inte utlämnar denna person till den andra medlemsstaten enbart på grund av dennes medborgarskap, skall den överlämna ärendet till sina behöriga myndigheter för åtal, om det finns anledning till detta. För att göra lagföring möjlig skall akter, upplysningar och föremål som rör gärnin</w:t>
      </w:r>
      <w:r>
        <w:t>g</w:t>
      </w:r>
      <w:r>
        <w:t>en överlämnas i enlighet med bestämmelserna i artikel 6 i den europeiska konventionen om utlämning. Den ansökande medlemsstaten skall underrättas om vilka rättsliga åtgärder som har vidtagits och resultatet a</w:t>
      </w:r>
      <w:r>
        <w:t>v dessa.</w:t>
      </w:r>
    </w:p>
    <w:p w:rsidR="00085B04" w:rsidRDefault="00085B04">
      <w:r>
        <w:t>3. I fråga om bedrägeri som har riktat sig mot Europeiska gemen</w:t>
      </w:r>
      <w:r>
        <w:softHyphen/>
        <w:t>skapernas finansiella intressen får en medlemsstat inte vägra utlämning enbart på den grunden att det rör sig om skattebrott eller brott mot tullbestämmelser.</w:t>
      </w:r>
    </w:p>
    <w:p w:rsidR="00085B04" w:rsidRDefault="00085B04">
      <w:r>
        <w:t>4. Vad som avses med "medlemsstats egna medborgare" skall i denna artikel tolkas i enlighet med varje förklaring som den staten har lämnat enligt artikel 6.1 b) och c) i den europeiska ko</w:t>
      </w:r>
      <w:r>
        <w:t>n</w:t>
      </w:r>
      <w:r>
        <w:t>ventionen om utlämning.</w:t>
      </w:r>
    </w:p>
    <w:p w:rsidR="00085B04" w:rsidRDefault="00085B04">
      <w:pPr>
        <w:pStyle w:val="Rubrik4"/>
        <w:jc w:val="center"/>
      </w:pPr>
      <w:bookmarkStart w:id="86" w:name="_Toc445710228"/>
      <w:bookmarkStart w:id="87" w:name="_Toc446307457"/>
      <w:r>
        <w:t>Artikel 6</w:t>
      </w:r>
      <w:bookmarkEnd w:id="86"/>
      <w:bookmarkEnd w:id="87"/>
    </w:p>
    <w:p w:rsidR="00085B04" w:rsidRDefault="00085B04">
      <w:pPr>
        <w:pStyle w:val="Rubrik3"/>
        <w:spacing w:before="123"/>
        <w:jc w:val="center"/>
      </w:pPr>
      <w:bookmarkStart w:id="88" w:name="_Toc445710229"/>
      <w:bookmarkStart w:id="89" w:name="_Toc446307458"/>
      <w:r>
        <w:t>Samarbete</w:t>
      </w:r>
      <w:bookmarkEnd w:id="88"/>
      <w:bookmarkEnd w:id="89"/>
    </w:p>
    <w:p w:rsidR="00085B04" w:rsidRDefault="00085B04">
      <w:r>
        <w:t>1. Om ett bedrägeri enligt definitionen i artikel 1 är belagt med straff och rör minst två medlemsstater, skall dessa stater samarbeta effektivt vid förunde</w:t>
      </w:r>
      <w:r>
        <w:t>r</w:t>
      </w:r>
      <w:r>
        <w:t>sökning, lagföring och straffverkställighet, t.ex. genom inbördes rättshjälp, utlämning, överförande av lagföring eller verkställighet av domar som har meddelats i en annan medlemsstat.</w:t>
      </w:r>
    </w:p>
    <w:p w:rsidR="00085B04" w:rsidRDefault="00085B04">
      <w:r>
        <w:t>2. När fler än en medlemsstat har jurisdiktion och har möjlighet att väcka åtal för samma gärning, skall de berörda medlemsstaterna samarbeta för att avg</w:t>
      </w:r>
      <w:r>
        <w:t>ö</w:t>
      </w:r>
      <w:r>
        <w:t>ra vem av dem som skall lagföra gärningsmannen eller gärningsmännen så att lagföringen, där det är möjligt, kan ske i en och samma medlemsstat.</w:t>
      </w:r>
    </w:p>
    <w:p w:rsidR="00085B04" w:rsidRDefault="00085B04">
      <w:pPr>
        <w:pStyle w:val="Rubrik4"/>
        <w:jc w:val="center"/>
      </w:pPr>
      <w:bookmarkStart w:id="90" w:name="_Toc445710230"/>
      <w:bookmarkStart w:id="91" w:name="_Toc446307459"/>
      <w:r>
        <w:t>Artikel 7</w:t>
      </w:r>
      <w:bookmarkEnd w:id="90"/>
      <w:bookmarkEnd w:id="91"/>
    </w:p>
    <w:p w:rsidR="00085B04" w:rsidRDefault="00085B04">
      <w:pPr>
        <w:pStyle w:val="Rubrik3"/>
        <w:spacing w:before="123"/>
        <w:jc w:val="center"/>
      </w:pPr>
      <w:bookmarkStart w:id="92" w:name="_Toc445710231"/>
      <w:bookmarkStart w:id="93" w:name="_Toc446307460"/>
      <w:r>
        <w:t>Ne bis in idem</w:t>
      </w:r>
      <w:bookmarkEnd w:id="92"/>
      <w:bookmarkEnd w:id="93"/>
    </w:p>
    <w:p w:rsidR="00085B04" w:rsidRDefault="00085B04">
      <w:r>
        <w:t>1. Medlemsstaterna skall i sin nationella straffrättsliga lagstiftning tillämpa principen att en person som slutligt dömts i en medlemsstat inte får lagföras för samma gärning i en annan medlemsstat ("ne bis in idem"), om påföljden – vid fällande dom – har verkställts, håller på att verkställas eller inte längre kan verkställas enligt det döma</w:t>
      </w:r>
      <w:r>
        <w:t>n</w:t>
      </w:r>
      <w:r>
        <w:t>de landets lag.</w:t>
      </w:r>
    </w:p>
    <w:p w:rsidR="00085B04" w:rsidRDefault="00085B04">
      <w:r>
        <w:t>2. Varje medlemsstat får, i samband med anmälan enligt artikel 11.2, förklara att den inte skall vara bunden av punkt 1 i denna artikel i ett eller flera av följande fall:</w:t>
      </w:r>
    </w:p>
    <w:p w:rsidR="00085B04" w:rsidRDefault="00085B04">
      <w:r>
        <w:t>a) om den gärning som har legat till grund för den dom som har meddelats i en annan stat begåtts inom medlemsstatens territorium, helt eller delvis; i det senare fallet skall detta undantag inte gälla om gärningen delvis har begåtts inom den medlemsstats territorium där domen har me</w:t>
      </w:r>
      <w:r>
        <w:t>d</w:t>
      </w:r>
      <w:r>
        <w:t>delats,</w:t>
      </w:r>
    </w:p>
    <w:p w:rsidR="00085B04" w:rsidRDefault="00085B04">
      <w:r>
        <w:t>b) om den gärning som har legat till grund för den dom som har meddelats i en annan stat har riktats mot den medlemsstatens säkerhet eller andra för den staten lika viktiga intressen,</w:t>
      </w:r>
    </w:p>
    <w:p w:rsidR="00085B04" w:rsidRDefault="00085B04">
      <w:r>
        <w:t>c) om den gärning som har legat till grund för den dom som har meddelats i en annan stat har begåtts av en offentlig tjänsteman i medlemsstaten i fråga i strid med dennes tjänsteåligganden.</w:t>
      </w:r>
    </w:p>
    <w:p w:rsidR="00085B04" w:rsidRDefault="00085B04">
      <w:r>
        <w:t>3. De undantag som gjorts till föremål för en förklaring enligt punkt 2 skall inte vara tillämpliga, om den berörda medlemsstaten på grund av samma gärning har begärt att en annan medlemsstat skall lagföra personen i fråga eller har beviljat utlämning av de</w:t>
      </w:r>
      <w:r>
        <w:t>n</w:t>
      </w:r>
      <w:r>
        <w:t>ne.</w:t>
      </w:r>
    </w:p>
    <w:p w:rsidR="00085B04" w:rsidRDefault="00085B04">
      <w:r>
        <w:t>4. Tillämpliga bilaterala eller multilaterala överenskommelser som har i</w:t>
      </w:r>
      <w:r>
        <w:t>n</w:t>
      </w:r>
      <w:r>
        <w:t>gåtts mellan medlemsstater och därtill hörande förklaringar påverkas inte av denna artikel.</w:t>
      </w:r>
    </w:p>
    <w:p w:rsidR="00085B04" w:rsidRDefault="00085B04">
      <w:pPr>
        <w:pStyle w:val="Rubrik4"/>
        <w:jc w:val="center"/>
      </w:pPr>
      <w:bookmarkStart w:id="94" w:name="_Toc445710232"/>
      <w:bookmarkStart w:id="95" w:name="_Toc446307461"/>
      <w:r>
        <w:t>Artikel 8</w:t>
      </w:r>
      <w:bookmarkEnd w:id="94"/>
      <w:bookmarkEnd w:id="95"/>
    </w:p>
    <w:p w:rsidR="00085B04" w:rsidRDefault="00085B04">
      <w:pPr>
        <w:pStyle w:val="Rubrik3"/>
        <w:spacing w:before="123"/>
        <w:jc w:val="center"/>
      </w:pPr>
      <w:bookmarkStart w:id="96" w:name="_Toc445710233"/>
      <w:bookmarkStart w:id="97" w:name="_Toc446307462"/>
      <w:r>
        <w:t>Domstolen</w:t>
      </w:r>
      <w:bookmarkEnd w:id="96"/>
      <w:bookmarkEnd w:id="97"/>
    </w:p>
    <w:p w:rsidR="00085B04" w:rsidRDefault="00085B04">
      <w:r>
        <w:t>1. Alla tvister mellan medlemsstater om tolkningen eller tillämpningen av denna konvention skall först behandlas i rådet, enligt det förfarande som föreskrivs i avdelning VI i Fördraget om Europeiska unionen, i avsikt att uppnå en lösning.</w:t>
      </w:r>
    </w:p>
    <w:p w:rsidR="00085B04" w:rsidRDefault="00085B04">
      <w:r>
        <w:t>Om ingen lösning har uppnåtts inom sex månader kan en av parterna i tvisten överlämna frågan till Europeiska g</w:t>
      </w:r>
      <w:r>
        <w:t>e</w:t>
      </w:r>
      <w:r>
        <w:t>menskapernas domstol.</w:t>
      </w:r>
    </w:p>
    <w:p w:rsidR="00085B04" w:rsidRDefault="00085B04">
      <w:r>
        <w:t>2. Alla tvister mellan en eller flera medlemsstater och Europeiska gemensk</w:t>
      </w:r>
      <w:r>
        <w:t>a</w:t>
      </w:r>
      <w:r>
        <w:t>pernas kommission om tillämpningen av artikel 1 och 10 i</w:t>
      </w:r>
      <w:r>
        <w:rPr>
          <w:rStyle w:val="Fotnotsreferens"/>
        </w:rPr>
        <w:footnoteReference w:customMarkFollows="1" w:id="7"/>
        <w:t>*</w:t>
      </w:r>
      <w:r>
        <w:t xml:space="preserve"> denna konvention som inte ku</w:t>
      </w:r>
      <w:r>
        <w:t>n</w:t>
      </w:r>
      <w:r>
        <w:t>nat lösas genom förhandling kan hänskjutas till domstolen.</w:t>
      </w:r>
    </w:p>
    <w:p w:rsidR="00085B04" w:rsidRDefault="00085B04">
      <w:pPr>
        <w:pStyle w:val="Rubrik4"/>
        <w:jc w:val="center"/>
      </w:pPr>
      <w:bookmarkStart w:id="98" w:name="_Toc445710234"/>
      <w:bookmarkStart w:id="99" w:name="_Toc446307463"/>
      <w:r>
        <w:t>Artikel 9</w:t>
      </w:r>
      <w:bookmarkEnd w:id="98"/>
      <w:bookmarkEnd w:id="99"/>
    </w:p>
    <w:p w:rsidR="00085B04" w:rsidRDefault="00085B04">
      <w:pPr>
        <w:pStyle w:val="Rubrik3"/>
        <w:spacing w:before="123"/>
        <w:jc w:val="center"/>
      </w:pPr>
      <w:bookmarkStart w:id="100" w:name="_Toc445710235"/>
      <w:bookmarkStart w:id="101" w:name="_Toc446307464"/>
      <w:r>
        <w:t>Nationella föreskrifter</w:t>
      </w:r>
      <w:bookmarkEnd w:id="100"/>
      <w:bookmarkEnd w:id="101"/>
    </w:p>
    <w:p w:rsidR="00085B04" w:rsidRDefault="00085B04">
      <w:r>
        <w:t>Bestämmelserna i denna konvention hindrar inte medlemsstaterna från att besluta om nationella föreskrifter som går utöver de skyldigheter som följer av denna konve</w:t>
      </w:r>
      <w:r>
        <w:t>n</w:t>
      </w:r>
      <w:r>
        <w:t>tion.</w:t>
      </w:r>
    </w:p>
    <w:p w:rsidR="00085B04" w:rsidRDefault="00085B04">
      <w:pPr>
        <w:pStyle w:val="Rubrik4"/>
        <w:jc w:val="center"/>
      </w:pPr>
      <w:bookmarkStart w:id="102" w:name="_Toc445710236"/>
      <w:bookmarkStart w:id="103" w:name="_Toc446307465"/>
      <w:r>
        <w:t>Artikel 10</w:t>
      </w:r>
      <w:bookmarkEnd w:id="102"/>
      <w:bookmarkEnd w:id="103"/>
    </w:p>
    <w:p w:rsidR="00085B04" w:rsidRDefault="00085B04">
      <w:pPr>
        <w:pStyle w:val="Rubrik3"/>
        <w:spacing w:before="123"/>
        <w:jc w:val="center"/>
      </w:pPr>
      <w:bookmarkStart w:id="104" w:name="_Toc445710237"/>
      <w:bookmarkStart w:id="105" w:name="_Toc446307466"/>
      <w:r>
        <w:t>Överlämnande av information</w:t>
      </w:r>
      <w:bookmarkEnd w:id="104"/>
      <w:bookmarkEnd w:id="105"/>
    </w:p>
    <w:p w:rsidR="00085B04" w:rsidRDefault="00085B04">
      <w:r>
        <w:t>1. Medlemsstaterna skall till Europeiska gemenskapernas kommission öve</w:t>
      </w:r>
      <w:r>
        <w:t>r</w:t>
      </w:r>
      <w:r>
        <w:t>lämna texterna till den nationella lagstiftning som genomför de skyldigheter som följer av bestä</w:t>
      </w:r>
      <w:r>
        <w:t>m</w:t>
      </w:r>
      <w:r>
        <w:t>melserna i denna konvention.</w:t>
      </w:r>
    </w:p>
    <w:p w:rsidR="00085B04" w:rsidRDefault="00085B04">
      <w:r>
        <w:t>2. För tillämpningen av denna konvention skall de höga fördragsslutande parterna i Europeiska unionens råd fastställa vilka uppgifter som skall öve</w:t>
      </w:r>
      <w:r>
        <w:t>r</w:t>
      </w:r>
      <w:r>
        <w:t>lämnas eller utväxlas mellan medlemsstaterna, eller mellan dem och ko</w:t>
      </w:r>
      <w:r>
        <w:t>m</w:t>
      </w:r>
      <w:r>
        <w:t>missionen samt hur detta skall ske.</w:t>
      </w:r>
    </w:p>
    <w:p w:rsidR="00085B04" w:rsidRDefault="00085B04">
      <w:pPr>
        <w:pStyle w:val="Rubrik4"/>
        <w:jc w:val="center"/>
      </w:pPr>
      <w:bookmarkStart w:id="106" w:name="_Toc445710238"/>
      <w:bookmarkStart w:id="107" w:name="_Toc446307467"/>
      <w:r>
        <w:t>Artikel 11</w:t>
      </w:r>
      <w:bookmarkEnd w:id="106"/>
      <w:bookmarkEnd w:id="107"/>
    </w:p>
    <w:p w:rsidR="00085B04" w:rsidRDefault="00085B04">
      <w:pPr>
        <w:pStyle w:val="Rubrik3"/>
        <w:spacing w:before="123"/>
        <w:jc w:val="center"/>
      </w:pPr>
      <w:bookmarkStart w:id="108" w:name="_Toc445710239"/>
      <w:bookmarkStart w:id="109" w:name="_Toc446307468"/>
      <w:r>
        <w:t>Ikraftträdande</w:t>
      </w:r>
      <w:bookmarkEnd w:id="108"/>
      <w:bookmarkEnd w:id="109"/>
    </w:p>
    <w:p w:rsidR="00085B04" w:rsidRDefault="00085B04">
      <w:r>
        <w:t>l. Denna konvention skall antas av medlemsstaterna i enlighet med deras konstituti</w:t>
      </w:r>
      <w:r>
        <w:t>o</w:t>
      </w:r>
      <w:r>
        <w:t>nella bestämmelser.</w:t>
      </w:r>
    </w:p>
    <w:p w:rsidR="00085B04" w:rsidRDefault="00085B04">
      <w:r>
        <w:t>2. Medlemsstaterna skall till generalsekreteraren för Europeiska unionens råd anmäla att de har genomfört de förfaranden som deras konstitutionella b</w:t>
      </w:r>
      <w:r>
        <w:t>e</w:t>
      </w:r>
      <w:r>
        <w:t>stämmelser kräver för att denna konvention skall kunna antas.</w:t>
      </w:r>
    </w:p>
    <w:p w:rsidR="00085B04" w:rsidRDefault="00085B04">
      <w:r>
        <w:t>3. Denna konvention träder i kraft nittio dagar efter det att den sista me</w:t>
      </w:r>
      <w:r>
        <w:t>d</w:t>
      </w:r>
      <w:r>
        <w:t>lemsstaten har gjort en sådan anmälan som avses i punkt 2.</w:t>
      </w:r>
    </w:p>
    <w:p w:rsidR="00085B04" w:rsidRDefault="00085B04">
      <w:pPr>
        <w:pStyle w:val="Rubrik4"/>
        <w:jc w:val="center"/>
      </w:pPr>
      <w:bookmarkStart w:id="110" w:name="_Toc445710240"/>
      <w:bookmarkStart w:id="111" w:name="_Toc446307469"/>
      <w:r>
        <w:t>Artikel 12</w:t>
      </w:r>
      <w:bookmarkEnd w:id="110"/>
      <w:bookmarkEnd w:id="111"/>
    </w:p>
    <w:p w:rsidR="00085B04" w:rsidRDefault="00085B04">
      <w:pPr>
        <w:pStyle w:val="Rubrik3"/>
        <w:spacing w:before="123"/>
        <w:jc w:val="center"/>
      </w:pPr>
      <w:bookmarkStart w:id="112" w:name="_Toc445710241"/>
      <w:bookmarkStart w:id="113" w:name="_Toc446307470"/>
      <w:r>
        <w:t>Anslutning</w:t>
      </w:r>
      <w:bookmarkEnd w:id="112"/>
      <w:bookmarkEnd w:id="113"/>
    </w:p>
    <w:p w:rsidR="00085B04" w:rsidRDefault="00085B04">
      <w:r>
        <w:t>1. Denna konvention står öppen för anslutning för varje stat som blir medlem i Europ</w:t>
      </w:r>
      <w:r>
        <w:t>e</w:t>
      </w:r>
      <w:r>
        <w:t>iska unionen.</w:t>
      </w:r>
    </w:p>
    <w:p w:rsidR="00085B04" w:rsidRDefault="00085B04">
      <w:r>
        <w:t>2. Texten till denna konvention, avfattad på den anslutande statens språk och uta</w:t>
      </w:r>
      <w:r>
        <w:t>r</w:t>
      </w:r>
      <w:r>
        <w:t>betad av Europeiska unionens råd, skall vara giltig.</w:t>
      </w:r>
    </w:p>
    <w:p w:rsidR="00085B04" w:rsidRDefault="00085B04">
      <w:r>
        <w:t>3. Anslutningsinstrumenten skall deponeras hos deposit</w:t>
      </w:r>
      <w:r>
        <w:t>a</w:t>
      </w:r>
      <w:r>
        <w:t>rien.</w:t>
      </w:r>
    </w:p>
    <w:p w:rsidR="00085B04" w:rsidRDefault="00085B04">
      <w:r>
        <w:t>4. För en stat som ansluter sig till konventionen träder denna i kraft nittio dagar efter depositionen av anslutningsinstrumentet, eller, om den ännu inte har trätt i kraft då denna period löper ut, den dag då konventionen träder i kraft.</w:t>
      </w:r>
    </w:p>
    <w:p w:rsidR="00085B04" w:rsidRDefault="00085B04">
      <w:pPr>
        <w:pStyle w:val="Rubrik4"/>
        <w:jc w:val="center"/>
      </w:pPr>
      <w:bookmarkStart w:id="114" w:name="_Toc445710242"/>
      <w:bookmarkStart w:id="115" w:name="_Toc446307471"/>
      <w:r>
        <w:t>Artikel 13</w:t>
      </w:r>
      <w:bookmarkEnd w:id="114"/>
      <w:bookmarkEnd w:id="115"/>
    </w:p>
    <w:p w:rsidR="00085B04" w:rsidRDefault="00085B04">
      <w:pPr>
        <w:pStyle w:val="Rubrik3"/>
        <w:spacing w:before="123"/>
        <w:jc w:val="center"/>
      </w:pPr>
      <w:bookmarkStart w:id="116" w:name="_Toc445710243"/>
      <w:bookmarkStart w:id="117" w:name="_Toc446307472"/>
      <w:r>
        <w:t>Depositarien</w:t>
      </w:r>
      <w:bookmarkEnd w:id="116"/>
      <w:bookmarkEnd w:id="117"/>
    </w:p>
    <w:p w:rsidR="00085B04" w:rsidRDefault="00085B04">
      <w:r>
        <w:t>1. Generalsekreteraren för Europeiska unionens råd är depositarie för denna ko</w:t>
      </w:r>
      <w:r>
        <w:t>n</w:t>
      </w:r>
      <w:r>
        <w:t>vention.</w:t>
      </w:r>
    </w:p>
    <w:p w:rsidR="00085B04" w:rsidRDefault="00085B04">
      <w:r>
        <w:t>2. Depositarien skall i</w:t>
      </w:r>
      <w:r>
        <w:rPr>
          <w:i/>
        </w:rPr>
        <w:t xml:space="preserve"> Europeiska gemenskapernas officiella tidning </w:t>
      </w:r>
      <w:r>
        <w:t>offen</w:t>
      </w:r>
      <w:r>
        <w:t>t</w:t>
      </w:r>
      <w:r>
        <w:t>liggöra antaganden och anslutningar, förklaringar och reservationer liksom alla andra anmä</w:t>
      </w:r>
      <w:r>
        <w:t>l</w:t>
      </w:r>
      <w:r>
        <w:t>ningar som rör denna konvention.</w:t>
      </w:r>
    </w:p>
    <w:p w:rsidR="00085B04" w:rsidRDefault="00085B04"/>
    <w:p w:rsidR="00085B04" w:rsidRDefault="00085B04">
      <w:pPr>
        <w:pStyle w:val="Propbilaga"/>
        <w:rPr>
          <w:b/>
          <w:sz w:val="48"/>
        </w:rPr>
        <w:sectPr w:rsidR="00000000">
          <w:headerReference w:type="default" r:id="rId14"/>
          <w:footerReference w:type="default" r:id="rId15"/>
          <w:pgSz w:w="11906" w:h="16838" w:code="9"/>
          <w:pgMar w:top="567" w:right="4876" w:bottom="4508" w:left="1134" w:header="227" w:footer="227" w:gutter="0"/>
          <w:cols w:space="720"/>
        </w:sectPr>
      </w:pPr>
    </w:p>
    <w:p w:rsidR="00085B04" w:rsidRDefault="00085B04">
      <w:pPr>
        <w:pStyle w:val="Rubrik1"/>
        <w:spacing w:before="0"/>
      </w:pPr>
      <w:bookmarkStart w:id="118" w:name="_Toc438865953"/>
      <w:bookmarkStart w:id="119" w:name="_Toc446307473"/>
      <w:r>
        <w:t>Protokollet till bedrägerikonventionen</w:t>
      </w:r>
      <w:bookmarkEnd w:id="118"/>
      <w:bookmarkEnd w:id="119"/>
    </w:p>
    <w:p w:rsidR="00085B04" w:rsidRDefault="00085B04">
      <w:pPr>
        <w:pStyle w:val="Rubrik4"/>
        <w:spacing w:before="123"/>
        <w:jc w:val="center"/>
      </w:pPr>
      <w:bookmarkStart w:id="120" w:name="_Toc445710245"/>
      <w:bookmarkStart w:id="121" w:name="_Toc446307474"/>
      <w:r>
        <w:t>(Rättsakter som antagits med tillämpning av avdelning VI i Fördraget om Europeiska unionen)</w:t>
      </w:r>
      <w:bookmarkEnd w:id="120"/>
      <w:bookmarkEnd w:id="121"/>
    </w:p>
    <w:p w:rsidR="00085B04" w:rsidRDefault="00085B04"/>
    <w:p w:rsidR="00085B04" w:rsidRDefault="00085B04">
      <w:pPr>
        <w:pStyle w:val="Rubrik2"/>
        <w:spacing w:before="0"/>
        <w:jc w:val="center"/>
        <w:rPr>
          <w:b/>
        </w:rPr>
      </w:pPr>
      <w:bookmarkStart w:id="122" w:name="_Toc445710246"/>
      <w:bookmarkStart w:id="123" w:name="_Toc446307475"/>
      <w:r>
        <w:rPr>
          <w:b/>
          <w:sz w:val="19"/>
        </w:rPr>
        <w:t>RÅDETS</w:t>
      </w:r>
      <w:r>
        <w:rPr>
          <w:b/>
        </w:rPr>
        <w:t xml:space="preserve"> </w:t>
      </w:r>
      <w:r>
        <w:rPr>
          <w:b/>
          <w:sz w:val="19"/>
        </w:rPr>
        <w:t>AKT</w:t>
      </w:r>
      <w:bookmarkEnd w:id="122"/>
      <w:bookmarkEnd w:id="123"/>
    </w:p>
    <w:p w:rsidR="00085B04" w:rsidRDefault="00085B04">
      <w:pPr>
        <w:pStyle w:val="Rubrik3"/>
        <w:spacing w:before="123"/>
        <w:jc w:val="center"/>
      </w:pPr>
      <w:bookmarkStart w:id="124" w:name="_Toc445710247"/>
      <w:bookmarkStart w:id="125" w:name="_Toc446307476"/>
      <w:r>
        <w:t>av den 27 september 1996</w:t>
      </w:r>
      <w:r>
        <w:br/>
        <w:t xml:space="preserve"> om upprättande av ett protokoll till konventionen om skydd av </w:t>
      </w:r>
      <w:r>
        <w:br/>
        <w:t>Europeiska gemenskapernas finansiella intressen</w:t>
      </w:r>
      <w:bookmarkEnd w:id="124"/>
      <w:bookmarkEnd w:id="125"/>
    </w:p>
    <w:p w:rsidR="00085B04" w:rsidRDefault="00085B04">
      <w:pPr>
        <w:pStyle w:val="Rubrik2"/>
        <w:jc w:val="center"/>
        <w:rPr>
          <w:sz w:val="19"/>
        </w:rPr>
      </w:pPr>
      <w:bookmarkStart w:id="126" w:name="_Toc445710248"/>
      <w:bookmarkStart w:id="127" w:name="_Toc446307477"/>
      <w:r>
        <w:rPr>
          <w:sz w:val="19"/>
        </w:rPr>
        <w:t>(96/C 313/01)</w:t>
      </w:r>
      <w:bookmarkEnd w:id="126"/>
      <w:bookmarkEnd w:id="127"/>
    </w:p>
    <w:p w:rsidR="00085B04" w:rsidRDefault="00085B04">
      <w:pPr>
        <w:pStyle w:val="Rubrik2"/>
        <w:rPr>
          <w:sz w:val="19"/>
        </w:rPr>
      </w:pPr>
      <w:bookmarkStart w:id="128" w:name="_Toc445710249"/>
      <w:bookmarkStart w:id="129" w:name="_Toc446307478"/>
      <w:r>
        <w:rPr>
          <w:sz w:val="19"/>
        </w:rPr>
        <w:t>EUROPEISKA UNIONENS RÅD HAR ANTAGIT DENNA AKT</w:t>
      </w:r>
      <w:bookmarkEnd w:id="128"/>
      <w:bookmarkEnd w:id="129"/>
    </w:p>
    <w:p w:rsidR="00085B04" w:rsidRDefault="00085B04">
      <w:r>
        <w:t xml:space="preserve">med beaktande av Fördraget om Europeiska unionen, särskilt artikel </w:t>
      </w:r>
      <w:r>
        <w:br/>
        <w:t>K 3.2 c i detta, och</w:t>
      </w:r>
    </w:p>
    <w:p w:rsidR="00085B04" w:rsidRDefault="00085B04">
      <w:r>
        <w:t>med beaktande av följande:</w:t>
      </w:r>
    </w:p>
    <w:p w:rsidR="00085B04" w:rsidRDefault="00085B04">
      <w:r>
        <w:t>Vid förverkligandet av unionens mål betraktar medlemsstaterna kampen mot brottslighet, som riktar sig mot Europeiska gemenskapernas finansiella i</w:t>
      </w:r>
      <w:r>
        <w:t>n</w:t>
      </w:r>
      <w:r>
        <w:t>tressen, som en fråga av gemensamt intresse som ingår i det samarbete som inrättats med stöd av avdelning VI i fördraget,</w:t>
      </w:r>
    </w:p>
    <w:p w:rsidR="00085B04" w:rsidRDefault="00085B04">
      <w:r>
        <w:t>Rådet upprättade genom sin akt den 26 juli 1995, som en första åtgärd, ko</w:t>
      </w:r>
      <w:r>
        <w:t>n</w:t>
      </w:r>
      <w:r>
        <w:t>ventionen om skydd av Europeiska gemenskapernas finansiella intressen, vilken särskilt avser kampen mot bedrägerier som riktar sig mot dessa intre</w:t>
      </w:r>
      <w:r>
        <w:t>s</w:t>
      </w:r>
      <w:r>
        <w:t>sen.</w:t>
      </w:r>
    </w:p>
    <w:p w:rsidR="00085B04" w:rsidRDefault="00085B04">
      <w:r>
        <w:t>Som en andra etapp är det nödvändigt att komplettera denna konvention med ett protokoll som särskilt har till syfte att bekämpa sådan korruption i vilken tjänstemän, såväl nationella tjänstemän som gemenskapstjänstemän, är i</w:t>
      </w:r>
      <w:r>
        <w:t>n</w:t>
      </w:r>
      <w:r>
        <w:t>blandade och som skadar eller kan skada Europeiska gemenskapernas fina</w:t>
      </w:r>
      <w:r>
        <w:t>n</w:t>
      </w:r>
      <w:r>
        <w:t>siella intre</w:t>
      </w:r>
      <w:r>
        <w:t>s</w:t>
      </w:r>
      <w:r>
        <w:t>sen.</w:t>
      </w:r>
    </w:p>
    <w:p w:rsidR="00085B04" w:rsidRDefault="00085B04">
      <w:pPr>
        <w:pStyle w:val="Rubrik2"/>
      </w:pPr>
      <w:bookmarkStart w:id="130" w:name="_Toc445710250"/>
      <w:bookmarkStart w:id="131" w:name="_Toc446307479"/>
      <w:r>
        <w:rPr>
          <w:sz w:val="19"/>
        </w:rPr>
        <w:t>RÅDET</w:t>
      </w:r>
      <w:bookmarkEnd w:id="130"/>
      <w:bookmarkEnd w:id="131"/>
    </w:p>
    <w:p w:rsidR="00085B04" w:rsidRDefault="00085B04">
      <w:r>
        <w:t>FASTSTÄLLER att det protokoll, vars text återfinns i bilagan och som de</w:t>
      </w:r>
      <w:r>
        <w:t>n</w:t>
      </w:r>
      <w:r>
        <w:t>na dag har undertecknats av företrädarna för regeringarna i unionens me</w:t>
      </w:r>
      <w:r>
        <w:t>d</w:t>
      </w:r>
      <w:r>
        <w:t>lemsstater, hä</w:t>
      </w:r>
      <w:r>
        <w:t>r</w:t>
      </w:r>
      <w:r>
        <w:t>med har upprättats,</w:t>
      </w:r>
    </w:p>
    <w:p w:rsidR="00085B04" w:rsidRDefault="00085B04">
      <w:r>
        <w:t>REKOMMENDERAR att medlemsstaterna antar protokollet i enlighet med deras respektive konstitutionella b</w:t>
      </w:r>
      <w:r>
        <w:t>e</w:t>
      </w:r>
      <w:r>
        <w:t>stämmelser.</w:t>
      </w:r>
    </w:p>
    <w:p w:rsidR="00085B04" w:rsidRDefault="00085B04">
      <w:r>
        <w:t>Utfärdad i Bryssel den 27 september 1996.</w:t>
      </w:r>
    </w:p>
    <w:p w:rsidR="00085B04" w:rsidRDefault="00085B04">
      <w:pPr>
        <w:spacing w:before="0"/>
        <w:rPr>
          <w:i/>
        </w:rPr>
      </w:pPr>
      <w:r>
        <w:rPr>
          <w:i/>
        </w:rPr>
        <w:tab/>
      </w:r>
      <w:r>
        <w:rPr>
          <w:i/>
        </w:rPr>
        <w:tab/>
      </w:r>
      <w:r>
        <w:rPr>
          <w:i/>
        </w:rPr>
        <w:tab/>
        <w:t xml:space="preserve">På rådets vägnar </w:t>
      </w:r>
    </w:p>
    <w:p w:rsidR="00085B04" w:rsidRDefault="00085B04">
      <w:pPr>
        <w:spacing w:before="0"/>
      </w:pPr>
      <w:r>
        <w:tab/>
      </w:r>
      <w:r>
        <w:tab/>
      </w:r>
      <w:r>
        <w:tab/>
        <w:t xml:space="preserve">M. LOWRY, </w:t>
      </w:r>
      <w:r>
        <w:rPr>
          <w:i/>
        </w:rPr>
        <w:t>or</w:t>
      </w:r>
      <w:r>
        <w:rPr>
          <w:i/>
        </w:rPr>
        <w:t>d</w:t>
      </w:r>
      <w:r>
        <w:rPr>
          <w:i/>
        </w:rPr>
        <w:t>förande</w:t>
      </w:r>
    </w:p>
    <w:p w:rsidR="00085B04" w:rsidRDefault="00085B04">
      <w:pPr>
        <w:pStyle w:val="Rubrik2"/>
        <w:jc w:val="center"/>
        <w:rPr>
          <w:b/>
        </w:rPr>
      </w:pPr>
      <w:bookmarkStart w:id="132" w:name="_Toc445710251"/>
      <w:bookmarkStart w:id="133" w:name="_Toc446307480"/>
      <w:r>
        <w:rPr>
          <w:b/>
          <w:sz w:val="19"/>
        </w:rPr>
        <w:t>PROTOKOLL</w:t>
      </w:r>
      <w:bookmarkEnd w:id="132"/>
      <w:bookmarkEnd w:id="133"/>
    </w:p>
    <w:p w:rsidR="00085B04" w:rsidRDefault="00085B04">
      <w:pPr>
        <w:pStyle w:val="Rubrik3"/>
        <w:spacing w:before="123"/>
        <w:jc w:val="center"/>
      </w:pPr>
      <w:bookmarkStart w:id="134" w:name="_Toc445710252"/>
      <w:bookmarkStart w:id="135" w:name="_Toc446307481"/>
      <w:r>
        <w:t>som upprättats på grundval av artikel K 3 i Fördraget om</w:t>
      </w:r>
      <w:r>
        <w:br/>
        <w:t xml:space="preserve">Europeiska unionen, till konventionen </w:t>
      </w:r>
      <w:r>
        <w:br/>
        <w:t>om skydd av Europeiska gemenskapernas finansiella intressen</w:t>
      </w:r>
      <w:bookmarkEnd w:id="134"/>
      <w:bookmarkEnd w:id="135"/>
    </w:p>
    <w:p w:rsidR="00085B04" w:rsidRDefault="00085B04">
      <w:r>
        <w:t>DE HÖGA FÖRDRAGSSLUTANDE PARTERNA till detta protokoll, medlemsst</w:t>
      </w:r>
      <w:r>
        <w:t>a</w:t>
      </w:r>
      <w:r>
        <w:t>ter i Europeiska unionen,</w:t>
      </w:r>
    </w:p>
    <w:p w:rsidR="00085B04" w:rsidRDefault="00085B04">
      <w:r>
        <w:t>SOM HÄNVISAR TILL Europeiska unionens råds akt av den tjugosjunde se</w:t>
      </w:r>
      <w:r>
        <w:t>p</w:t>
      </w:r>
      <w:r>
        <w:t>tember nittonhundranittiosex</w:t>
      </w:r>
      <w:r>
        <w:rPr>
          <w:rStyle w:val="Fotnotsreferens"/>
        </w:rPr>
        <w:footnoteReference w:customMarkFollows="1" w:id="8"/>
        <w:t>*</w:t>
      </w:r>
      <w:r>
        <w:t>,</w:t>
      </w:r>
    </w:p>
    <w:p w:rsidR="00085B04" w:rsidRDefault="00085B04">
      <w:r>
        <w:t>SOM ÖNSKAR uppnå att deras strafflagstiftning på ett effektivt sätt bidrar till att skydda de Europeiska geme</w:t>
      </w:r>
      <w:r>
        <w:t>n</w:t>
      </w:r>
      <w:r>
        <w:t>skapernas finansiella intressen,</w:t>
      </w:r>
    </w:p>
    <w:p w:rsidR="00085B04" w:rsidRDefault="00085B04">
      <w:r>
        <w:t>SOM KONSTATERAR hur viktig konventionen om skydd av Europeiska gemenskapernas finansiella intressen av den 26 juli 1995 är för att bekämpa bedrägerier som riktar sig mot gemenskapens inkomster och utgi</w:t>
      </w:r>
      <w:r>
        <w:t>f</w:t>
      </w:r>
      <w:r>
        <w:t>ter,</w:t>
      </w:r>
    </w:p>
    <w:p w:rsidR="00085B04" w:rsidRDefault="00085B04">
      <w:r>
        <w:t>SOM ÄR MEDVETNA om det faktum att Europeiska gemenskapernas finansiella intressen kan skadas eller hotas av andra straffrättsliga överträde</w:t>
      </w:r>
      <w:r>
        <w:t>l</w:t>
      </w:r>
      <w:r>
        <w:t>ser, bland annat korruption som begås mot eller av tjänstemän, såväl nati</w:t>
      </w:r>
      <w:r>
        <w:t>o</w:t>
      </w:r>
      <w:r>
        <w:t>nella som gemenskapstjänstemän, som har ansvar för uppbörd, förvaltning eller utbetalning av geme</w:t>
      </w:r>
      <w:r>
        <w:t>n</w:t>
      </w:r>
      <w:r>
        <w:t>skapsmedel som de kontrollerar,</w:t>
      </w:r>
    </w:p>
    <w:p w:rsidR="00085B04" w:rsidRDefault="00085B04">
      <w:r>
        <w:t>SOM BEAKTAR att personer av olika nationalitet som är anställda av olika offentliga institutioner eller organ kan vara inblandade i sådan korruption. För att få till stånd effektiva åtgärder mot sådan verksamhet med internati</w:t>
      </w:r>
      <w:r>
        <w:t>o</w:t>
      </w:r>
      <w:r>
        <w:t>nella förgreningar är det viktigt att det finns en samstämmig bedömning av dessas straffvärda karaktär i medlemsstaternas straffrätt</w:t>
      </w:r>
      <w:r>
        <w:t>s</w:t>
      </w:r>
      <w:r>
        <w:t>liga lagstiftning,</w:t>
      </w:r>
    </w:p>
    <w:p w:rsidR="00085B04" w:rsidRDefault="00085B04">
      <w:r>
        <w:t>SOM KONSTATERAR att flera medlemsstaters straffrättsliga lagstiftning beträffande lagöverträdelser som begåtts vid tjänsteutövning i allmänhet och som rör korruption i synnerhet endast avser handlingar som begåtts av eller mot nationella tjänstemän och inte, eller endast i undantagsfall, omfattar sådana gärningar som inbegriper gemenskapstjänstemän eller tj</w:t>
      </w:r>
      <w:r>
        <w:t>änstemän från andra medlem</w:t>
      </w:r>
      <w:r>
        <w:t>s</w:t>
      </w:r>
      <w:r>
        <w:t>stater,</w:t>
      </w:r>
    </w:p>
    <w:p w:rsidR="00085B04" w:rsidRDefault="00085B04">
      <w:r>
        <w:t>SOM ÄR ÖVERTYGADE om att det är nödvändigt att anpassa den nati</w:t>
      </w:r>
      <w:r>
        <w:t>o</w:t>
      </w:r>
      <w:r>
        <w:t>nella lagstiftningen i den mån den inte straffbelägger korruption som skadar eller som kan skada Europeiska gemenskapernas finansiella intressen, och där gemenskapstjänstemän eller tjänstemän från andra medlemsstater är inblandade,</w:t>
      </w:r>
    </w:p>
    <w:p w:rsidR="00085B04" w:rsidRDefault="00085B04">
      <w:r>
        <w:t>SOM LIKASÅ ÄR ÖVERTYGADE om att en sådan anpassning av de n</w:t>
      </w:r>
      <w:r>
        <w:t>a</w:t>
      </w:r>
      <w:r>
        <w:t>tionella lagstiftningarna, när det gäller gemenskapstjänstemän anställda av gemenskapen, inte bör begränsas till bestickning och mutbrott utan bör u</w:t>
      </w:r>
      <w:r>
        <w:t>t</w:t>
      </w:r>
      <w:r>
        <w:t>sträckas till att omfatta andra brott som drabbar eller kan drabba Europeiska gemenskapernas inkomster eller utgifter, däribland lagöverträdelser som begåtts av eller mot de personer som har det största ansvaret,</w:t>
      </w:r>
    </w:p>
    <w:p w:rsidR="00085B04" w:rsidRDefault="00085B04">
      <w:r>
        <w:t>SOM BEAKTAR att det likaså är lämpligt att upprätta ändamålsenliga b</w:t>
      </w:r>
      <w:r>
        <w:t>e</w:t>
      </w:r>
      <w:r>
        <w:t>stämmelser beträffande behörighet och ömsesidigt samarbete utan att detta skall påverka de juridiska villkoren för dessas tillämpning i konkreta fall, vilket vid behov kan inbegr</w:t>
      </w:r>
      <w:r>
        <w:t>i</w:t>
      </w:r>
      <w:r>
        <w:t>pa hävande av immunitet,</w:t>
      </w:r>
    </w:p>
    <w:p w:rsidR="00085B04" w:rsidRDefault="00085B04">
      <w:r>
        <w:t>SOM SLUTLIGEN BEAKTAR att det är lämpligt att göra de relevanta bestämmelserna i konventionen om skydd av Europeiska gemenskapernas finansiella intressen av den 26 juli 1995 tillämpliga på de lagöverträdelser som avses i detta prot</w:t>
      </w:r>
      <w:r>
        <w:t>o</w:t>
      </w:r>
      <w:r>
        <w:t>koll,</w:t>
      </w:r>
    </w:p>
    <w:p w:rsidR="00085B04" w:rsidRDefault="00085B04">
      <w:r>
        <w:t>HAR ENATS OM FÖLJANDE BESTÄMMELSER.</w:t>
      </w:r>
    </w:p>
    <w:p w:rsidR="00085B04" w:rsidRDefault="00085B04">
      <w:pPr>
        <w:pStyle w:val="Rubrik4"/>
        <w:jc w:val="center"/>
      </w:pPr>
      <w:bookmarkStart w:id="136" w:name="_Toc445710253"/>
      <w:bookmarkStart w:id="137" w:name="_Toc446307482"/>
      <w:r>
        <w:t>Artikel 1</w:t>
      </w:r>
      <w:bookmarkEnd w:id="136"/>
      <w:bookmarkEnd w:id="137"/>
    </w:p>
    <w:p w:rsidR="00085B04" w:rsidRDefault="00085B04">
      <w:pPr>
        <w:pStyle w:val="Rubrik3"/>
        <w:spacing w:before="123"/>
        <w:jc w:val="center"/>
      </w:pPr>
      <w:bookmarkStart w:id="138" w:name="_Toc445710254"/>
      <w:bookmarkStart w:id="139" w:name="_Toc446307483"/>
      <w:r>
        <w:t>Definitioner</w:t>
      </w:r>
      <w:bookmarkEnd w:id="138"/>
      <w:bookmarkEnd w:id="139"/>
    </w:p>
    <w:p w:rsidR="00085B04" w:rsidRDefault="00085B04">
      <w:r>
        <w:t>I detta protokoll förstås med:</w:t>
      </w:r>
      <w:r>
        <w:rPr>
          <w:rStyle w:val="Fotnotsreferens"/>
        </w:rPr>
        <w:footnoteReference w:customMarkFollows="1" w:id="9"/>
        <w:t>*</w:t>
      </w:r>
    </w:p>
    <w:p w:rsidR="00085B04" w:rsidRDefault="00085B04">
      <w:r>
        <w:t xml:space="preserve">1. a) </w:t>
      </w:r>
      <w:r>
        <w:rPr>
          <w:i/>
        </w:rPr>
        <w:t>tjänsteman</w:t>
      </w:r>
      <w:r>
        <w:t>: alla tjänstemän, såväl nationella som gemenskapstjänst</w:t>
      </w:r>
      <w:r>
        <w:t>e</w:t>
      </w:r>
      <w:r>
        <w:t>män, i</w:t>
      </w:r>
      <w:r>
        <w:t>n</w:t>
      </w:r>
      <w:r>
        <w:t>klusive alla nationella tjänstemän från en annan medlemsstat.</w:t>
      </w:r>
    </w:p>
    <w:p w:rsidR="00085B04" w:rsidRDefault="00085B04">
      <w:r>
        <w:t xml:space="preserve">b) </w:t>
      </w:r>
      <w:r>
        <w:rPr>
          <w:i/>
        </w:rPr>
        <w:t>gemenskapstjänsteman</w:t>
      </w:r>
      <w:r>
        <w:t>:</w:t>
      </w:r>
    </w:p>
    <w:p w:rsidR="00085B04" w:rsidRDefault="00085B04">
      <w:r>
        <w:t>– varje person som är tjänsteman eller kontraktsanställd i den mening som avses i tjänsteföreskrifterna för tjänstemän i Europeiska gemenskaperna eller i anställning</w:t>
      </w:r>
      <w:r>
        <w:t>s</w:t>
      </w:r>
      <w:r>
        <w:t>villkoren för övriga anställda i Europeiska gemenskaperna,</w:t>
      </w:r>
    </w:p>
    <w:p w:rsidR="00085B04" w:rsidRDefault="00085B04">
      <w:r>
        <w:t>– varje person som ställts till Europeiska gemenskapernas förfogande av medlemsstaterna eller av något offentligt eller privat organ som utför up</w:t>
      </w:r>
      <w:r>
        <w:t>p</w:t>
      </w:r>
      <w:r>
        <w:t>gifter som motsvarar dem som Europeiska gemenskapernas tjänstemän eller övriga anstäl</w:t>
      </w:r>
      <w:r>
        <w:t>l</w:t>
      </w:r>
      <w:r>
        <w:t>da utför.</w:t>
      </w:r>
    </w:p>
    <w:p w:rsidR="00085B04" w:rsidRDefault="00085B04">
      <w:r>
        <w:t>Medlemmar i de organ som bildats enligt fördragen om upprättandet av Europeiska gemenskaperna samt dessa organs personal likställs med geme</w:t>
      </w:r>
      <w:r>
        <w:t>n</w:t>
      </w:r>
      <w:r>
        <w:t>skapstjänstemän, om de inte omfattas av tjänsteföreskrifterna för tjänstemän i Europeiska gemenskaperna eller anställningsvillkoren för övriga anställda i Europeiska g</w:t>
      </w:r>
      <w:r>
        <w:t>e</w:t>
      </w:r>
      <w:r>
        <w:t>menskaperna,</w:t>
      </w:r>
    </w:p>
    <w:p w:rsidR="00085B04" w:rsidRDefault="00085B04">
      <w:r>
        <w:t xml:space="preserve">c) </w:t>
      </w:r>
      <w:r>
        <w:rPr>
          <w:i/>
        </w:rPr>
        <w:t>nationell tjänsteman</w:t>
      </w:r>
      <w:r>
        <w:t xml:space="preserve">: tolkas med hänvisning till den definition </w:t>
      </w:r>
      <w:r>
        <w:rPr>
          <w:i/>
        </w:rPr>
        <w:t>tjänsteman</w:t>
      </w:r>
      <w:r>
        <w:t xml:space="preserve"> eller </w:t>
      </w:r>
      <w:r>
        <w:rPr>
          <w:i/>
        </w:rPr>
        <w:t>ämbetsman</w:t>
      </w:r>
      <w:r>
        <w:t xml:space="preserve"> har i den nationella rätten i den medlemsstat där personen i fråga innehar denna egenskap vid tillämpning av straffrätten i den st</w:t>
      </w:r>
      <w:r>
        <w:t>a</w:t>
      </w:r>
      <w:r>
        <w:t>ten.</w:t>
      </w:r>
    </w:p>
    <w:p w:rsidR="00085B04" w:rsidRDefault="00085B04">
      <w:r>
        <w:t>När det gäller rättsliga åtgärder beträffande en tjänsteman från en medlem</w:t>
      </w:r>
      <w:r>
        <w:t>s</w:t>
      </w:r>
      <w:r>
        <w:t>stat, vilka vidtas av en annan medlemsstat, behöver den sistnämnda staten tillämpa definitionen av tjänsteman endast i den mån definitionen överen</w:t>
      </w:r>
      <w:r>
        <w:t>s</w:t>
      </w:r>
      <w:r>
        <w:t>stämmer med dess nationella lagstif</w:t>
      </w:r>
      <w:r>
        <w:t>t</w:t>
      </w:r>
      <w:r>
        <w:t>ning.</w:t>
      </w:r>
    </w:p>
    <w:p w:rsidR="00085B04" w:rsidRDefault="00085B04">
      <w:r>
        <w:t xml:space="preserve">2. </w:t>
      </w:r>
      <w:r>
        <w:rPr>
          <w:i/>
        </w:rPr>
        <w:t>konvention</w:t>
      </w:r>
      <w:r>
        <w:t>: den konvention som utarbetats på grundval av artikel K 3 i Fördraget om Europeiska unionen, om skydd av Europeiska gemenskapernas finansiella intressen den 26 juli 1995 (</w:t>
      </w:r>
      <w:r>
        <w:rPr>
          <w:rStyle w:val="Fotnotsreferens"/>
        </w:rPr>
        <w:footnoteReference w:customMarkFollows="1" w:id="10"/>
        <w:t>1</w:t>
      </w:r>
      <w:r>
        <w:t>).</w:t>
      </w:r>
    </w:p>
    <w:p w:rsidR="00085B04" w:rsidRDefault="00085B04">
      <w:pPr>
        <w:pStyle w:val="Rubrik4"/>
        <w:jc w:val="center"/>
      </w:pPr>
      <w:bookmarkStart w:id="140" w:name="_Toc445710255"/>
      <w:bookmarkStart w:id="141" w:name="_Toc446307484"/>
      <w:r>
        <w:t>Artikel 2</w:t>
      </w:r>
      <w:bookmarkEnd w:id="140"/>
      <w:bookmarkEnd w:id="141"/>
    </w:p>
    <w:p w:rsidR="00085B04" w:rsidRDefault="00085B04">
      <w:pPr>
        <w:pStyle w:val="Rubrik3"/>
        <w:spacing w:before="123"/>
        <w:jc w:val="center"/>
      </w:pPr>
      <w:bookmarkStart w:id="142" w:name="_Toc445710256"/>
      <w:bookmarkStart w:id="143" w:name="_Toc446307485"/>
      <w:r>
        <w:t>Mutbrott</w:t>
      </w:r>
      <w:bookmarkEnd w:id="142"/>
      <w:bookmarkEnd w:id="143"/>
    </w:p>
    <w:p w:rsidR="00085B04" w:rsidRDefault="00085B04">
      <w:r>
        <w:t>1. I detta protokoll avses med mutbrott varje avsiktlig handling som utförs av en tjänsteman för att, direkt eller genom tredje man, för egen räkning eller för tredje mans räkning, begära eller ta emot förmåner, oavsett art, eller att acceptera löften härom för att på ett sätt som strider mot hans officiella fö</w:t>
      </w:r>
      <w:r>
        <w:t>r</w:t>
      </w:r>
      <w:r>
        <w:t>pliktelser utföra eller inte utföra en handling i tjänsten eller vid utövandet av tjänsten, och som skadar eller kan skada Europeiska gemenskapernas fina</w:t>
      </w:r>
      <w:r>
        <w:t>n</w:t>
      </w:r>
      <w:r>
        <w:t>siella intressen.</w:t>
      </w:r>
    </w:p>
    <w:p w:rsidR="00085B04" w:rsidRDefault="00085B04">
      <w:r>
        <w:t>2. Varje medlemsstat skall vidta de åtgärder som behövs för att säkra att en sådan gärning som avses i punkt 1 straffbeläggs.</w:t>
      </w:r>
    </w:p>
    <w:p w:rsidR="00085B04" w:rsidRDefault="00085B04">
      <w:pPr>
        <w:pStyle w:val="Rubrik4"/>
        <w:jc w:val="center"/>
      </w:pPr>
      <w:bookmarkStart w:id="144" w:name="_Toc445710257"/>
      <w:bookmarkStart w:id="145" w:name="_Toc446307486"/>
      <w:r>
        <w:t>Artikel 3</w:t>
      </w:r>
      <w:bookmarkEnd w:id="144"/>
      <w:bookmarkEnd w:id="145"/>
    </w:p>
    <w:p w:rsidR="00085B04" w:rsidRDefault="00085B04">
      <w:pPr>
        <w:pStyle w:val="Rubrik3"/>
        <w:spacing w:before="123"/>
        <w:jc w:val="center"/>
      </w:pPr>
      <w:bookmarkStart w:id="146" w:name="_Toc445710258"/>
      <w:bookmarkStart w:id="147" w:name="_Toc446307487"/>
      <w:r>
        <w:t>Bestickning</w:t>
      </w:r>
      <w:bookmarkEnd w:id="146"/>
      <w:bookmarkEnd w:id="147"/>
    </w:p>
    <w:p w:rsidR="00085B04" w:rsidRDefault="00085B04">
      <w:r>
        <w:t>l. I detta protokoll avses med bestickning varje avsiktlig handling som utförs av en person för att direkt eller genom tredje man utlova eller bevilja en förmån, oavsett art, till en tjänsteman, för egen räkning eller för tredje mans räkning, för att denne på ett sätt som strider mot hans officiella förpliktelser skall utföra eller underlåta att utföra en handling i tjänsten eller vid utövandet av tjänsten och som skadar eller kan skada Europeiska gemenskapernas finansiella intressen.</w:t>
      </w:r>
    </w:p>
    <w:p w:rsidR="00085B04" w:rsidRDefault="00085B04">
      <w:r>
        <w:t>2. Varje medlemsstat skall vidta de åtgärder som behövs för att säkra att en sådan gärning som avses i punkt 1 straffbeläggs.</w:t>
      </w:r>
    </w:p>
    <w:p w:rsidR="00085B04" w:rsidRDefault="00085B04">
      <w:pPr>
        <w:pStyle w:val="Rubrik4"/>
        <w:jc w:val="center"/>
      </w:pPr>
      <w:bookmarkStart w:id="148" w:name="_Toc445710259"/>
      <w:bookmarkStart w:id="149" w:name="_Toc446307488"/>
      <w:r>
        <w:t>Artikel 4</w:t>
      </w:r>
      <w:bookmarkEnd w:id="148"/>
      <w:bookmarkEnd w:id="149"/>
    </w:p>
    <w:p w:rsidR="00085B04" w:rsidRDefault="00085B04">
      <w:pPr>
        <w:pStyle w:val="Rubrik3"/>
        <w:spacing w:before="123"/>
        <w:jc w:val="center"/>
      </w:pPr>
      <w:bookmarkStart w:id="150" w:name="_Toc445710260"/>
      <w:bookmarkStart w:id="151" w:name="_Toc446307489"/>
      <w:r>
        <w:t>Likabehandling</w:t>
      </w:r>
      <w:bookmarkEnd w:id="150"/>
      <w:bookmarkEnd w:id="151"/>
    </w:p>
    <w:p w:rsidR="00085B04" w:rsidRDefault="00085B04">
      <w:r>
        <w:t>1. Varje medlemsstat skall vidta de åtgärder som behövs för att säkra att beskrivningarna i dess strafflagstiftning av överträdelser som utgör en sådan gärning som avses i artikel 1 i konventionen när de begås av dess nationella tjänstemän vid tjänsteutövning tillämpas på samma sätt när överträdelserna begås av gemenskapstjänstemän vid tjän</w:t>
      </w:r>
      <w:r>
        <w:t>s</w:t>
      </w:r>
      <w:r>
        <w:t>teutövning.</w:t>
      </w:r>
    </w:p>
    <w:p w:rsidR="00085B04" w:rsidRDefault="00085B04">
      <w:r>
        <w:t>2. Varje medlemsstat skall vidta de åtgärder som behövs för att säkra att beskrivningarna i dess strafflagstiftning av de överträdelser som avses i punkt 1 i denna artikel samt i artiklarna 2 och 3 när de begås av eller gent</w:t>
      </w:r>
      <w:r>
        <w:t>e</w:t>
      </w:r>
      <w:r>
        <w:t>mot ministrarna i dess regering, de valda ledamöterna i parlamentariska församlingar, ledamöterna av landets högsta domstolar eller revisionsdo</w:t>
      </w:r>
      <w:r>
        <w:t>m</w:t>
      </w:r>
      <w:r>
        <w:t>stol vid tjänsteutövning tillämpas på samma sätt när överträdelserna begås av eller gentemot ledamöterna av Europeiska gemenskapernas kommission, av Europaparlamentet, domarna i Europeiska gemenskapernas domstol eller ledamöterna av Europeiska gemenskapernas revisionsrätt vid tjänsteutö</w:t>
      </w:r>
      <w:r>
        <w:t>v</w:t>
      </w:r>
      <w:r>
        <w:t xml:space="preserve">ning. </w:t>
      </w:r>
    </w:p>
    <w:p w:rsidR="00085B04" w:rsidRDefault="00085B04">
      <w:r>
        <w:t>3. Om en medlemsstat har antagit speciella lagar om handlingar eller und</w:t>
      </w:r>
      <w:r>
        <w:t>e</w:t>
      </w:r>
      <w:r>
        <w:t>r</w:t>
      </w:r>
      <w:r>
        <w:t>låtenhet för vilka ministrarna i regeringen bör stå till svars, på grund av den särskilda politiska ställning de har i den staten, behöver punkt 2 i denna artikel inte tillämpas på dessa lagar, under förutsättning att medlemsstaten garanterar att den strafflagstiftning som genomför artiklarna 2</w:t>
      </w:r>
      <w:r>
        <w:rPr>
          <w:rStyle w:val="Fotnotsreferens"/>
        </w:rPr>
        <w:footnoteReference w:customMarkFollows="1" w:id="11"/>
        <w:t>*</w:t>
      </w:r>
      <w:r>
        <w:t>, 3 samt punkt 1 i denna artikel även omfattar ledamöterna av Europeiska gemenskapernas kommission.</w:t>
      </w:r>
    </w:p>
    <w:p w:rsidR="00085B04" w:rsidRDefault="00085B04">
      <w:r>
        <w:t>4. Punkterna 1, 2 och 3 skall inte påverka tillämpningen av de bestämmelser om straffprocessrätt och om fastställande av laga domstol, som är tillämpliga i varje medlemsstat.</w:t>
      </w:r>
    </w:p>
    <w:p w:rsidR="00085B04" w:rsidRDefault="00085B04">
      <w:r>
        <w:t>5. Detta protokoll skall tillämpas i full överensstämmelse med de relevanta bestämmelserna i Fördragen om upprättandet av Europeiska gemenskaperna, protokollet om immunitet och privilegier för Europeiska gemenskaperna, domstolens stadga samt med de texter som antagits för att tillämpa dem vad beträffar hävande av i</w:t>
      </w:r>
      <w:r>
        <w:t>m</w:t>
      </w:r>
      <w:r>
        <w:t>munitet.</w:t>
      </w:r>
    </w:p>
    <w:p w:rsidR="00085B04" w:rsidRDefault="00085B04">
      <w:pPr>
        <w:pStyle w:val="Rubrik4"/>
        <w:jc w:val="center"/>
      </w:pPr>
      <w:bookmarkStart w:id="152" w:name="_Toc445710261"/>
      <w:bookmarkStart w:id="153" w:name="_Toc446307490"/>
      <w:r>
        <w:t>Artikel 5</w:t>
      </w:r>
      <w:bookmarkEnd w:id="152"/>
      <w:bookmarkEnd w:id="153"/>
    </w:p>
    <w:p w:rsidR="00085B04" w:rsidRDefault="00085B04">
      <w:pPr>
        <w:pStyle w:val="Rubrik3"/>
        <w:spacing w:before="123"/>
        <w:jc w:val="center"/>
      </w:pPr>
      <w:bookmarkStart w:id="154" w:name="_Toc445710262"/>
      <w:bookmarkStart w:id="155" w:name="_Toc446307491"/>
      <w:r>
        <w:t>Påföljder</w:t>
      </w:r>
      <w:bookmarkEnd w:id="154"/>
      <w:bookmarkEnd w:id="155"/>
    </w:p>
    <w:p w:rsidR="00085B04" w:rsidRDefault="00085B04">
      <w:r>
        <w:t>1. Varje medlemsstat skall vidta de åtgärder som behövs för att säkra att de gärningar som avses i artiklarna 2 och 3 samt medverkan till och anstiftan av dessa gärningar kan medföra effektiva, proportionella och avskräckande påföljder däribland, åtminstone i allvarliga fall, frihetsberövande påföljder vilka kan leda till utlä</w:t>
      </w:r>
      <w:r>
        <w:t>m</w:t>
      </w:r>
      <w:r>
        <w:t>ning.</w:t>
      </w:r>
    </w:p>
    <w:p w:rsidR="00085B04" w:rsidRDefault="00085B04">
      <w:r>
        <w:t>2. Punkt 1 skall inte påverka behöriga myndigheters utövande av sina disci</w:t>
      </w:r>
      <w:r>
        <w:t>p</w:t>
      </w:r>
      <w:r>
        <w:t>linära befogenheter i förhållande till nationella eller gemenskapstjänstemän. Vid bestämmandet av vilken straffrättslig påföljd som skall ådömas kan de nationella domstolarna, i enlighet med principerna i deras egen lagstiftning, beakta eventuella disciplinpåföljder som redan drabbat samma person för samma uppträda</w:t>
      </w:r>
      <w:r>
        <w:t>n</w:t>
      </w:r>
      <w:r>
        <w:t>de.</w:t>
      </w:r>
    </w:p>
    <w:p w:rsidR="00085B04" w:rsidRDefault="00085B04">
      <w:pPr>
        <w:pStyle w:val="Rubrik4"/>
        <w:jc w:val="center"/>
      </w:pPr>
      <w:bookmarkStart w:id="156" w:name="_Toc445710263"/>
      <w:bookmarkStart w:id="157" w:name="_Toc446307492"/>
      <w:r>
        <w:t>Artikel 6</w:t>
      </w:r>
      <w:bookmarkEnd w:id="156"/>
      <w:bookmarkEnd w:id="157"/>
    </w:p>
    <w:p w:rsidR="00085B04" w:rsidRDefault="00085B04">
      <w:pPr>
        <w:pStyle w:val="Rubrik3"/>
        <w:spacing w:before="123"/>
        <w:jc w:val="center"/>
      </w:pPr>
      <w:bookmarkStart w:id="158" w:name="_Toc445710264"/>
      <w:bookmarkStart w:id="159" w:name="_Toc446307493"/>
      <w:r>
        <w:t>Behörighet</w:t>
      </w:r>
      <w:bookmarkEnd w:id="158"/>
      <w:bookmarkEnd w:id="159"/>
    </w:p>
    <w:p w:rsidR="00085B04" w:rsidRDefault="00085B04">
      <w:r>
        <w:t>1. Varje medlemsstat skall vidta nödvändiga åtgärder för att etablera sin behörighet vad gäller de straffbelagda överträdelser som den har fastställt i enlighet med arti</w:t>
      </w:r>
      <w:r>
        <w:t>k</w:t>
      </w:r>
      <w:r>
        <w:t>larna 2, 3 och 4 när</w:t>
      </w:r>
    </w:p>
    <w:p w:rsidR="00085B04" w:rsidRDefault="00085B04">
      <w:r>
        <w:t>a) överträdelsen helt eller delvis begåtts på dess territor</w:t>
      </w:r>
      <w:r>
        <w:t>i</w:t>
      </w:r>
      <w:r>
        <w:t>um,</w:t>
      </w:r>
    </w:p>
    <w:p w:rsidR="00085B04" w:rsidRDefault="00085B04">
      <w:r>
        <w:t>b) gärningsmannen är medborgare eller tjänsteman i den berörda staten,</w:t>
      </w:r>
    </w:p>
    <w:p w:rsidR="00085B04" w:rsidRDefault="00085B04">
      <w:r>
        <w:t>c) överträdelsen har begåtts gentemot någon av de personer som avses i artikel 1 eller gentemot ledamöter av de institutioner som avses i artikel 4.2 och som är me</w:t>
      </w:r>
      <w:r>
        <w:t>d</w:t>
      </w:r>
      <w:r>
        <w:t>borgare i den berörda staten,</w:t>
      </w:r>
    </w:p>
    <w:p w:rsidR="00085B04" w:rsidRDefault="00085B04">
      <w:r>
        <w:t>d) gärningsmannen är gemenskapstjänsteman som tjänstgör vid någon av Europeiska gemenskapernas institutioner eller vid ett organ som bildats enligt fördragen om upprättandet av Europeiska gemenskaperna och har sitt säte i den berörda me</w:t>
      </w:r>
      <w:r>
        <w:t>d</w:t>
      </w:r>
      <w:r>
        <w:t>lemsstaten.</w:t>
      </w:r>
    </w:p>
    <w:p w:rsidR="00085B04" w:rsidRDefault="00085B04">
      <w:r>
        <w:t>2. Varje medlemsstat kan vid anmälan enligt artikel 9.2 förklara att den inte kommer att tillämpa, eller endast i särskilda fall eller under särskilda o</w:t>
      </w:r>
      <w:r>
        <w:t>m</w:t>
      </w:r>
      <w:r>
        <w:t>ständigheter kommer att tillämpa, en eller flera av bestämmelserna om beh</w:t>
      </w:r>
      <w:r>
        <w:t>ö</w:t>
      </w:r>
      <w:r>
        <w:t>righet i punkt 1 b), c) och d).</w:t>
      </w:r>
    </w:p>
    <w:p w:rsidR="00085B04" w:rsidRDefault="00085B04">
      <w:pPr>
        <w:pStyle w:val="Rubrik4"/>
        <w:jc w:val="center"/>
      </w:pPr>
      <w:bookmarkStart w:id="160" w:name="_Toc445710265"/>
      <w:bookmarkStart w:id="161" w:name="_Toc446307494"/>
      <w:r>
        <w:t>Artikel 7</w:t>
      </w:r>
      <w:bookmarkEnd w:id="160"/>
      <w:bookmarkEnd w:id="161"/>
    </w:p>
    <w:p w:rsidR="00085B04" w:rsidRDefault="00085B04">
      <w:pPr>
        <w:pStyle w:val="Rubrik3"/>
        <w:spacing w:before="123"/>
        <w:jc w:val="center"/>
      </w:pPr>
      <w:bookmarkStart w:id="162" w:name="_Toc445710266"/>
      <w:bookmarkStart w:id="163" w:name="_Toc446307495"/>
      <w:r>
        <w:t>Samband med konventionen</w:t>
      </w:r>
      <w:bookmarkEnd w:id="162"/>
      <w:bookmarkEnd w:id="163"/>
    </w:p>
    <w:p w:rsidR="00085B04" w:rsidRDefault="00085B04">
      <w:r>
        <w:t>1. Bestämmelserna i artiklarna 3, 5.1, 5.2 och 5.4 samt 6 i konventionen skall tillämpas som om det fanns en hänvisning till de gärningar som avses i a</w:t>
      </w:r>
      <w:r>
        <w:t>r</w:t>
      </w:r>
      <w:r>
        <w:t>tiklarna 2, 3 och 4 i detta protokoll.</w:t>
      </w:r>
    </w:p>
    <w:p w:rsidR="00085B04" w:rsidRDefault="00085B04">
      <w:r>
        <w:t>2. Följande bestämmelser i konventionen skall tillämpas även på detta prot</w:t>
      </w:r>
      <w:r>
        <w:t>o</w:t>
      </w:r>
      <w:r>
        <w:t>koll:</w:t>
      </w:r>
    </w:p>
    <w:p w:rsidR="00085B04" w:rsidRDefault="00085B04">
      <w:r>
        <w:t>– Artikel 7 under förutsättning att, om ej annat uppges vid den anmälan som avses i artikel 9.2 i detta protokoll, förklaringar enligt artikel 7.2 i konventi</w:t>
      </w:r>
      <w:r>
        <w:t>o</w:t>
      </w:r>
      <w:r>
        <w:t>nen även gäller för detta protokoll.</w:t>
      </w:r>
    </w:p>
    <w:p w:rsidR="00085B04" w:rsidRDefault="00085B04">
      <w:r>
        <w:t>– Artikel 9.</w:t>
      </w:r>
    </w:p>
    <w:p w:rsidR="00085B04" w:rsidRDefault="00085B04">
      <w:r>
        <w:t>– Artikel 10.</w:t>
      </w:r>
    </w:p>
    <w:p w:rsidR="00085B04" w:rsidRDefault="00085B04">
      <w:pPr>
        <w:pStyle w:val="Rubrik4"/>
        <w:jc w:val="center"/>
      </w:pPr>
      <w:bookmarkStart w:id="164" w:name="_Toc445710267"/>
      <w:bookmarkStart w:id="165" w:name="_Toc446307496"/>
      <w:r>
        <w:t>Artikel 8</w:t>
      </w:r>
      <w:bookmarkEnd w:id="164"/>
      <w:bookmarkEnd w:id="165"/>
    </w:p>
    <w:p w:rsidR="00085B04" w:rsidRDefault="00085B04">
      <w:pPr>
        <w:pStyle w:val="Rubrik3"/>
        <w:spacing w:before="123"/>
        <w:jc w:val="center"/>
      </w:pPr>
      <w:bookmarkStart w:id="166" w:name="_Toc445710268"/>
      <w:bookmarkStart w:id="167" w:name="_Toc446307497"/>
      <w:r>
        <w:t>Domstolen</w:t>
      </w:r>
      <w:bookmarkEnd w:id="166"/>
      <w:bookmarkEnd w:id="167"/>
    </w:p>
    <w:p w:rsidR="00085B04" w:rsidRDefault="00085B04">
      <w:r>
        <w:t>1. Alla tvister mellan medlemsstater om tolkningen eller tillämpningen av detta protokoll skall först behandlas i rådet, enligt det förfarande som för</w:t>
      </w:r>
      <w:r>
        <w:t>e</w:t>
      </w:r>
      <w:r>
        <w:t>skrivs i avdelning VI i Fördraget om Europeiska unionen, i avsikt att nå en lö</w:t>
      </w:r>
      <w:r>
        <w:t>s</w:t>
      </w:r>
      <w:r>
        <w:t>ning.</w:t>
      </w:r>
    </w:p>
    <w:p w:rsidR="00085B04" w:rsidRDefault="00085B04">
      <w:r>
        <w:t>Om ingen lösning har uppnåtts inom sex månader kan någon av parterna i tvisten öve</w:t>
      </w:r>
      <w:r>
        <w:t>r</w:t>
      </w:r>
      <w:r>
        <w:t>lämna frågan till Europeiska gemenskapernas domstol.</w:t>
      </w:r>
    </w:p>
    <w:p w:rsidR="00085B04" w:rsidRDefault="00085B04">
      <w:r>
        <w:t>2. Alla tvister som gäller artikel 1, med undantag av punkt 1 c) artiklarna 2, 3 och 4 samt artikel 7.2 tredje strecksatsen i detta protokoll, mellan en eller flera medlemsstater och Europeiska gemenskapernas kommission, som inte har kunnat lösas genom förhandlingar, kan hänskjutas till Europeiska geme</w:t>
      </w:r>
      <w:r>
        <w:t>n</w:t>
      </w:r>
      <w:r>
        <w:t>skapernas do</w:t>
      </w:r>
      <w:r>
        <w:t>m</w:t>
      </w:r>
      <w:r>
        <w:t>stol.</w:t>
      </w:r>
    </w:p>
    <w:p w:rsidR="00085B04" w:rsidRDefault="00085B04">
      <w:pPr>
        <w:pStyle w:val="Rubrik4"/>
        <w:jc w:val="center"/>
      </w:pPr>
      <w:bookmarkStart w:id="168" w:name="_Toc445710269"/>
      <w:bookmarkStart w:id="169" w:name="_Toc446307498"/>
      <w:r>
        <w:t>Artikel 9</w:t>
      </w:r>
      <w:bookmarkEnd w:id="168"/>
      <w:bookmarkEnd w:id="169"/>
    </w:p>
    <w:p w:rsidR="00085B04" w:rsidRDefault="00085B04">
      <w:pPr>
        <w:pStyle w:val="Rubrik3"/>
        <w:spacing w:before="123"/>
        <w:jc w:val="center"/>
      </w:pPr>
      <w:bookmarkStart w:id="170" w:name="_Toc445710270"/>
      <w:bookmarkStart w:id="171" w:name="_Toc446307499"/>
      <w:r>
        <w:t>Ikraftträdande</w:t>
      </w:r>
      <w:bookmarkEnd w:id="170"/>
      <w:bookmarkEnd w:id="171"/>
    </w:p>
    <w:p w:rsidR="00085B04" w:rsidRDefault="00085B04">
      <w:r>
        <w:t>1. Detta protokoll skall antas av medlemsstaterna i enlighet med deras r</w:t>
      </w:r>
      <w:r>
        <w:t>e</w:t>
      </w:r>
      <w:r>
        <w:t>spektive ko</w:t>
      </w:r>
      <w:r>
        <w:t>n</w:t>
      </w:r>
      <w:r>
        <w:t>stitutionella bestämmelser.</w:t>
      </w:r>
    </w:p>
    <w:p w:rsidR="00085B04" w:rsidRDefault="00085B04">
      <w:r>
        <w:t>2. Medlemsstaterna skall till generalsekreteraren för Europeiska unionens råd anmäla att de har avslutat de förfaranden som krävs enligt deras respektive konstit</w:t>
      </w:r>
      <w:r>
        <w:t>u</w:t>
      </w:r>
      <w:r>
        <w:t>tionella bestämmelser för att detta protokoll skall kunna antas.</w:t>
      </w:r>
    </w:p>
    <w:p w:rsidR="00085B04" w:rsidRDefault="00085B04">
      <w:r>
        <w:t>3. Detta protokoll träder i kraft nittio dagar efter det att den anmälan som avses i punkt 2 gjorts av den stat – som vid tidpunkten för rådets antagande av den akt som upprättar det här protokollet är medlem av Europeiska uni</w:t>
      </w:r>
      <w:r>
        <w:t>o</w:t>
      </w:r>
      <w:r>
        <w:t>nen – som sist fullgör denna formalitet. Om konventionen inte har trätt i kraft vid den tidpunkten träder protokollet i kraft samtidigt som konventionen.</w:t>
      </w:r>
    </w:p>
    <w:p w:rsidR="00085B04" w:rsidRDefault="00085B04">
      <w:pPr>
        <w:pStyle w:val="Rubrik4"/>
        <w:jc w:val="center"/>
      </w:pPr>
      <w:bookmarkStart w:id="172" w:name="_Toc445710271"/>
      <w:bookmarkStart w:id="173" w:name="_Toc446307500"/>
      <w:r>
        <w:t>Artikel 10</w:t>
      </w:r>
      <w:bookmarkEnd w:id="172"/>
      <w:bookmarkEnd w:id="173"/>
    </w:p>
    <w:p w:rsidR="00085B04" w:rsidRDefault="00085B04">
      <w:pPr>
        <w:pStyle w:val="Rubrik3"/>
        <w:spacing w:before="123"/>
        <w:jc w:val="center"/>
      </w:pPr>
      <w:bookmarkStart w:id="174" w:name="_Toc445710272"/>
      <w:bookmarkStart w:id="175" w:name="_Toc446307501"/>
      <w:r>
        <w:t>Anslutning av nya medlemsstater</w:t>
      </w:r>
      <w:bookmarkEnd w:id="174"/>
      <w:bookmarkEnd w:id="175"/>
    </w:p>
    <w:p w:rsidR="00085B04" w:rsidRDefault="00085B04">
      <w:r>
        <w:t>1. Detta protokoll står öppet för anslutning av varje stat som blir medlem i Europ</w:t>
      </w:r>
      <w:r>
        <w:t>e</w:t>
      </w:r>
      <w:r>
        <w:t>iska unionen.</w:t>
      </w:r>
    </w:p>
    <w:p w:rsidR="00085B04" w:rsidRDefault="00085B04">
      <w:r>
        <w:t>2. Texten till detta protokoll, avfattad på den anslutande medlemsstatens språk och upprättad av Europeiska uni</w:t>
      </w:r>
      <w:r>
        <w:t>o</w:t>
      </w:r>
      <w:r>
        <w:t>nens råd, skall vara giltig.</w:t>
      </w:r>
    </w:p>
    <w:p w:rsidR="00085B04" w:rsidRDefault="00085B04">
      <w:r>
        <w:t>3. Anslutningsinstrumenten skall deponeras hos deposit</w:t>
      </w:r>
      <w:r>
        <w:t>a</w:t>
      </w:r>
      <w:r>
        <w:t>rien.</w:t>
      </w:r>
    </w:p>
    <w:p w:rsidR="00085B04" w:rsidRDefault="00085B04">
      <w:r>
        <w:t>4. För varje stat som ansluter sig till protokollet träder detta i kraft nittio dagar efter det att den staten har deponerat sitt anslutningsinstrument eller, om det ännu inte trätt i kraft när perioden om nittio dagar löpt ut, samma dag som detta protokoll träder i kraft.</w:t>
      </w:r>
    </w:p>
    <w:p w:rsidR="00085B04" w:rsidRDefault="00085B04">
      <w:pPr>
        <w:pStyle w:val="Rubrik4"/>
        <w:jc w:val="center"/>
      </w:pPr>
      <w:bookmarkStart w:id="176" w:name="_Toc445710273"/>
      <w:bookmarkStart w:id="177" w:name="_Toc446307502"/>
      <w:r>
        <w:t>Artikel 11</w:t>
      </w:r>
      <w:bookmarkEnd w:id="176"/>
      <w:bookmarkEnd w:id="177"/>
    </w:p>
    <w:p w:rsidR="00085B04" w:rsidRDefault="00085B04">
      <w:pPr>
        <w:pStyle w:val="Rubrik3"/>
        <w:spacing w:before="123"/>
        <w:jc w:val="center"/>
      </w:pPr>
      <w:bookmarkStart w:id="178" w:name="_Toc445710274"/>
      <w:bookmarkStart w:id="179" w:name="_Toc446307503"/>
      <w:r>
        <w:t>Reservationer</w:t>
      </w:r>
      <w:bookmarkEnd w:id="178"/>
      <w:bookmarkEnd w:id="179"/>
    </w:p>
    <w:p w:rsidR="00085B04" w:rsidRDefault="00085B04">
      <w:r>
        <w:t>1. Reservationer är inte tillåtna, med undantag för sådana som avses i artikel 6.2.</w:t>
      </w:r>
    </w:p>
    <w:p w:rsidR="00085B04" w:rsidRDefault="00085B04">
      <w:r>
        <w:t>2. Varje medlemsstat som gjort en reservation får när som helst, helt eller delvis, dra tillbaka den genom en anmälan till depositarien. Tillbakadraga</w:t>
      </w:r>
      <w:r>
        <w:t>n</w:t>
      </w:r>
      <w:r>
        <w:t>det får verkan den dag depositarien tar emot anmälan.</w:t>
      </w:r>
    </w:p>
    <w:p w:rsidR="00085B04" w:rsidRDefault="00085B04">
      <w:pPr>
        <w:pStyle w:val="Rubrik4"/>
        <w:jc w:val="center"/>
      </w:pPr>
      <w:bookmarkStart w:id="180" w:name="_Toc445710275"/>
      <w:bookmarkStart w:id="181" w:name="_Toc446307504"/>
      <w:r>
        <w:t>Artikel 12</w:t>
      </w:r>
      <w:bookmarkEnd w:id="180"/>
      <w:bookmarkEnd w:id="181"/>
    </w:p>
    <w:p w:rsidR="00085B04" w:rsidRDefault="00085B04">
      <w:pPr>
        <w:pStyle w:val="Rubrik3"/>
        <w:spacing w:before="123"/>
        <w:jc w:val="center"/>
      </w:pPr>
      <w:bookmarkStart w:id="182" w:name="_Toc445710276"/>
      <w:bookmarkStart w:id="183" w:name="_Toc446307505"/>
      <w:r>
        <w:t>Depositarie</w:t>
      </w:r>
      <w:bookmarkEnd w:id="182"/>
      <w:bookmarkEnd w:id="183"/>
    </w:p>
    <w:p w:rsidR="00085B04" w:rsidRDefault="00085B04">
      <w:r>
        <w:t>1. Generalsekreteraren för Europeiska unionens råd skall vara depositarie för detta protokoll.</w:t>
      </w:r>
    </w:p>
    <w:p w:rsidR="00085B04" w:rsidRDefault="00085B04">
      <w:r>
        <w:t xml:space="preserve">2. Depositarien skall i </w:t>
      </w:r>
      <w:r>
        <w:rPr>
          <w:i/>
        </w:rPr>
        <w:t>Europeiska gemenskapernas officiella tidning</w:t>
      </w:r>
      <w:r>
        <w:t xml:space="preserve"> offen</w:t>
      </w:r>
      <w:r>
        <w:t>t</w:t>
      </w:r>
      <w:r>
        <w:t>liggöra antaganden och anslutningar, förklaringar och reservationer liksom alla övriga underrä</w:t>
      </w:r>
      <w:r>
        <w:t>t</w:t>
      </w:r>
      <w:r>
        <w:t>telser som rör denna konvention.</w:t>
      </w:r>
    </w:p>
    <w:p w:rsidR="00085B04" w:rsidRDefault="00085B04">
      <w:r>
        <w:t>TILL BEVIS HÄRPÅ har de befullmäktigade undertecknat detta prot</w:t>
      </w:r>
      <w:r>
        <w:t>o</w:t>
      </w:r>
      <w:r>
        <w:t>koll.</w:t>
      </w:r>
    </w:p>
    <w:p w:rsidR="00085B04" w:rsidRDefault="00085B04">
      <w:r>
        <w:t>Som skedde i Dublin den tjugosjunde september nittonhundranittiosex i ett enda original på danska, engelska, finska, franska, grekiska, irländska, ital</w:t>
      </w:r>
      <w:r>
        <w:t>i</w:t>
      </w:r>
      <w:r>
        <w:t>enska, nederländska, portugisiska, spanska, svenska och tyska</w:t>
      </w:r>
      <w:r>
        <w:rPr>
          <w:rStyle w:val="Fotnotsreferens"/>
        </w:rPr>
        <w:footnoteReference w:customMarkFollows="1" w:id="12"/>
        <w:t>*</w:t>
      </w:r>
      <w:r>
        <w:t>, vilka samtl</w:t>
      </w:r>
      <w:r>
        <w:t>i</w:t>
      </w:r>
      <w:r>
        <w:t>ga texter är lika giltiga. Originalet skall deponeras i arkiven hos generalse</w:t>
      </w:r>
      <w:r>
        <w:t>k</w:t>
      </w:r>
      <w:r>
        <w:t>retariatet för Europeiska uni</w:t>
      </w:r>
      <w:r>
        <w:t>o</w:t>
      </w:r>
      <w:r>
        <w:t>nens råd.</w:t>
      </w:r>
    </w:p>
    <w:p w:rsidR="00085B04" w:rsidRDefault="00085B04">
      <w:pPr>
        <w:pStyle w:val="R3"/>
        <w:jc w:val="center"/>
      </w:pPr>
      <w:r>
        <w:br w:type="page"/>
      </w:r>
      <w:bookmarkStart w:id="184" w:name="_Toc445710277"/>
      <w:bookmarkStart w:id="185" w:name="_Toc446307506"/>
      <w:r>
        <w:t xml:space="preserve">Medlemsstaternas uttalanden vid antagandet av rättsakten om </w:t>
      </w:r>
      <w:r>
        <w:br/>
        <w:t>upprättande av protokollet</w:t>
      </w:r>
      <w:bookmarkEnd w:id="184"/>
      <w:bookmarkEnd w:id="185"/>
    </w:p>
    <w:p w:rsidR="00085B04" w:rsidRDefault="00085B04">
      <w:pPr>
        <w:rPr>
          <w:i/>
        </w:rPr>
      </w:pPr>
      <w:r>
        <w:rPr>
          <w:i/>
        </w:rPr>
        <w:t>1. Uttalande från den tyska delegationen:</w:t>
      </w:r>
    </w:p>
    <w:p w:rsidR="00085B04" w:rsidRDefault="00085B04">
      <w:r>
        <w:t>"Förbundsrepubliken Tysklands regering förklarar att den har för avsikt att, beträffande protokollet till konventionen om skydd av finansiella intressen (tjänstemän), genom förhandlingar uppnå samma enighet om behörigheten för Europeiska gemenskapernas domstol att meddela förhandsavgöranden, som den som eftersträvas när det gäller konventionen om skydd av Europei</w:t>
      </w:r>
      <w:r>
        <w:t>s</w:t>
      </w:r>
      <w:r>
        <w:t>ka gemenskapernas finansiella intre</w:t>
      </w:r>
      <w:r>
        <w:t>s</w:t>
      </w:r>
      <w:r>
        <w:t>sen, och att detta sker samma dag."</w:t>
      </w:r>
    </w:p>
    <w:p w:rsidR="00085B04" w:rsidRDefault="00085B04">
      <w:pPr>
        <w:rPr>
          <w:i/>
        </w:rPr>
      </w:pPr>
      <w:r>
        <w:rPr>
          <w:i/>
        </w:rPr>
        <w:t>2. Gemensamt uttalande från den belgiska, luxemburgska och nederländska delegationen:</w:t>
      </w:r>
    </w:p>
    <w:p w:rsidR="00085B04" w:rsidRDefault="00085B04">
      <w:r>
        <w:t>"Konungariket Belgiens, Konungariket Nederländernas och Storhertigdömet Luxemburgs regeringar anser att det, för att möjliggöra ikraftträdandet av detta protokoll, är nödvändigt att senast i slutet av november 1996 finna en tillfredsställande lösning beträffande Europeiska gemenskapernas domstols behörighet när det gäller tolkningen av detta protokoll, helst inom ramen för de pågående diskussionerna om att ge Europeiska gemenskapernas domstol behörighet när det gäller förhandsavgöranden angående tolkningen</w:t>
      </w:r>
      <w:r>
        <w:t xml:space="preserve"> av ko</w:t>
      </w:r>
      <w:r>
        <w:t>n</w:t>
      </w:r>
      <w:r>
        <w:t>ventionen om skydd av Europeiska gemensk</w:t>
      </w:r>
      <w:r>
        <w:t>a</w:t>
      </w:r>
      <w:r>
        <w:t>pernas finansiella intressen."</w:t>
      </w:r>
    </w:p>
    <w:p w:rsidR="00085B04" w:rsidRDefault="00085B04">
      <w:pPr>
        <w:rPr>
          <w:i/>
        </w:rPr>
      </w:pPr>
      <w:r>
        <w:rPr>
          <w:i/>
        </w:rPr>
        <w:t>3. Uttalande från den österrikiska delegationen:</w:t>
      </w:r>
    </w:p>
    <w:p w:rsidR="00085B04" w:rsidRDefault="00085B04">
      <w:r>
        <w:t>"Österrike utgår från principen att frågan om Europeiska gemenskapernas domstols behörighet när det gäller förhandsavgöranden kommer att regleras på ett positivt sätt i en nära framtid och kommer också att arbeta i den rik</w:t>
      </w:r>
      <w:r>
        <w:t>t</w:t>
      </w:r>
      <w:r>
        <w:t>ningen i framtiden."</w:t>
      </w:r>
    </w:p>
    <w:p w:rsidR="00085B04" w:rsidRDefault="00085B04">
      <w:pPr>
        <w:pStyle w:val="Rubrik1"/>
        <w:sectPr w:rsidR="00000000">
          <w:headerReference w:type="default" r:id="rId16"/>
          <w:footerReference w:type="default" r:id="rId17"/>
          <w:pgSz w:w="11906" w:h="16838" w:code="9"/>
          <w:pgMar w:top="567" w:right="4876" w:bottom="4508" w:left="1134" w:header="227" w:footer="227" w:gutter="0"/>
          <w:cols w:space="720"/>
        </w:sectPr>
      </w:pPr>
      <w:bookmarkStart w:id="186" w:name="_Toc438865954"/>
    </w:p>
    <w:p w:rsidR="00085B04" w:rsidRDefault="00085B04">
      <w:pPr>
        <w:pStyle w:val="Rubrik1"/>
        <w:spacing w:before="0"/>
      </w:pPr>
      <w:bookmarkStart w:id="187" w:name="_Toc446307507"/>
      <w:r>
        <w:t>Korruptionskonventionen</w:t>
      </w:r>
      <w:bookmarkEnd w:id="186"/>
      <w:bookmarkEnd w:id="187"/>
    </w:p>
    <w:p w:rsidR="00085B04" w:rsidRDefault="00085B04">
      <w:pPr>
        <w:pStyle w:val="Rubrik4"/>
        <w:spacing w:before="123"/>
      </w:pPr>
      <w:bookmarkStart w:id="188" w:name="_Toc445710279"/>
      <w:bookmarkStart w:id="189" w:name="_Toc446307508"/>
      <w:r>
        <w:t>(Rättsakter som antagits med tillämpning av avdelning VI i Fördraget om Europeiska unionen)</w:t>
      </w:r>
      <w:bookmarkEnd w:id="188"/>
      <w:bookmarkEnd w:id="189"/>
    </w:p>
    <w:p w:rsidR="00085B04" w:rsidRDefault="00085B04">
      <w:pPr>
        <w:pStyle w:val="Rubrik2"/>
        <w:jc w:val="center"/>
        <w:rPr>
          <w:b/>
          <w:sz w:val="19"/>
        </w:rPr>
      </w:pPr>
      <w:bookmarkStart w:id="190" w:name="_Toc445710280"/>
      <w:bookmarkStart w:id="191" w:name="_Toc446307509"/>
      <w:r>
        <w:rPr>
          <w:b/>
          <w:sz w:val="19"/>
        </w:rPr>
        <w:t>RÅDETS AKT</w:t>
      </w:r>
      <w:bookmarkEnd w:id="190"/>
      <w:bookmarkEnd w:id="191"/>
    </w:p>
    <w:p w:rsidR="00085B04" w:rsidRDefault="00085B04">
      <w:pPr>
        <w:pStyle w:val="Rubrik3"/>
        <w:spacing w:before="123"/>
        <w:jc w:val="center"/>
      </w:pPr>
      <w:bookmarkStart w:id="192" w:name="_Toc445710281"/>
      <w:bookmarkStart w:id="193" w:name="_Toc446307510"/>
      <w:r>
        <w:t>av den 26 maj 1997</w:t>
      </w:r>
      <w:bookmarkEnd w:id="192"/>
      <w:bookmarkEnd w:id="193"/>
    </w:p>
    <w:p w:rsidR="00085B04" w:rsidRDefault="00085B04">
      <w:pPr>
        <w:pStyle w:val="Rubrik3"/>
        <w:spacing w:before="123"/>
        <w:jc w:val="center"/>
      </w:pPr>
      <w:bookmarkStart w:id="194" w:name="_Toc445710282"/>
      <w:bookmarkStart w:id="195" w:name="_Toc446307511"/>
      <w:r>
        <w:t xml:space="preserve">Om utarbetande på grundval av artikel K 3.2 c i Fördraget om Europeiska unionen av konventionen om kamp mot korruption som tjänstemän i Europeiska gemenskaperna eller </w:t>
      </w:r>
      <w:r>
        <w:br/>
        <w:t>Europeiska unionens medlemsstater är delaktiga i</w:t>
      </w:r>
      <w:bookmarkEnd w:id="194"/>
      <w:bookmarkEnd w:id="195"/>
    </w:p>
    <w:p w:rsidR="00085B04" w:rsidRDefault="00085B04">
      <w:pPr>
        <w:pStyle w:val="Rubrik2"/>
        <w:jc w:val="center"/>
        <w:rPr>
          <w:sz w:val="19"/>
        </w:rPr>
      </w:pPr>
      <w:bookmarkStart w:id="196" w:name="_Toc445710283"/>
      <w:bookmarkStart w:id="197" w:name="_Toc446307512"/>
      <w:r>
        <w:rPr>
          <w:sz w:val="19"/>
        </w:rPr>
        <w:t>(97/C 195/01)</w:t>
      </w:r>
      <w:bookmarkEnd w:id="196"/>
      <w:bookmarkEnd w:id="197"/>
    </w:p>
    <w:p w:rsidR="00085B04" w:rsidRDefault="00085B04">
      <w:pPr>
        <w:pStyle w:val="Rubrik2"/>
      </w:pPr>
      <w:bookmarkStart w:id="198" w:name="_Toc445710284"/>
      <w:bookmarkStart w:id="199" w:name="_Toc446307513"/>
      <w:r>
        <w:rPr>
          <w:sz w:val="19"/>
        </w:rPr>
        <w:t>EUROPEISKA UNIONENS RÅD</w:t>
      </w:r>
      <w:bookmarkEnd w:id="198"/>
      <w:bookmarkEnd w:id="199"/>
    </w:p>
    <w:p w:rsidR="00085B04" w:rsidRDefault="00085B04">
      <w:r>
        <w:t>som beaktar Fördraget om Europeiska unionen, särskilt artikel K 3.2 c i detta,</w:t>
      </w:r>
    </w:p>
    <w:p w:rsidR="00085B04" w:rsidRDefault="00085B04">
      <w:r>
        <w:t>som beaktar att medlemsstaterna anser förbättringen av det rättsliga sama</w:t>
      </w:r>
      <w:r>
        <w:t>r</w:t>
      </w:r>
      <w:r>
        <w:t>betet som en fråga av gemensamt intresse som omfattas av det samarbete om vilket föreskrifter meddelas i avdelning VI i fördraget, och</w:t>
      </w:r>
    </w:p>
    <w:p w:rsidR="00085B04" w:rsidRDefault="00085B04">
      <w:r>
        <w:t>som beaktar att det för att uppnå det målet är nödvändigt att utarbeta en konvention om kamp mot korruption som Europeiska gemenskapernas tjänstemän eller Europeiska unionens medlemsstaters tjänstemän är delaktiga i, mot bakgrund av bestämmelserna i protokollet till konventionen om skydd av Europeiska gemenskapernas finansiella i</w:t>
      </w:r>
      <w:r>
        <w:t>n</w:t>
      </w:r>
      <w:r>
        <w:t>tressen(</w:t>
      </w:r>
      <w:r>
        <w:rPr>
          <w:rStyle w:val="Fotnotsreferens"/>
        </w:rPr>
        <w:footnoteReference w:customMarkFollows="1" w:id="13"/>
        <w:t>1</w:t>
      </w:r>
      <w:r>
        <w:t>),</w:t>
      </w:r>
    </w:p>
    <w:p w:rsidR="00085B04" w:rsidRDefault="00085B04">
      <w:r>
        <w:t>BESLUTAR att den konvention vars text bifogas och som denna dag har undertecknats av företrädarna för regeringarna i Europeiska unionens me</w:t>
      </w:r>
      <w:r>
        <w:t>d</w:t>
      </w:r>
      <w:r>
        <w:t>lemsstater, är utarb</w:t>
      </w:r>
      <w:r>
        <w:t>e</w:t>
      </w:r>
      <w:r>
        <w:t>tad,</w:t>
      </w:r>
    </w:p>
    <w:p w:rsidR="00085B04" w:rsidRDefault="00085B04">
      <w:r>
        <w:t>REKOMMENDERAR att konventionen antas av medlemsstaterna i enlighet med deras respektive konstituti</w:t>
      </w:r>
      <w:r>
        <w:t>o</w:t>
      </w:r>
      <w:r>
        <w:t>nella bestämmelser.</w:t>
      </w:r>
    </w:p>
    <w:p w:rsidR="00085B04" w:rsidRDefault="00085B04"/>
    <w:p w:rsidR="00085B04" w:rsidRDefault="00085B04">
      <w:r>
        <w:t>Utfärdad i Bryssel den 26 maj 1997.</w:t>
      </w:r>
    </w:p>
    <w:p w:rsidR="00085B04" w:rsidRDefault="00085B04">
      <w:pPr>
        <w:rPr>
          <w:i/>
        </w:rPr>
      </w:pPr>
      <w:r>
        <w:rPr>
          <w:i/>
        </w:rPr>
        <w:tab/>
      </w:r>
      <w:r>
        <w:rPr>
          <w:i/>
        </w:rPr>
        <w:tab/>
        <w:t xml:space="preserve">På rådets vägnar </w:t>
      </w:r>
    </w:p>
    <w:p w:rsidR="00085B04" w:rsidRDefault="00085B04">
      <w:pPr>
        <w:rPr>
          <w:i/>
        </w:rPr>
      </w:pPr>
      <w:r>
        <w:tab/>
      </w:r>
      <w:r>
        <w:tab/>
        <w:t>W. SORGDR</w:t>
      </w:r>
      <w:r>
        <w:t>A</w:t>
      </w:r>
      <w:r>
        <w:t>GER</w:t>
      </w:r>
      <w:r>
        <w:rPr>
          <w:i/>
        </w:rPr>
        <w:t xml:space="preserve"> </w:t>
      </w:r>
    </w:p>
    <w:p w:rsidR="00085B04" w:rsidRDefault="00085B04">
      <w:r>
        <w:rPr>
          <w:i/>
        </w:rPr>
        <w:tab/>
      </w:r>
      <w:r>
        <w:rPr>
          <w:i/>
        </w:rPr>
        <w:tab/>
        <w:t>Ordförande</w:t>
      </w:r>
    </w:p>
    <w:p w:rsidR="00085B04" w:rsidRDefault="00085B04">
      <w:pPr>
        <w:pStyle w:val="Rubrik1"/>
        <w:jc w:val="center"/>
        <w:rPr>
          <w:b/>
        </w:rPr>
      </w:pPr>
      <w:r>
        <w:br w:type="page"/>
      </w:r>
      <w:bookmarkStart w:id="200" w:name="_Toc445710285"/>
      <w:bookmarkStart w:id="201" w:name="_Toc446307514"/>
      <w:r>
        <w:rPr>
          <w:b/>
          <w:sz w:val="19"/>
        </w:rPr>
        <w:t>KONVENTION</w:t>
      </w:r>
      <w:bookmarkEnd w:id="200"/>
      <w:bookmarkEnd w:id="201"/>
    </w:p>
    <w:p w:rsidR="00085B04" w:rsidRDefault="00085B04">
      <w:pPr>
        <w:pStyle w:val="Rubrik3"/>
        <w:spacing w:before="123"/>
        <w:jc w:val="center"/>
      </w:pPr>
      <w:bookmarkStart w:id="202" w:name="_Toc445710286"/>
      <w:bookmarkStart w:id="203" w:name="_Toc446307515"/>
      <w:r>
        <w:t>utarbetad på grundval av artikel K 3.2 c i Fördraget om Europeiska unionen om kamp mot korruption som tjänstemän i Europeiska gemenskaperna eller Europeiska unionens medlemssta-</w:t>
      </w:r>
      <w:r>
        <w:br/>
        <w:t>ter är delaktiga i</w:t>
      </w:r>
      <w:bookmarkEnd w:id="202"/>
      <w:bookmarkEnd w:id="203"/>
    </w:p>
    <w:p w:rsidR="00085B04" w:rsidRDefault="00085B04">
      <w:r>
        <w:t>DE HÖGA FÖRDRAGSSLUTANDE PARTERNA i denna konvention, som är medlemsstater i Europeiska uni</w:t>
      </w:r>
      <w:r>
        <w:t>o</w:t>
      </w:r>
      <w:r>
        <w:t>nen,</w:t>
      </w:r>
    </w:p>
    <w:p w:rsidR="00085B04" w:rsidRDefault="00085B04">
      <w:r>
        <w:t>SOM HÄNVISAR till Europeiska unionens råds akt av den 26 maj 1997,</w:t>
      </w:r>
    </w:p>
    <w:p w:rsidR="00085B04" w:rsidRDefault="00085B04">
      <w:r>
        <w:t>SOM BEAKTAR ATT medlemsstaterna anser att förbättringen av det rätt</w:t>
      </w:r>
      <w:r>
        <w:t>s</w:t>
      </w:r>
      <w:r>
        <w:t>liga samarbetet i kampen mot korruptionen är en fråga av gemensamt intre</w:t>
      </w:r>
      <w:r>
        <w:t>s</w:t>
      </w:r>
      <w:r>
        <w:t>se som omfattas av det samarbete om vilket föreskrifter meddelas i avdelning VI i fö</w:t>
      </w:r>
      <w:r>
        <w:t>r</w:t>
      </w:r>
      <w:r>
        <w:t>draget,</w:t>
      </w:r>
    </w:p>
    <w:p w:rsidR="00085B04" w:rsidRDefault="00085B04">
      <w:r>
        <w:t>SOM BEAKTAR ATT rådet i en akt av den 27 september 1996 har utarbetat ett protokoll som särskilt avser korruptiva handlingar som såväl nationella tjänstemän som gemenskapstjänstemän är delaktiga i och som skadar eller skulle kunna skada Europeiska gemenskapernas finans</w:t>
      </w:r>
      <w:r>
        <w:t>i</w:t>
      </w:r>
      <w:r>
        <w:t>ella intressen,</w:t>
      </w:r>
    </w:p>
    <w:p w:rsidR="00085B04" w:rsidRDefault="00085B04">
      <w:r>
        <w:t>SOM BEAKTAR nödvändigheten av att för att förbättra det straffrättsliga samarbetet mellan medlemsstaterna gå längre än enligt nämnda protokoll och utarbeta en konvention som avser korruptiva handlingar i vilka Europeiska gemenskapernas tjänstemän eller tjänstemän i medlemsstaterna i allmänhet är delaktiga, och</w:t>
      </w:r>
    </w:p>
    <w:p w:rsidR="00085B04" w:rsidRDefault="00085B04">
      <w:r>
        <w:t>SOM ÄR ANGELÄGNA om att säkerställa en enhetlig och effektiv tilläm</w:t>
      </w:r>
      <w:r>
        <w:t>p</w:t>
      </w:r>
      <w:r>
        <w:t>ning av denna konvention inom hela Europeiska unionen,</w:t>
      </w:r>
    </w:p>
    <w:p w:rsidR="00085B04" w:rsidRDefault="00085B04">
      <w:r>
        <w:t>HAR ENATS OM FÖLJANDE BESTÄMMELSER.</w:t>
      </w:r>
    </w:p>
    <w:p w:rsidR="00085B04" w:rsidRDefault="00085B04">
      <w:pPr>
        <w:pStyle w:val="Rubrik4"/>
        <w:jc w:val="center"/>
      </w:pPr>
      <w:bookmarkStart w:id="204" w:name="_Toc445710287"/>
      <w:bookmarkStart w:id="205" w:name="_Toc446307516"/>
      <w:r>
        <w:t>Artikel 1</w:t>
      </w:r>
      <w:bookmarkEnd w:id="204"/>
      <w:bookmarkEnd w:id="205"/>
    </w:p>
    <w:p w:rsidR="00085B04" w:rsidRDefault="00085B04">
      <w:pPr>
        <w:pStyle w:val="Rubrik3"/>
        <w:spacing w:before="123"/>
        <w:jc w:val="center"/>
      </w:pPr>
      <w:bookmarkStart w:id="206" w:name="_Toc445710288"/>
      <w:bookmarkStart w:id="207" w:name="_Toc446307517"/>
      <w:r>
        <w:t>Definitioner</w:t>
      </w:r>
      <w:bookmarkEnd w:id="206"/>
      <w:bookmarkEnd w:id="207"/>
    </w:p>
    <w:p w:rsidR="00085B04" w:rsidRDefault="00085B04">
      <w:r>
        <w:t>I denna konvention avses med</w:t>
      </w:r>
    </w:p>
    <w:p w:rsidR="00085B04" w:rsidRDefault="00085B04">
      <w:r>
        <w:t>a) tjänsteman: alla gemenskapstjänstemän och alla nationella tjänstemän, inklusive alla nationella tjänstemän från en annan medlemsstat,</w:t>
      </w:r>
    </w:p>
    <w:p w:rsidR="00085B04" w:rsidRDefault="00085B04">
      <w:r>
        <w:t>b) gemenskapstjänsteman:</w:t>
      </w:r>
    </w:p>
    <w:p w:rsidR="00085B04" w:rsidRDefault="00085B04">
      <w:r>
        <w:t>– varje person som är tjänsteman eller kontraktsanställd i den mening som avses i tjänsteföreskrifterna för tjänstemännen i Europeiska gemenskaperna eller i anställningsvillkoren för övriga anställda i Europeiska gemenskape</w:t>
      </w:r>
      <w:r>
        <w:t>r</w:t>
      </w:r>
      <w:r>
        <w:t>na,</w:t>
      </w:r>
    </w:p>
    <w:p w:rsidR="00085B04" w:rsidRDefault="00085B04">
      <w:r>
        <w:t>– varje person som har ställts till Europeiska gemenskapernas förfogande av medlemsstaterna eller av något offentligt eller privat organ som utför up</w:t>
      </w:r>
      <w:r>
        <w:t>p</w:t>
      </w:r>
      <w:r>
        <w:t>gifter som motsvarar dem som Europeiska gemenskapernas tjänstemän eller övriga anställda utför.</w:t>
      </w:r>
    </w:p>
    <w:p w:rsidR="00085B04" w:rsidRDefault="00085B04">
      <w:r>
        <w:t>Medlemmar i de organ som bildats enligt fördragen om upprättandet av Europeiska gemenskaperna samt dessa organs personal likställs med geme</w:t>
      </w:r>
      <w:r>
        <w:t>n</w:t>
      </w:r>
      <w:r>
        <w:t>skapstjänstemän, om de inte omfattas av tjänsteföreskrifterna för tjänstemän i Europeiska gemenskaperna eller anställningsvillkoren för övriga anställda i Europeiska g</w:t>
      </w:r>
      <w:r>
        <w:t>e</w:t>
      </w:r>
      <w:r>
        <w:t>menskaperna,</w:t>
      </w:r>
    </w:p>
    <w:p w:rsidR="00085B04" w:rsidRDefault="00085B04">
      <w:r>
        <w:t>c) nationell tjänsteman: ett begrepp som skall tolkas med hänvisning till den definition tjänsteman eller ämbetsman har i den nationella rätten i den me</w:t>
      </w:r>
      <w:r>
        <w:t>d</w:t>
      </w:r>
      <w:r>
        <w:t>lemsstat där personen i fråga innehar denna egenskap vid tillämpning av dess straffrätt.</w:t>
      </w:r>
    </w:p>
    <w:p w:rsidR="00085B04" w:rsidRDefault="00085B04">
      <w:r>
        <w:t>När det gäller rättsliga åtgärder beträffande en tjänsteman från en medlem</w:t>
      </w:r>
      <w:r>
        <w:t>s</w:t>
      </w:r>
      <w:r>
        <w:t>stat, vilka vidtas av en annan medlemsstat, behöver den sist</w:t>
      </w:r>
      <w:r>
        <w:softHyphen/>
        <w:t>nämnda staten tillämpa definitionen på nationell tjänsteman endast i den mån den definiti</w:t>
      </w:r>
      <w:r>
        <w:t>o</w:t>
      </w:r>
      <w:r>
        <w:t>nen överensstämmer med dess nati</w:t>
      </w:r>
      <w:r>
        <w:t>o</w:t>
      </w:r>
      <w:r>
        <w:t>nella lagstiftning.</w:t>
      </w:r>
    </w:p>
    <w:p w:rsidR="00085B04" w:rsidRDefault="00085B04">
      <w:pPr>
        <w:pStyle w:val="Rubrik4"/>
        <w:jc w:val="center"/>
      </w:pPr>
      <w:bookmarkStart w:id="208" w:name="_Toc445710289"/>
      <w:bookmarkStart w:id="209" w:name="_Toc446307518"/>
      <w:r>
        <w:t>Artikel 2</w:t>
      </w:r>
      <w:bookmarkEnd w:id="208"/>
      <w:bookmarkEnd w:id="209"/>
    </w:p>
    <w:p w:rsidR="00085B04" w:rsidRDefault="00085B04">
      <w:pPr>
        <w:pStyle w:val="Rubrik3"/>
        <w:spacing w:before="123"/>
        <w:jc w:val="center"/>
      </w:pPr>
      <w:bookmarkStart w:id="210" w:name="_Toc445710290"/>
      <w:bookmarkStart w:id="211" w:name="_Toc446307519"/>
      <w:r>
        <w:t>Mutbrott</w:t>
      </w:r>
      <w:bookmarkEnd w:id="210"/>
      <w:bookmarkEnd w:id="211"/>
    </w:p>
    <w:p w:rsidR="00085B04" w:rsidRDefault="00085B04">
      <w:r>
        <w:t>1. I denna konvention avses med mutbrott varje avsiktlig handling som utförs av en tjänsteman för att, direkt eller genom tredje man, för egen räkning eller för tredje mans räkning, begära eller ta emot förmåner, oavsett art, eller att acceptera löften härom för att på ett sätt som strider mot hans officiella fö</w:t>
      </w:r>
      <w:r>
        <w:t>r</w:t>
      </w:r>
      <w:r>
        <w:t>pliktelser utföra eller underlåta att utföra en handling i tjänsten eller vid utövandet av tjänsten.</w:t>
      </w:r>
    </w:p>
    <w:p w:rsidR="00085B04" w:rsidRDefault="00085B04">
      <w:r>
        <w:t>2. Varje medlemsstat skall vidta de åtgärder som behövs för att säkra att en sådan gärning som avses i punkt 1 straffbeläggs.</w:t>
      </w:r>
    </w:p>
    <w:p w:rsidR="00085B04" w:rsidRDefault="00085B04">
      <w:pPr>
        <w:pStyle w:val="Rubrik4"/>
        <w:jc w:val="center"/>
      </w:pPr>
      <w:bookmarkStart w:id="212" w:name="_Toc445710291"/>
      <w:bookmarkStart w:id="213" w:name="_Toc446307520"/>
      <w:r>
        <w:t>Artikel 3</w:t>
      </w:r>
      <w:bookmarkEnd w:id="212"/>
      <w:bookmarkEnd w:id="213"/>
    </w:p>
    <w:p w:rsidR="00085B04" w:rsidRDefault="00085B04">
      <w:pPr>
        <w:pStyle w:val="Rubrik3"/>
        <w:spacing w:before="123"/>
        <w:jc w:val="center"/>
      </w:pPr>
      <w:bookmarkStart w:id="214" w:name="_Toc445710292"/>
      <w:bookmarkStart w:id="215" w:name="_Toc446307521"/>
      <w:r>
        <w:t>Bestickning</w:t>
      </w:r>
      <w:bookmarkEnd w:id="214"/>
      <w:bookmarkEnd w:id="215"/>
    </w:p>
    <w:p w:rsidR="00085B04" w:rsidRDefault="00085B04">
      <w:r>
        <w:t>1. I denna konvention avses med bestickning varje avsiktlig handling som utförs av en person för att direkt eller genom tredje man utlova eller bevilja en förmån, oavsett art, till en tjänsteman, för egen räkning eller för tredje mans räkning, för att denne på ett sätt som strider mot hans officiella fö</w:t>
      </w:r>
      <w:r>
        <w:t>r</w:t>
      </w:r>
      <w:r>
        <w:t>pliktelser skall utföra eller underlåta att utföra en handling i tjänsten eller vid utövandet av tjän</w:t>
      </w:r>
      <w:r>
        <w:t>s</w:t>
      </w:r>
      <w:r>
        <w:t>ten.</w:t>
      </w:r>
    </w:p>
    <w:p w:rsidR="00085B04" w:rsidRDefault="00085B04">
      <w:r>
        <w:t>2. Varje medlemsstat skall vidta de åtgärder som behövs för att säkra att en sådan gärning som avses i stycke 1 straffbeläggs.</w:t>
      </w:r>
    </w:p>
    <w:p w:rsidR="00085B04" w:rsidRDefault="00085B04">
      <w:pPr>
        <w:pStyle w:val="Rubrik4"/>
        <w:jc w:val="center"/>
      </w:pPr>
      <w:bookmarkStart w:id="216" w:name="_Toc445710293"/>
      <w:bookmarkStart w:id="217" w:name="_Toc446307522"/>
      <w:r>
        <w:t>Artikel 4</w:t>
      </w:r>
      <w:bookmarkEnd w:id="216"/>
      <w:bookmarkEnd w:id="217"/>
    </w:p>
    <w:p w:rsidR="00085B04" w:rsidRDefault="00085B04">
      <w:pPr>
        <w:pStyle w:val="Rubrik3"/>
        <w:spacing w:before="123"/>
        <w:jc w:val="center"/>
      </w:pPr>
      <w:bookmarkStart w:id="218" w:name="_Toc445710294"/>
      <w:bookmarkStart w:id="219" w:name="_Toc446307523"/>
      <w:r>
        <w:t>Likabehandling</w:t>
      </w:r>
      <w:bookmarkEnd w:id="218"/>
      <w:bookmarkEnd w:id="219"/>
    </w:p>
    <w:p w:rsidR="00085B04" w:rsidRDefault="00085B04">
      <w:r>
        <w:t>l. Varje medlemsstat skall vidta de åtgärder som behövs för att säkra att bestämmelserna i dess strafflagstiftning som är tillämpliga på de gärningar som avses i artiklarna 2 och 3 när de begås av eller gentemot ministrarna i dess regering, de valda ledamöterna i dess parlamentariska församlingar eller ledamöterna av landets högsta domstolar eller revisionsdomstol vid tjän</w:t>
      </w:r>
      <w:r>
        <w:t>s</w:t>
      </w:r>
      <w:r>
        <w:t>teutövning, tillämpas på samma sätt när gärningarna begås av eller gentemot ledamöterna av Europeiska gemenskapernas kommission, av Europaparl</w:t>
      </w:r>
      <w:r>
        <w:t>a</w:t>
      </w:r>
      <w:r>
        <w:t>mentet, domarna i Europeiska gemenskapernas domstol eller ledamöterna av Europeiska gemenskapernas revisionsrätt vid tjänsteutö</w:t>
      </w:r>
      <w:r>
        <w:t>v</w:t>
      </w:r>
      <w:r>
        <w:t>ning.</w:t>
      </w:r>
    </w:p>
    <w:p w:rsidR="00085B04" w:rsidRDefault="00085B04">
      <w:r>
        <w:t>2. Om en medlemsstat har antagit speciella lagar om handlingar eller unde</w:t>
      </w:r>
      <w:r>
        <w:t>r</w:t>
      </w:r>
      <w:r>
        <w:t>låtenhet för vilka ministrarna i dess regering bör stå till svars, på grund av den särskilda politiska ställning de har i den staten, behöver punkt 1 i denna artikel inte tillämpas på dessa lagar, under förutsättning att medlemsstaten garanterar att den strafflagstiftning som genomför artiklarna 2 och 3 även omfattar ledamöterna i Europeiska geme</w:t>
      </w:r>
      <w:r>
        <w:t>n</w:t>
      </w:r>
      <w:r>
        <w:t>skapernas kommission.</w:t>
      </w:r>
    </w:p>
    <w:p w:rsidR="00085B04" w:rsidRDefault="00085B04">
      <w:r>
        <w:t>3. Punkterna 1 och 2 skall inte påverka tillämpningen av de bestämmelser om straffprocessrätt och om fastställande av laga domstol som är ti</w:t>
      </w:r>
      <w:r>
        <w:t>llämpliga i varje medlemsstat.</w:t>
      </w:r>
    </w:p>
    <w:p w:rsidR="00085B04" w:rsidRDefault="00085B04">
      <w:r>
        <w:t>4. Denna konvention skall tillämpas i full överensstämmelse med de rel</w:t>
      </w:r>
      <w:r>
        <w:t>e</w:t>
      </w:r>
      <w:r>
        <w:t>vanta bestämmelserna i fördragen om upprättandet av Europeiska gemensk</w:t>
      </w:r>
      <w:r>
        <w:t>a</w:t>
      </w:r>
      <w:r>
        <w:t>perna, protokollet om immunitet och privilegier för Europeiska gemensk</w:t>
      </w:r>
      <w:r>
        <w:t>a</w:t>
      </w:r>
      <w:r>
        <w:t>perna, domstolens stadga samt med de texter som har antagits för att tillämpa dem vad beträffar up</w:t>
      </w:r>
      <w:r>
        <w:t>p</w:t>
      </w:r>
      <w:r>
        <w:t>hävande av immunitet.</w:t>
      </w:r>
    </w:p>
    <w:p w:rsidR="00085B04" w:rsidRDefault="00085B04">
      <w:pPr>
        <w:pStyle w:val="Rubrik4"/>
        <w:jc w:val="center"/>
      </w:pPr>
      <w:bookmarkStart w:id="220" w:name="_Toc445710295"/>
      <w:bookmarkStart w:id="221" w:name="_Toc446307524"/>
      <w:r>
        <w:t>Artikel 5</w:t>
      </w:r>
      <w:bookmarkEnd w:id="220"/>
      <w:bookmarkEnd w:id="221"/>
    </w:p>
    <w:p w:rsidR="00085B04" w:rsidRDefault="00085B04">
      <w:pPr>
        <w:pStyle w:val="Rubrik3"/>
        <w:spacing w:before="123"/>
        <w:jc w:val="center"/>
      </w:pPr>
      <w:bookmarkStart w:id="222" w:name="_Toc445710296"/>
      <w:bookmarkStart w:id="223" w:name="_Toc446307525"/>
      <w:r>
        <w:t>Påföljder</w:t>
      </w:r>
      <w:bookmarkEnd w:id="222"/>
      <w:bookmarkEnd w:id="223"/>
    </w:p>
    <w:p w:rsidR="00085B04" w:rsidRDefault="00085B04">
      <w:r>
        <w:t>1. Varje medlemsstat skall vidta de åtgärder som behövs för att säkra att de gärningar som avses i artiklarna 2 och 3 samt medverkan till och anstiftan av dessa gärningar kan medföra effektiva, proportionella och avskräckande påföljder, däribland, åtminstone i allvarliga fall, frihetsberövande påföljder vilka kan leda till utlä</w:t>
      </w:r>
      <w:r>
        <w:t>m</w:t>
      </w:r>
      <w:r>
        <w:t>ning.</w:t>
      </w:r>
    </w:p>
    <w:p w:rsidR="00085B04" w:rsidRDefault="00085B04">
      <w:r>
        <w:t>2. Punkt 1 skall inte påverka behöriga myndigheters utövande av sina disci</w:t>
      </w:r>
      <w:r>
        <w:t>p</w:t>
      </w:r>
      <w:r>
        <w:t>linära befogenheter i förhållande till nationella tjänstemän eller gemenska</w:t>
      </w:r>
      <w:r>
        <w:t>p</w:t>
      </w:r>
      <w:r>
        <w:t>s-tjänstemän. Vid bestämmandet av vilken straffrättslig påföljd som skall ådömas kan de nationella domstolarna, i enlighet med principerna i sin egen lagstiftning, beakta eventuella disciplinpåföljder som redan har drabbat samma person för samma uppträdande.</w:t>
      </w:r>
    </w:p>
    <w:p w:rsidR="00085B04" w:rsidRDefault="00085B04">
      <w:pPr>
        <w:pStyle w:val="Rubrik4"/>
        <w:jc w:val="center"/>
      </w:pPr>
      <w:bookmarkStart w:id="224" w:name="_Toc445710297"/>
      <w:bookmarkStart w:id="225" w:name="_Toc446307526"/>
      <w:r>
        <w:t>Artikel 6</w:t>
      </w:r>
      <w:bookmarkEnd w:id="224"/>
      <w:bookmarkEnd w:id="225"/>
    </w:p>
    <w:p w:rsidR="00085B04" w:rsidRDefault="00085B04">
      <w:pPr>
        <w:pStyle w:val="Rubrik3"/>
        <w:spacing w:before="123"/>
        <w:jc w:val="center"/>
      </w:pPr>
      <w:bookmarkStart w:id="226" w:name="_Toc445710298"/>
      <w:bookmarkStart w:id="227" w:name="_Toc446307527"/>
      <w:r>
        <w:t>Straffrättsligt ansvar för företagsledare</w:t>
      </w:r>
      <w:bookmarkEnd w:id="226"/>
      <w:bookmarkEnd w:id="227"/>
    </w:p>
    <w:p w:rsidR="00085B04" w:rsidRDefault="00085B04">
      <w:r>
        <w:t>Varje medlemsstat skall vidta nödvändiga åtgärder för att företagsledare eller andra personer med befogenhet att fatta beslut eller utöva kontroll inom ett företag skall kunna hållas straffrättsligt ansvariga enligt de principer som anges i den nationella rätten, i fråga om korruption enligt artikel 3, om gä</w:t>
      </w:r>
      <w:r>
        <w:t>r</w:t>
      </w:r>
      <w:r>
        <w:t>ningen har begåtts för företagets räkning av en person som är underställd dem.</w:t>
      </w:r>
    </w:p>
    <w:p w:rsidR="00085B04" w:rsidRDefault="00085B04">
      <w:pPr>
        <w:pStyle w:val="Rubrik4"/>
        <w:jc w:val="center"/>
      </w:pPr>
      <w:bookmarkStart w:id="228" w:name="_Toc445710299"/>
      <w:bookmarkStart w:id="229" w:name="_Toc446307528"/>
      <w:r>
        <w:t>Artikel 7</w:t>
      </w:r>
      <w:bookmarkEnd w:id="228"/>
      <w:bookmarkEnd w:id="229"/>
    </w:p>
    <w:p w:rsidR="00085B04" w:rsidRDefault="00085B04">
      <w:pPr>
        <w:pStyle w:val="Rubrik3"/>
        <w:spacing w:before="123"/>
        <w:jc w:val="center"/>
      </w:pPr>
      <w:bookmarkStart w:id="230" w:name="_Toc445710300"/>
      <w:bookmarkStart w:id="231" w:name="_Toc446307529"/>
      <w:r>
        <w:t>Behörighet</w:t>
      </w:r>
      <w:bookmarkEnd w:id="230"/>
      <w:bookmarkEnd w:id="231"/>
    </w:p>
    <w:p w:rsidR="00085B04" w:rsidRDefault="00085B04">
      <w:r>
        <w:t>1. Varje medlemsstat skall vidta nödvändiga åtgärder för att etablera sin behörighet vad gäller de gärningar som den har straffbelagt i enlighet med de skyldigheter som följer av artiklarna 2, 3 och 4 när</w:t>
      </w:r>
    </w:p>
    <w:p w:rsidR="00085B04" w:rsidRDefault="00085B04">
      <w:r>
        <w:t>a) gärningen helt eller delvis begåtts på dess territorium,</w:t>
      </w:r>
    </w:p>
    <w:p w:rsidR="00085B04" w:rsidRDefault="00085B04">
      <w:r>
        <w:t>b) gärningsmannen är medborgare eller tjänsteman i den berörda staten,</w:t>
      </w:r>
    </w:p>
    <w:p w:rsidR="00085B04" w:rsidRDefault="00085B04">
      <w:r>
        <w:t>c) gärningen har begåtts gentemot någon av de personer som avses i artikel 1 eller gentemot ledamöter av de institutioner inom Europeiska gemenskapen som avses i artikel 4.1 och som dessutom är medborgare i den berörda staten,</w:t>
      </w:r>
    </w:p>
    <w:p w:rsidR="00085B04" w:rsidRDefault="00085B04">
      <w:r>
        <w:t>d) gärningsmannen är gemenskapstjänsteman som tjänstgör vid någon av Europeiska gemenskapernas institutioner eller vid ett organ som har bildats enligt fördragen om upprättandet av Europeiska gemenskaperna och har sitt säte i den berörda medlemsst</w:t>
      </w:r>
      <w:r>
        <w:t>a</w:t>
      </w:r>
      <w:r>
        <w:t>ten.</w:t>
      </w:r>
    </w:p>
    <w:p w:rsidR="00085B04" w:rsidRDefault="00085B04">
      <w:r>
        <w:t>2. Varje medlemsstat kan vid anmälan enligt artikel 13.2, förklara att den inte kommer att tillämpa, eller endast i särskilda fall eller under särskilda o</w:t>
      </w:r>
      <w:r>
        <w:t>m</w:t>
      </w:r>
      <w:r>
        <w:t>ständigheter kommer att tillämpa, en eller flera av bestämmelserna om beh</w:t>
      </w:r>
      <w:r>
        <w:t>ö</w:t>
      </w:r>
      <w:r>
        <w:t>righet i punkt 1 b, c och d.</w:t>
      </w:r>
    </w:p>
    <w:p w:rsidR="00085B04" w:rsidRDefault="00085B04">
      <w:pPr>
        <w:pStyle w:val="Rubrik4"/>
        <w:jc w:val="center"/>
      </w:pPr>
      <w:bookmarkStart w:id="232" w:name="_Toc445710301"/>
      <w:bookmarkStart w:id="233" w:name="_Toc446307530"/>
      <w:r>
        <w:t>Artikel 8</w:t>
      </w:r>
      <w:bookmarkEnd w:id="232"/>
      <w:bookmarkEnd w:id="233"/>
    </w:p>
    <w:p w:rsidR="00085B04" w:rsidRDefault="00085B04">
      <w:pPr>
        <w:pStyle w:val="Rubrik3"/>
        <w:spacing w:before="123"/>
        <w:jc w:val="center"/>
      </w:pPr>
      <w:bookmarkStart w:id="234" w:name="_Toc445710302"/>
      <w:bookmarkStart w:id="235" w:name="_Toc446307531"/>
      <w:r>
        <w:t>Utlämning och åtal</w:t>
      </w:r>
      <w:bookmarkEnd w:id="234"/>
      <w:bookmarkEnd w:id="235"/>
    </w:p>
    <w:p w:rsidR="00085B04" w:rsidRDefault="00085B04">
      <w:r>
        <w:t>l. Varje medlemsstat som enligt sin nationella lagstiftning inte utlämnar sina egna medborgare skall vidta nödvändiga åtgärder för att kunna utöva juri</w:t>
      </w:r>
      <w:r>
        <w:t>s</w:t>
      </w:r>
      <w:r>
        <w:t>diktion i fråga om gärningar som staten har straffbelagt i enlighet med de skyldigheter som följer av artiklarna 2, 3 och 4 och som begåtts av dess egna medborgare utanför dess territ</w:t>
      </w:r>
      <w:r>
        <w:t>o</w:t>
      </w:r>
      <w:r>
        <w:t>rium.</w:t>
      </w:r>
    </w:p>
    <w:p w:rsidR="00085B04" w:rsidRDefault="00085B04">
      <w:r>
        <w:t>2. När en medborgare i en medlemsstat anklagas för att i en annan medlem</w:t>
      </w:r>
      <w:r>
        <w:t>s</w:t>
      </w:r>
      <w:r>
        <w:t>stat ha begått en gärning som har straffbelagts i enlighet med de skyldigheter som följer av artiklarna 2, 3 och 4, och medlemsstaten inte utlämnar denna person till den andra medlemsstaten enbart på grund av dennes medborga</w:t>
      </w:r>
      <w:r>
        <w:t>r</w:t>
      </w:r>
      <w:r>
        <w:t>skap, skall den överlämna ärendet till sina behöriga myndigheter för åtal, om det finns anledning till detta. För att möjliggöra lagföring skall akter, upply</w:t>
      </w:r>
      <w:r>
        <w:t>s</w:t>
      </w:r>
      <w:r>
        <w:t>ningar och föremål som rör gärningen överlämnas i enlighet med bestämme</w:t>
      </w:r>
      <w:r>
        <w:t>l</w:t>
      </w:r>
      <w:r>
        <w:t>serna i artikel 6 i Europeiska utlämningskonventionen av</w:t>
      </w:r>
      <w:r>
        <w:t xml:space="preserve"> den 13 december 1957. Den ansökande medlemsstaten skall underrättas om vilka rättsliga åtgärder som har vidtagits och resultatet av dessa.</w:t>
      </w:r>
    </w:p>
    <w:p w:rsidR="00085B04" w:rsidRDefault="00085B04">
      <w:r>
        <w:t>3. Vad som avses med en medlemsstats egna "medborgare" skall i denna artikel tolkas i enlighet med varje förklaring som den staten har lämnat enligt artikel 6.1 b och 6.1 c i Europeiska utlämningskonventionen.</w:t>
      </w:r>
    </w:p>
    <w:p w:rsidR="00085B04" w:rsidRDefault="00085B04">
      <w:pPr>
        <w:pStyle w:val="Rubrik4"/>
        <w:jc w:val="center"/>
      </w:pPr>
      <w:bookmarkStart w:id="236" w:name="_Toc445710303"/>
      <w:bookmarkStart w:id="237" w:name="_Toc446307532"/>
      <w:r>
        <w:t>Artikel 9</w:t>
      </w:r>
      <w:bookmarkEnd w:id="236"/>
      <w:bookmarkEnd w:id="237"/>
    </w:p>
    <w:p w:rsidR="00085B04" w:rsidRDefault="00085B04">
      <w:pPr>
        <w:pStyle w:val="Rubrik3"/>
        <w:spacing w:before="123"/>
        <w:jc w:val="center"/>
      </w:pPr>
      <w:bookmarkStart w:id="238" w:name="_Toc445710304"/>
      <w:bookmarkStart w:id="239" w:name="_Toc446307533"/>
      <w:r>
        <w:t>Samarbete</w:t>
      </w:r>
      <w:bookmarkEnd w:id="238"/>
      <w:bookmarkEnd w:id="239"/>
    </w:p>
    <w:p w:rsidR="00085B04" w:rsidRDefault="00085B04">
      <w:r>
        <w:t>1. Om ett förfarande, som gäller en gärning som har straffbelagts i enlighet med de skyldigheter som följer av artiklarna 2, 3 och 4, rör minst två me</w:t>
      </w:r>
      <w:r>
        <w:t>d</w:t>
      </w:r>
      <w:r>
        <w:t>lemsstater, skall dessa stater samarbeta effektivt vid förundersökning, lagf</w:t>
      </w:r>
      <w:r>
        <w:t>ö</w:t>
      </w:r>
      <w:r>
        <w:t>ring och straffverkställighet, t.ex. genom inbördes rättshjälp, utlämning, överförande av lagföring eller verkställighet av domar som har meddelats i en annan medlem</w:t>
      </w:r>
      <w:r>
        <w:t>s</w:t>
      </w:r>
      <w:r>
        <w:t>stat.</w:t>
      </w:r>
    </w:p>
    <w:p w:rsidR="00085B04" w:rsidRDefault="00085B04">
      <w:r>
        <w:t xml:space="preserve">2. När fler än en medlemsstat har jurisdiktion och möjlighet att väcka åtal för samma gärning, skall de berörda medlemsstaterna samarbeta för att avgöra vem av dem som skall lagföra gärningsmannen eller gärningsmännen så att lagföringen, där det är möjligt, kan </w:t>
      </w:r>
      <w:r>
        <w:t>ske i en och samma medlemsstat.</w:t>
      </w:r>
    </w:p>
    <w:p w:rsidR="00085B04" w:rsidRDefault="00085B04">
      <w:pPr>
        <w:pStyle w:val="Rubrik4"/>
        <w:jc w:val="center"/>
      </w:pPr>
      <w:bookmarkStart w:id="240" w:name="_Toc445710305"/>
      <w:bookmarkStart w:id="241" w:name="_Toc446307534"/>
      <w:r>
        <w:t>Artikel 10</w:t>
      </w:r>
      <w:bookmarkEnd w:id="240"/>
      <w:bookmarkEnd w:id="241"/>
    </w:p>
    <w:p w:rsidR="00085B04" w:rsidRDefault="00085B04">
      <w:pPr>
        <w:pStyle w:val="Rubrik3"/>
        <w:spacing w:before="123"/>
        <w:jc w:val="center"/>
      </w:pPr>
      <w:bookmarkStart w:id="242" w:name="_Toc445710306"/>
      <w:bookmarkStart w:id="243" w:name="_Toc446307535"/>
      <w:r>
        <w:t>Ne bis in idem</w:t>
      </w:r>
      <w:bookmarkEnd w:id="242"/>
      <w:bookmarkEnd w:id="243"/>
    </w:p>
    <w:p w:rsidR="00085B04" w:rsidRDefault="00085B04">
      <w:r>
        <w:t>1. Medlemsstaterna skall i sin nationella straffrätt tillämpa principen att en person som slutligt dömts i en medlemsstat inte får lagföras för samma gä</w:t>
      </w:r>
      <w:r>
        <w:t>r</w:t>
      </w:r>
      <w:r>
        <w:t>ning i en annan medlemsstat (”ne bis in idem”), om påföljden vid fällande dom har verkställts, håller på att verkställas eller inte längre kan verkställas enligt det dömande la</w:t>
      </w:r>
      <w:r>
        <w:t>n</w:t>
      </w:r>
      <w:r>
        <w:t>dets lag.</w:t>
      </w:r>
    </w:p>
    <w:p w:rsidR="00085B04" w:rsidRDefault="00085B04">
      <w:r>
        <w:t>2. Varje medlemsstat får, i samband med anmälan enligt artikel 13.2, förklara att den inte skall vara bunden av punkt 1 i denna artikel i ett eller flera av följande fall</w:t>
      </w:r>
    </w:p>
    <w:p w:rsidR="00085B04" w:rsidRDefault="00085B04">
      <w:r>
        <w:t>a) om den gärning som har legat till grund för den dom som har meddelats i en annan stat begåtts inom medlemsstatens territorium, helt eller delvis; i det senare fallet skall detta undantag inte gälla om gärningen delvis har begåtts inom den medlemsstats territorium där domen har me</w:t>
      </w:r>
      <w:r>
        <w:t>d</w:t>
      </w:r>
      <w:r>
        <w:t>delats,</w:t>
      </w:r>
    </w:p>
    <w:p w:rsidR="00085B04" w:rsidRDefault="00085B04">
      <w:r>
        <w:t xml:space="preserve">b) om den gärning som har legat till grund för den dom som har meddelats i en annan stat har riktats mot den medlemsstatens säkerhet eller andra för den staten lika viktiga intressen, </w:t>
      </w:r>
    </w:p>
    <w:p w:rsidR="00085B04" w:rsidRDefault="00085B04">
      <w:r>
        <w:t>c) om den gärning som har legat till grund för den dom som har meddelats i en annan stat har begåtts av en tjänsteman i medlemsstaten i fråga i strid med dennes tjänsteåli</w:t>
      </w:r>
      <w:r>
        <w:t>g</w:t>
      </w:r>
      <w:r>
        <w:t>ganden.</w:t>
      </w:r>
    </w:p>
    <w:p w:rsidR="00085B04" w:rsidRDefault="00085B04">
      <w:r>
        <w:t>3. Om ytterligare lagföring inleds i en medlemsstat mot en person som slu</w:t>
      </w:r>
      <w:r>
        <w:t>t</w:t>
      </w:r>
      <w:r>
        <w:t>giltigt har dömts för samma gärningar i en annan medlemsstat skall varje sådant frihetsberövande som avtjänats i den sistnämnda staten på grund av dessa gärningar räknas av från den påföljd som eventuellt ådöms. I den mån de nationella lagstiftningarna medger detta, skall hänsyn också tas till andra påföljder än frihetsberövande påföljder vilka redan har verkställts.</w:t>
      </w:r>
    </w:p>
    <w:p w:rsidR="00085B04" w:rsidRDefault="00085B04">
      <w:r>
        <w:t>4. De undantag som har gjorts till föremål för en förklaring enligt punkt 2 skall inte vara tillämpliga, om den berörda medlemsstaten på grun</w:t>
      </w:r>
      <w:r>
        <w:t>d av sa</w:t>
      </w:r>
      <w:r>
        <w:t>m</w:t>
      </w:r>
      <w:r>
        <w:t>ma gärning har begärt att en annan medlemsstat skall lagföra personen i fråga eller har beviljat u</w:t>
      </w:r>
      <w:r>
        <w:t>t</w:t>
      </w:r>
      <w:r>
        <w:t>lämning av denne.</w:t>
      </w:r>
    </w:p>
    <w:p w:rsidR="00085B04" w:rsidRDefault="00085B04">
      <w:r>
        <w:t>5. Tillämpliga bilaterala eller multilaterala överenskommelser som har i</w:t>
      </w:r>
      <w:r>
        <w:t>n</w:t>
      </w:r>
      <w:r>
        <w:t>gåtts mellan medlemsstater och därtill hörande förklaringar påverkas inte av denna artikel.</w:t>
      </w:r>
    </w:p>
    <w:p w:rsidR="00085B04" w:rsidRDefault="00085B04">
      <w:pPr>
        <w:pStyle w:val="Rubrik4"/>
        <w:jc w:val="center"/>
      </w:pPr>
      <w:bookmarkStart w:id="244" w:name="_Toc445710307"/>
      <w:bookmarkStart w:id="245" w:name="_Toc446307536"/>
      <w:r>
        <w:t>Artikel 11</w:t>
      </w:r>
      <w:bookmarkEnd w:id="244"/>
      <w:bookmarkEnd w:id="245"/>
    </w:p>
    <w:p w:rsidR="00085B04" w:rsidRDefault="00085B04">
      <w:pPr>
        <w:pStyle w:val="Rubrik3"/>
        <w:spacing w:before="123"/>
        <w:jc w:val="center"/>
      </w:pPr>
      <w:bookmarkStart w:id="246" w:name="_Toc445710308"/>
      <w:bookmarkStart w:id="247" w:name="_Toc446307537"/>
      <w:r>
        <w:t>Nationella bestämmelser</w:t>
      </w:r>
      <w:bookmarkEnd w:id="246"/>
      <w:bookmarkEnd w:id="247"/>
    </w:p>
    <w:p w:rsidR="00085B04" w:rsidRDefault="00085B04">
      <w:r>
        <w:t>Bestämmelserna i denna konvention hindrar inte medlemsstaterna från att besluta om nationella föreskrifter som går utöver de skyldigheter som följer av denna konve</w:t>
      </w:r>
      <w:r>
        <w:t>n</w:t>
      </w:r>
      <w:r>
        <w:t>tion.</w:t>
      </w:r>
    </w:p>
    <w:p w:rsidR="00085B04" w:rsidRDefault="00085B04">
      <w:pPr>
        <w:pStyle w:val="Rubrik4"/>
        <w:jc w:val="center"/>
      </w:pPr>
      <w:bookmarkStart w:id="248" w:name="_Toc445710309"/>
      <w:bookmarkStart w:id="249" w:name="_Toc446307538"/>
      <w:r>
        <w:t>Artikel 12</w:t>
      </w:r>
      <w:bookmarkEnd w:id="248"/>
      <w:bookmarkEnd w:id="249"/>
    </w:p>
    <w:p w:rsidR="00085B04" w:rsidRDefault="00085B04">
      <w:pPr>
        <w:pStyle w:val="Rubrik3"/>
        <w:spacing w:before="123"/>
        <w:jc w:val="center"/>
      </w:pPr>
      <w:bookmarkStart w:id="250" w:name="_Toc445710310"/>
      <w:bookmarkStart w:id="251" w:name="_Toc446307539"/>
      <w:r>
        <w:t>Domstolen</w:t>
      </w:r>
      <w:bookmarkEnd w:id="250"/>
      <w:bookmarkEnd w:id="251"/>
    </w:p>
    <w:p w:rsidR="00085B04" w:rsidRDefault="00085B04">
      <w:r>
        <w:t>1. Alla tvister mellan medlemsstater om tolkningen eller tillämpningen av denna konvention som inte har kunnat lösas bilateralt skall först behandlas inom rådet enligt det förfarande som föreskrivs i avdelning VI i Fördraget om Europeiska unionen, i avsikt att uppnå en lösning. Om ingen lösning har uppnåtts inom sex månader kan en av parterna i tvisten hänskjuta tvisten till Europeiska gemensk</w:t>
      </w:r>
      <w:r>
        <w:t>a</w:t>
      </w:r>
      <w:r>
        <w:t>pernas domstol.</w:t>
      </w:r>
    </w:p>
    <w:p w:rsidR="00085B04" w:rsidRDefault="00085B04">
      <w:r>
        <w:t>2. Alla tvister mellan en eller flera medlemsstater och Europeiska gemensk</w:t>
      </w:r>
      <w:r>
        <w:t>a</w:t>
      </w:r>
      <w:r>
        <w:t>pernas kommission om tillämpningen av artikel l, med undantag för punkt c), och artiklarna 2, 3 och 4, kan, i den utsträckning som de avser gemenskap</w:t>
      </w:r>
      <w:r>
        <w:t>s</w:t>
      </w:r>
      <w:r>
        <w:t>rättsliga frågor eller frågor om gemenskapernas finansiella intressen eller rör medlemmar eller tjänstemän i gemenskapernas institutioner eller i organ som har inrättats med tillämpning av fördragen om upprättandet av Europeiska gemenskaperna och som inte har kunnat lösas genom förhandlingar, kan av någon av parterna i tvisten hänskjutas till do</w:t>
      </w:r>
      <w:r>
        <w:t>m</w:t>
      </w:r>
      <w:r>
        <w:t>stolen.</w:t>
      </w:r>
    </w:p>
    <w:p w:rsidR="00085B04" w:rsidRDefault="00085B04">
      <w:r>
        <w:t>3. Al</w:t>
      </w:r>
      <w:r>
        <w:t>la domstolar i en medlemsstat kan begära att domstolen skall meddela förhandsavgörande i frågor som avser tolkningen av artiklarna 1-4 och 12-16 och som uppkommer i mål som är anhängiga vid dem och rör personer, som är medlemmar eller tjänstemän i gemenskapsinstitutioner eller i med tilläm</w:t>
      </w:r>
      <w:r>
        <w:t>p</w:t>
      </w:r>
      <w:r>
        <w:t>ning av fördragen om upprättandet av Europeiska gemenskaperna inrättade gemenskapsorgan, och som handlar i tjänsten, så snart domstolarna anser att ett beslut i frågan är nödvändigt för att de skall ku</w:t>
      </w:r>
      <w:r>
        <w:t>n</w:t>
      </w:r>
      <w:r>
        <w:t>na döma i målet.</w:t>
      </w:r>
    </w:p>
    <w:p w:rsidR="00085B04" w:rsidRDefault="00085B04">
      <w:r>
        <w:t>4.</w:t>
      </w:r>
      <w:r>
        <w:t xml:space="preserve"> Domstolens behörighet enligt artikel 3 förutsätter att den berörda med-lemsstaten i samband med den anmälan som avses i artikel 13.2 eller senare förklarar att den go</w:t>
      </w:r>
      <w:r>
        <w:t>d</w:t>
      </w:r>
      <w:r>
        <w:t>känner denna behörighet.</w:t>
      </w:r>
    </w:p>
    <w:p w:rsidR="00085B04" w:rsidRDefault="00085B04">
      <w:r>
        <w:t>5. En medlemsstat som avger en förklaring enligt punkt 4 får begränsa mö</w:t>
      </w:r>
      <w:r>
        <w:t>j</w:t>
      </w:r>
      <w:r>
        <w:t>ligheten att begära ett förhandsavgörande från domstolen till att avse de domstolar i medlemsstaten vilkas beslut inte kan överklagas enligt statens egen la</w:t>
      </w:r>
      <w:r>
        <w:t>g</w:t>
      </w:r>
      <w:r>
        <w:t>stiftning.</w:t>
      </w:r>
    </w:p>
    <w:p w:rsidR="00085B04" w:rsidRDefault="00085B04">
      <w:r>
        <w:t>6. Europeiska gemenskapens domstols stadga och dess rättegångsregler skall gälla. I enlighet med den stadgan har alla medlemsstater och kommissionen, oavsett om de har avgivit en förklaring enligt punkt 4 eller inte, rätt att till domstolen överlämna ett yttrande eller skriftliga iakttagelser som rör de mål som är anhängiga vid den till följ</w:t>
      </w:r>
      <w:r>
        <w:t xml:space="preserve">d av punkt 3. </w:t>
      </w:r>
    </w:p>
    <w:p w:rsidR="00085B04" w:rsidRDefault="00085B04">
      <w:pPr>
        <w:pStyle w:val="Rubrik4"/>
        <w:jc w:val="center"/>
      </w:pPr>
      <w:bookmarkStart w:id="252" w:name="_Toc445710311"/>
      <w:bookmarkStart w:id="253" w:name="_Toc446307540"/>
      <w:r>
        <w:t>Artikel 13</w:t>
      </w:r>
      <w:bookmarkEnd w:id="252"/>
      <w:bookmarkEnd w:id="253"/>
    </w:p>
    <w:p w:rsidR="00085B04" w:rsidRDefault="00085B04">
      <w:pPr>
        <w:pStyle w:val="Rubrik3"/>
        <w:spacing w:before="123"/>
        <w:jc w:val="center"/>
      </w:pPr>
      <w:bookmarkStart w:id="254" w:name="_Toc445710312"/>
      <w:bookmarkStart w:id="255" w:name="_Toc446307541"/>
      <w:r>
        <w:t>Ikraftträdande</w:t>
      </w:r>
      <w:bookmarkEnd w:id="254"/>
      <w:bookmarkEnd w:id="255"/>
    </w:p>
    <w:p w:rsidR="00085B04" w:rsidRDefault="00085B04">
      <w:r>
        <w:t>1. Denna konvention skall antas av medlemsstaterna i enlighet med deras konstit</w:t>
      </w:r>
      <w:r>
        <w:t>u</w:t>
      </w:r>
      <w:r>
        <w:t>tionella bestämmelser.</w:t>
      </w:r>
    </w:p>
    <w:p w:rsidR="00085B04" w:rsidRDefault="00085B04">
      <w:r>
        <w:t>2. Medlemsstaterna skall till generalsekreteraren för Europeiska unionens råd anmäla att de har genomfört de förfaranden som deras konstitu</w:t>
      </w:r>
      <w:r>
        <w:softHyphen/>
        <w:t>tionella b</w:t>
      </w:r>
      <w:r>
        <w:t>e</w:t>
      </w:r>
      <w:r>
        <w:t>stämmelser kräver för att denna konvention skall kunna antas.</w:t>
      </w:r>
    </w:p>
    <w:p w:rsidR="00085B04" w:rsidRDefault="00085B04">
      <w:r>
        <w:t>3. Denna konvention träder i kraft nittio dagar efter det att den sista med</w:t>
      </w:r>
      <w:r>
        <w:softHyphen/>
        <w:t>lemsstaten har gjort en sådan anmälan som avses i punkt 2.</w:t>
      </w:r>
    </w:p>
    <w:p w:rsidR="00085B04" w:rsidRDefault="00085B04">
      <w:r>
        <w:t>4. Till och med den tidpunkt då denna konvention träder i kraft kan varje medlemsstat i samband med en sådan anmälan som avses i punkt 2 eller när som helst därefter förklara att denna konvention med undantag av sin artikel 12 skall vara tillämplig på den i dess förbindelser med de medlemsstater som har gjort samma förklaring. För en medlemsstat som har gjort en sådan fö</w:t>
      </w:r>
      <w:r>
        <w:t>r</w:t>
      </w:r>
      <w:r>
        <w:t>klaring skall denna konvention tillämpas från och med den första dagen i den månad som följer efter det att nittio dagar har gått från det att dess förklaring deponerades.</w:t>
      </w:r>
    </w:p>
    <w:p w:rsidR="00085B04" w:rsidRDefault="00085B04">
      <w:r>
        <w:t>5. En medlemsstat som inte har avgivit en förklaring i enlighet med punkt 4 får tillämpa denna konvention mot andra fördragsslutande medlemsstater på grundval av bilaterala överenskommelser.</w:t>
      </w:r>
    </w:p>
    <w:p w:rsidR="00085B04" w:rsidRDefault="00085B04">
      <w:pPr>
        <w:pStyle w:val="Rubrik4"/>
        <w:jc w:val="center"/>
      </w:pPr>
      <w:bookmarkStart w:id="256" w:name="_Toc445710313"/>
      <w:bookmarkStart w:id="257" w:name="_Toc446307542"/>
      <w:r>
        <w:t>Artikel 14</w:t>
      </w:r>
      <w:bookmarkEnd w:id="256"/>
      <w:bookmarkEnd w:id="257"/>
    </w:p>
    <w:p w:rsidR="00085B04" w:rsidRDefault="00085B04">
      <w:pPr>
        <w:pStyle w:val="Rubrik3"/>
        <w:spacing w:before="123"/>
        <w:jc w:val="center"/>
      </w:pPr>
      <w:bookmarkStart w:id="258" w:name="_Toc445710314"/>
      <w:bookmarkStart w:id="259" w:name="_Toc446307543"/>
      <w:r>
        <w:t>Anslutning av nya medlemsstater</w:t>
      </w:r>
      <w:bookmarkEnd w:id="258"/>
      <w:bookmarkEnd w:id="259"/>
    </w:p>
    <w:p w:rsidR="00085B04" w:rsidRDefault="00085B04">
      <w:r>
        <w:t>l. Denna konvention står öppen för anslutning för varje stat som blir medlem i Europ</w:t>
      </w:r>
      <w:r>
        <w:t>e</w:t>
      </w:r>
      <w:r>
        <w:t>iska unionen.</w:t>
      </w:r>
    </w:p>
    <w:p w:rsidR="00085B04" w:rsidRDefault="00085B04">
      <w:r>
        <w:t>2. Den på den anslutande statens språk avfattade texten till denna konve</w:t>
      </w:r>
      <w:r>
        <w:t>n</w:t>
      </w:r>
      <w:r>
        <w:t>tion, som skall utarbetas av Europeiska unionens råd, skall ha giltighet.</w:t>
      </w:r>
    </w:p>
    <w:p w:rsidR="00085B04" w:rsidRDefault="00085B04">
      <w:r>
        <w:t>3. Anslutningsinstrumenten skall deponeras hos deposit</w:t>
      </w:r>
      <w:r>
        <w:t>a</w:t>
      </w:r>
      <w:r>
        <w:t>rien.</w:t>
      </w:r>
    </w:p>
    <w:p w:rsidR="00085B04" w:rsidRDefault="00085B04">
      <w:r>
        <w:t>4. För en stat som ansluter sig till konventionen träder denna i kraft nittio dagar efter depositionen av dess anslutningsinstrument, eller, om den ännu inte har trätt i kraft då denna period av nittio dagar löper ut, den dag då ko</w:t>
      </w:r>
      <w:r>
        <w:t>n</w:t>
      </w:r>
      <w:r>
        <w:t>ventionen träder i kraft.</w:t>
      </w:r>
    </w:p>
    <w:p w:rsidR="00085B04" w:rsidRDefault="00085B04">
      <w:r>
        <w:t>5. Om denna konvention ännu inte har trätt i kraft när anslutningsinstrume</w:t>
      </w:r>
      <w:r>
        <w:t>n</w:t>
      </w:r>
      <w:r>
        <w:t>tet deponeras, skall bestämmelserna i artikel 13.4 vara tillämpliga på de stater som ansluter sig till denna.</w:t>
      </w:r>
    </w:p>
    <w:p w:rsidR="00085B04" w:rsidRDefault="00085B04">
      <w:pPr>
        <w:pStyle w:val="Rubrik4"/>
        <w:jc w:val="center"/>
      </w:pPr>
      <w:bookmarkStart w:id="260" w:name="_Toc445710315"/>
      <w:bookmarkStart w:id="261" w:name="_Toc446307544"/>
      <w:r>
        <w:t>Artikel 15</w:t>
      </w:r>
      <w:bookmarkEnd w:id="260"/>
      <w:bookmarkEnd w:id="261"/>
    </w:p>
    <w:p w:rsidR="00085B04" w:rsidRDefault="00085B04">
      <w:pPr>
        <w:pStyle w:val="Rubrik3"/>
        <w:spacing w:before="123"/>
        <w:jc w:val="center"/>
      </w:pPr>
      <w:bookmarkStart w:id="262" w:name="_Toc445710316"/>
      <w:bookmarkStart w:id="263" w:name="_Toc446307545"/>
      <w:r>
        <w:t>Reservationer</w:t>
      </w:r>
      <w:bookmarkEnd w:id="262"/>
      <w:bookmarkEnd w:id="263"/>
    </w:p>
    <w:p w:rsidR="00085B04" w:rsidRDefault="00085B04">
      <w:r>
        <w:t>1. Med undantag för sådana reservationer som avses i artikel 7.2 och i artikel 10.2 är reservationer inte tillåtna.</w:t>
      </w:r>
    </w:p>
    <w:p w:rsidR="00085B04" w:rsidRDefault="00085B04">
      <w:r>
        <w:t>2. Varje medlemsstat som har gjort en reservation får när som helst, helt eller delvis, dra tillbaka den genom en anmälan till depositarien. Tillbakadraga</w:t>
      </w:r>
      <w:r>
        <w:t>n</w:t>
      </w:r>
      <w:r>
        <w:t>det får verkan den dag depositarien tar emot anmälan.</w:t>
      </w:r>
    </w:p>
    <w:p w:rsidR="00085B04" w:rsidRDefault="00085B04">
      <w:pPr>
        <w:pStyle w:val="Rubrik4"/>
        <w:jc w:val="center"/>
      </w:pPr>
      <w:bookmarkStart w:id="264" w:name="_Toc445710317"/>
      <w:bookmarkStart w:id="265" w:name="_Toc446307546"/>
      <w:r>
        <w:t>Artikel 16</w:t>
      </w:r>
      <w:bookmarkEnd w:id="264"/>
      <w:bookmarkEnd w:id="265"/>
    </w:p>
    <w:p w:rsidR="00085B04" w:rsidRDefault="00085B04">
      <w:pPr>
        <w:pStyle w:val="Rubrik3"/>
        <w:spacing w:before="123"/>
        <w:jc w:val="center"/>
      </w:pPr>
      <w:bookmarkStart w:id="266" w:name="_Toc445710318"/>
      <w:bookmarkStart w:id="267" w:name="_Toc446307547"/>
      <w:r>
        <w:t>Depositarie</w:t>
      </w:r>
      <w:bookmarkEnd w:id="266"/>
      <w:bookmarkEnd w:id="267"/>
    </w:p>
    <w:p w:rsidR="00085B04" w:rsidRDefault="00085B04">
      <w:r>
        <w:t>1. Generalsekreteraren för Europeiska unionens råd är depositarie för denna ko</w:t>
      </w:r>
      <w:r>
        <w:t>n</w:t>
      </w:r>
      <w:r>
        <w:t>vention.</w:t>
      </w:r>
    </w:p>
    <w:p w:rsidR="00085B04" w:rsidRDefault="00085B04">
      <w:r>
        <w:t xml:space="preserve">2. Depositarien skall i </w:t>
      </w:r>
      <w:r>
        <w:rPr>
          <w:i/>
        </w:rPr>
        <w:t>Europeiska gemenskapernas officiella tidning</w:t>
      </w:r>
      <w:r>
        <w:t xml:space="preserve"> offen</w:t>
      </w:r>
      <w:r>
        <w:t>t</w:t>
      </w:r>
      <w:r>
        <w:t>liggöra antaganden och anslutningar, förklaringar och reservationer samt alla andra anmä</w:t>
      </w:r>
      <w:r>
        <w:t>l</w:t>
      </w:r>
      <w:r>
        <w:t>ningar som rör denna konvention.</w:t>
      </w:r>
    </w:p>
    <w:p w:rsidR="00085B04" w:rsidRDefault="00085B04">
      <w:pPr>
        <w:pStyle w:val="Rubrik1"/>
        <w:sectPr w:rsidR="00000000">
          <w:headerReference w:type="default" r:id="rId18"/>
          <w:footerReference w:type="default" r:id="rId19"/>
          <w:pgSz w:w="11906" w:h="16838" w:code="9"/>
          <w:pgMar w:top="567" w:right="4876" w:bottom="4508" w:left="1134" w:header="227" w:footer="227" w:gutter="0"/>
          <w:cols w:space="720"/>
        </w:sectPr>
      </w:pPr>
      <w:bookmarkStart w:id="268" w:name="_Toc438865955"/>
    </w:p>
    <w:p w:rsidR="00085B04" w:rsidRDefault="00085B04">
      <w:pPr>
        <w:pStyle w:val="Rubrik1"/>
        <w:spacing w:before="0"/>
      </w:pPr>
      <w:bookmarkStart w:id="269" w:name="_Toc446307548"/>
      <w:r>
        <w:t>OECD-konventionen</w:t>
      </w:r>
      <w:bookmarkEnd w:id="268"/>
      <w:bookmarkEnd w:id="269"/>
    </w:p>
    <w:p w:rsidR="00085B04" w:rsidRDefault="00085B04">
      <w:pPr>
        <w:pStyle w:val="Rubrik2"/>
        <w:spacing w:before="123"/>
        <w:jc w:val="center"/>
        <w:rPr>
          <w:sz w:val="19"/>
        </w:rPr>
      </w:pPr>
      <w:bookmarkStart w:id="270" w:name="_Toc445710320"/>
      <w:bookmarkStart w:id="271" w:name="_Toc446307549"/>
      <w:r>
        <w:rPr>
          <w:sz w:val="19"/>
        </w:rPr>
        <w:t>KONVENTION OM BEKÄMPANDE AV BESTICKNING AV UTLÄNDSKA OFFENTLIGA TJÄNSTEMÄN I</w:t>
      </w:r>
      <w:r>
        <w:rPr>
          <w:sz w:val="19"/>
        </w:rPr>
        <w:br/>
        <w:t>INTERNATIONELLA AFFÄRSFÖRBINDELSER</w:t>
      </w:r>
      <w:bookmarkEnd w:id="270"/>
      <w:bookmarkEnd w:id="271"/>
    </w:p>
    <w:p w:rsidR="00085B04" w:rsidRDefault="00085B04">
      <w:pPr>
        <w:pStyle w:val="Rubrik3"/>
        <w:spacing w:before="123"/>
        <w:jc w:val="center"/>
      </w:pPr>
      <w:bookmarkStart w:id="272" w:name="_Toc445710321"/>
      <w:bookmarkStart w:id="273" w:name="_Toc446307550"/>
      <w:r>
        <w:t>Ingress</w:t>
      </w:r>
      <w:bookmarkEnd w:id="272"/>
      <w:bookmarkEnd w:id="273"/>
    </w:p>
    <w:p w:rsidR="00085B04" w:rsidRDefault="00085B04">
      <w:pPr>
        <w:pStyle w:val="Rubrik3"/>
        <w:spacing w:before="123"/>
      </w:pPr>
      <w:bookmarkStart w:id="274" w:name="_Toc445710322"/>
      <w:bookmarkStart w:id="275" w:name="_Toc446307551"/>
      <w:r>
        <w:t>Parterna,</w:t>
      </w:r>
      <w:bookmarkEnd w:id="274"/>
      <w:bookmarkEnd w:id="275"/>
    </w:p>
    <w:p w:rsidR="00085B04" w:rsidRDefault="00085B04">
      <w:pPr>
        <w:pStyle w:val="Normaltindrag"/>
      </w:pPr>
    </w:p>
    <w:p w:rsidR="00085B04" w:rsidRDefault="00085B04">
      <w:pPr>
        <w:pStyle w:val="Normaltindrag"/>
      </w:pPr>
      <w:r>
        <w:t>som beaktar att bestickning är en utbredd företeelse i internationella affär</w:t>
      </w:r>
      <w:r>
        <w:t>s</w:t>
      </w:r>
      <w:r>
        <w:t>förbindelser, bland annat i fråga om handel och investeringar, som förorsakar allvarlig oro i moraliskt och politiskt hänseende, undergräver gott styrelsesätt och ekonomisk utveckling samt snedvrider internationella konkurrensfö</w:t>
      </w:r>
      <w:r>
        <w:t>r</w:t>
      </w:r>
      <w:r>
        <w:t>hållanden,</w:t>
      </w:r>
    </w:p>
    <w:p w:rsidR="00085B04" w:rsidRDefault="00085B04">
      <w:pPr>
        <w:pStyle w:val="Normaltindrag"/>
      </w:pPr>
    </w:p>
    <w:p w:rsidR="00085B04" w:rsidRDefault="00085B04">
      <w:pPr>
        <w:pStyle w:val="Normaltindrag"/>
      </w:pPr>
      <w:r>
        <w:t>som beaktar att alla länder har sin del i ansvaret för att bekämpa bestic</w:t>
      </w:r>
      <w:r>
        <w:t>k</w:t>
      </w:r>
      <w:r>
        <w:t>ning i i</w:t>
      </w:r>
      <w:r>
        <w:t>n</w:t>
      </w:r>
      <w:r>
        <w:t>ternationella affärsförbindelser,</w:t>
      </w:r>
    </w:p>
    <w:p w:rsidR="00085B04" w:rsidRDefault="00085B04">
      <w:pPr>
        <w:pStyle w:val="Normaltindrag"/>
      </w:pPr>
    </w:p>
    <w:p w:rsidR="00085B04" w:rsidRDefault="00085B04">
      <w:pPr>
        <w:pStyle w:val="Normaltindrag"/>
      </w:pPr>
      <w:r>
        <w:t>som beaktar den reviderade rekommendation om bekämpande av bestic</w:t>
      </w:r>
      <w:r>
        <w:t>k</w:t>
      </w:r>
      <w:r>
        <w:t>ning i internationella affärsförbindelser som antogs av Organisationen för ekonomiskt samarbete och utvecklings (OECD) råd den 23 maj 1997, C(97)123/FINAL, vari bland annat efterlystes effektiva åtgärder för att a</w:t>
      </w:r>
      <w:r>
        <w:t>v</w:t>
      </w:r>
      <w:r>
        <w:t>skräcka från, förebygga och bekämpa bestickning av utländska offentliga tjänstemän i samband med internationella affärsförbindelser, särskilt genom att sådan bestickning snabbt och på ett effektivt och samordnat sätt straffb</w:t>
      </w:r>
      <w:r>
        <w:t>e</w:t>
      </w:r>
      <w:r>
        <w:t>läggs i överensstämmelse med de överenskomna gemensamma punkter som ange</w:t>
      </w:r>
      <w:r>
        <w:t>s i rekommendationen och med varje lands jurisdiktionsprinciper och andra grundläggande rättsprinciper,</w:t>
      </w:r>
    </w:p>
    <w:p w:rsidR="00085B04" w:rsidRDefault="00085B04">
      <w:pPr>
        <w:pStyle w:val="Normaltindrag"/>
      </w:pPr>
    </w:p>
    <w:p w:rsidR="00085B04" w:rsidRDefault="00085B04">
      <w:pPr>
        <w:pStyle w:val="Normaltindrag"/>
      </w:pPr>
      <w:r>
        <w:t>som välkomnar andra nyligen tagna initiativ som ytterligare främjar först</w:t>
      </w:r>
      <w:r>
        <w:t>å</w:t>
      </w:r>
      <w:r>
        <w:t>elsen och samarbetet på det internationella planet i bekämpande av bestic</w:t>
      </w:r>
      <w:r>
        <w:t>k</w:t>
      </w:r>
      <w:r>
        <w:t>ning av offentliga tjänstemän, inbegripet åtgärder vidtagna av Förenta nati</w:t>
      </w:r>
      <w:r>
        <w:t>o</w:t>
      </w:r>
      <w:r>
        <w:t>nerna, Världsbanken, Internationella valutafonden, Världshandelsorganis</w:t>
      </w:r>
      <w:r>
        <w:t>a</w:t>
      </w:r>
      <w:r>
        <w:t>tionen, Amerikanska samarbetsorganisationen, Europarådet och Europeiska unionen,</w:t>
      </w:r>
    </w:p>
    <w:p w:rsidR="00085B04" w:rsidRDefault="00085B04">
      <w:pPr>
        <w:pStyle w:val="Normaltindrag"/>
      </w:pPr>
    </w:p>
    <w:p w:rsidR="00085B04" w:rsidRDefault="00085B04">
      <w:pPr>
        <w:pStyle w:val="Normaltindrag"/>
      </w:pPr>
      <w:r>
        <w:t>som välkomnar företagens, näringslivsorganisationernas, fackföreningsr</w:t>
      </w:r>
      <w:r>
        <w:t>ö</w:t>
      </w:r>
      <w:r>
        <w:t>relsens och andra frivilligorganisationers ansträngningar i kampen mot b</w:t>
      </w:r>
      <w:r>
        <w:t>e</w:t>
      </w:r>
      <w:r>
        <w:t>stickning,</w:t>
      </w:r>
    </w:p>
    <w:p w:rsidR="00085B04" w:rsidRDefault="00085B04">
      <w:pPr>
        <w:pStyle w:val="Normaltindrag"/>
      </w:pPr>
    </w:p>
    <w:p w:rsidR="00085B04" w:rsidRDefault="00085B04">
      <w:pPr>
        <w:pStyle w:val="Normaltindrag"/>
      </w:pPr>
      <w:r>
        <w:t>som erkänner regeringarnas roll i att motverka förledande till bestickning från e</w:t>
      </w:r>
      <w:r>
        <w:t>n</w:t>
      </w:r>
      <w:r>
        <w:t>skilda personers och företags sida i internationella affärsförbindelser,</w:t>
      </w:r>
    </w:p>
    <w:p w:rsidR="00085B04" w:rsidRDefault="00085B04">
      <w:pPr>
        <w:pStyle w:val="Normaltindrag"/>
      </w:pPr>
    </w:p>
    <w:p w:rsidR="00085B04" w:rsidRDefault="00085B04">
      <w:pPr>
        <w:pStyle w:val="Normaltindrag"/>
      </w:pPr>
      <w:r>
        <w:t>som erkänner att framsteg på detta område kräver insatser på det nationella planet såväl som samarbete, övervakning och uppföljning på det multilat</w:t>
      </w:r>
      <w:r>
        <w:t>e</w:t>
      </w:r>
      <w:r>
        <w:t>rala planet,</w:t>
      </w:r>
    </w:p>
    <w:p w:rsidR="00085B04" w:rsidRDefault="00085B04">
      <w:pPr>
        <w:pStyle w:val="Normaltindrag"/>
      </w:pPr>
      <w:r>
        <w:t>som erkänner att uppnåendet av likvärdighet i fråga om de åtgärder som parterna skall vidta är konventionens huvudsakliga syfte och ändamål, vilket kräver att den ratif</w:t>
      </w:r>
      <w:r>
        <w:t>i</w:t>
      </w:r>
      <w:r>
        <w:t>ceras utan förbehåll som påverkar denna likvärdighet,</w:t>
      </w:r>
    </w:p>
    <w:p w:rsidR="00085B04" w:rsidRDefault="00085B04">
      <w:pPr>
        <w:pStyle w:val="Normaltindrag"/>
      </w:pPr>
    </w:p>
    <w:p w:rsidR="00085B04" w:rsidRDefault="00085B04">
      <w:pPr>
        <w:pStyle w:val="Normaltindrag"/>
      </w:pPr>
      <w:r>
        <w:t>har kommit överens om följande</w:t>
      </w:r>
    </w:p>
    <w:p w:rsidR="00085B04" w:rsidRDefault="00085B04">
      <w:pPr>
        <w:pStyle w:val="Rubrik4"/>
        <w:jc w:val="center"/>
      </w:pPr>
      <w:bookmarkStart w:id="276" w:name="_Toc445710323"/>
      <w:bookmarkStart w:id="277" w:name="_Toc446307552"/>
      <w:r>
        <w:t>Artikel 1</w:t>
      </w:r>
      <w:bookmarkEnd w:id="276"/>
      <w:bookmarkEnd w:id="277"/>
    </w:p>
    <w:p w:rsidR="00085B04" w:rsidRDefault="00085B04">
      <w:pPr>
        <w:pStyle w:val="Rubrik3"/>
        <w:spacing w:before="123"/>
        <w:jc w:val="center"/>
      </w:pPr>
      <w:bookmarkStart w:id="278" w:name="_Toc445710324"/>
      <w:bookmarkStart w:id="279" w:name="_Toc446307553"/>
      <w:r>
        <w:t>Brottet bestickning av utländska offentliga tjänstemän</w:t>
      </w:r>
      <w:bookmarkEnd w:id="278"/>
      <w:bookmarkEnd w:id="279"/>
    </w:p>
    <w:p w:rsidR="00085B04" w:rsidRDefault="00085B04">
      <w:r>
        <w:t>1. Varje part skall vidta de åtgärder som är nödvändiga för att i sin lagstif</w:t>
      </w:r>
      <w:r>
        <w:t>t</w:t>
      </w:r>
      <w:r>
        <w:t>ning straffbelägga att någon uppsåtligen erbjuder, utlovar eller lämnar otil</w:t>
      </w:r>
      <w:r>
        <w:t>l</w:t>
      </w:r>
      <w:r>
        <w:t>börliga penningförmåner eller andra förmåner, vare sig direkt eller genom mellanhänder, till en utländsk offentlig tjänsteman, för dennes räkning eller för tredje mans räkning, för att han skall vidta eller underlåta att vidta en åtgärd i tjänsten i avsikt att vinna eller bibehålla en affärsmässig fördel eller en annan otillbörlig fördel i internationella affär</w:t>
      </w:r>
      <w:r>
        <w:t>s</w:t>
      </w:r>
      <w:r>
        <w:t>förbindelser.</w:t>
      </w:r>
    </w:p>
    <w:p w:rsidR="00085B04" w:rsidRDefault="00085B04">
      <w:r>
        <w:t xml:space="preserve">2. Varje part skall vidta de åtgärder som är nödvändiga </w:t>
      </w:r>
      <w:r>
        <w:t>för att straffbelägga medverkan till bestickning av utländska offentliga tjänstemän, däri inbegripet anstiftan, medhjälp och bemyndigande. Försök och stämpling till bestickning av utländska offentliga tjänstemän skall vara straffbart i samma mån som försök och stämpling till bestickning av en parts egna offentliga tjänstemän.</w:t>
      </w:r>
    </w:p>
    <w:p w:rsidR="00085B04" w:rsidRDefault="00085B04">
      <w:r>
        <w:t>3. De brott som avses i punkterna 1 och 2 ovan benämns härnedan "bestic</w:t>
      </w:r>
      <w:r>
        <w:t>k</w:t>
      </w:r>
      <w:r>
        <w:t>ning av utländsk offentlig tjänsteman".</w:t>
      </w:r>
    </w:p>
    <w:p w:rsidR="00085B04" w:rsidRDefault="00085B04">
      <w:r>
        <w:t xml:space="preserve">4. I denna konvention </w:t>
      </w:r>
    </w:p>
    <w:p w:rsidR="00085B04" w:rsidRDefault="00085B04">
      <w:r>
        <w:t>a) – avses med</w:t>
      </w:r>
      <w:r>
        <w:rPr>
          <w:i/>
        </w:rPr>
        <w:t xml:space="preserve"> utländsk offentlig tjänsteman</w:t>
      </w:r>
      <w:r>
        <w:t xml:space="preserve"> den som innehar en lagstiftande, administrativ eller rättslig tjänst i ett främmande land, vare sig han är anställd eller vald, den som utövar en offentlig funktion för ett främmande land, inklusive för ett offentligt organ eller för ett offentligt företag, samt en tjän</w:t>
      </w:r>
      <w:r>
        <w:t>s</w:t>
      </w:r>
      <w:r>
        <w:t>teman eller en företrädare för en offentlig internationell organisation,</w:t>
      </w:r>
    </w:p>
    <w:p w:rsidR="00085B04" w:rsidRDefault="00085B04">
      <w:r>
        <w:t xml:space="preserve">b) – omfattar </w:t>
      </w:r>
      <w:r>
        <w:rPr>
          <w:i/>
        </w:rPr>
        <w:t>främmande land</w:t>
      </w:r>
      <w:r>
        <w:t xml:space="preserve"> alla nivåer och underavdelningar i såväl nati</w:t>
      </w:r>
      <w:r>
        <w:t>o</w:t>
      </w:r>
      <w:r>
        <w:t>nell som lokal förvaltning,</w:t>
      </w:r>
    </w:p>
    <w:p w:rsidR="00085B04" w:rsidRDefault="00085B04">
      <w:r>
        <w:t>c) – avser uttrycket</w:t>
      </w:r>
      <w:r>
        <w:rPr>
          <w:i/>
        </w:rPr>
        <w:t xml:space="preserve"> vidta eller underlåta att vidta en åtgärd i tjänsten</w:t>
      </w:r>
      <w:r>
        <w:t xml:space="preserve"> utö</w:t>
      </w:r>
      <w:r>
        <w:t>v</w:t>
      </w:r>
      <w:r>
        <w:t>ning av en offentlig tjänstemans officiella position, oavsett om denna utö</w:t>
      </w:r>
      <w:r>
        <w:t>v</w:t>
      </w:r>
      <w:r>
        <w:t>ning faller inom tjän</w:t>
      </w:r>
      <w:r>
        <w:t>s</w:t>
      </w:r>
      <w:r>
        <w:t>temannens befogenheter.</w:t>
      </w:r>
    </w:p>
    <w:p w:rsidR="00085B04" w:rsidRDefault="00085B04">
      <w:pPr>
        <w:pStyle w:val="Rubrik4"/>
        <w:jc w:val="center"/>
      </w:pPr>
      <w:bookmarkStart w:id="280" w:name="_Toc445710325"/>
      <w:bookmarkStart w:id="281" w:name="_Toc446307554"/>
      <w:r>
        <w:t>Artikel 2</w:t>
      </w:r>
      <w:bookmarkEnd w:id="280"/>
      <w:bookmarkEnd w:id="281"/>
    </w:p>
    <w:p w:rsidR="00085B04" w:rsidRDefault="00085B04">
      <w:pPr>
        <w:pStyle w:val="Rubrik3"/>
        <w:spacing w:before="123"/>
        <w:jc w:val="center"/>
      </w:pPr>
      <w:bookmarkStart w:id="282" w:name="_Toc445710326"/>
      <w:bookmarkStart w:id="283" w:name="_Toc446307555"/>
      <w:r>
        <w:t>Ansvar för juridiska personer</w:t>
      </w:r>
      <w:bookmarkEnd w:id="282"/>
      <w:bookmarkEnd w:id="283"/>
    </w:p>
    <w:p w:rsidR="00085B04" w:rsidRDefault="00085B04">
      <w:r>
        <w:t>Varje part skall i överensstämmelse med sina rättsprinciper vidta de åtgärder som är nödvändiga för att införa ansvar för juridiska personer för bestickning av utländska offentliga tjänstemän.</w:t>
      </w:r>
    </w:p>
    <w:p w:rsidR="00085B04" w:rsidRDefault="00085B04">
      <w:pPr>
        <w:pStyle w:val="Rubrik4"/>
        <w:jc w:val="center"/>
      </w:pPr>
      <w:bookmarkStart w:id="284" w:name="_Toc445710327"/>
      <w:bookmarkStart w:id="285" w:name="_Toc446307556"/>
      <w:r>
        <w:t>Artikel 3</w:t>
      </w:r>
      <w:bookmarkEnd w:id="284"/>
      <w:bookmarkEnd w:id="285"/>
    </w:p>
    <w:p w:rsidR="00085B04" w:rsidRDefault="00085B04">
      <w:pPr>
        <w:pStyle w:val="Rubrik3"/>
        <w:spacing w:before="123"/>
        <w:jc w:val="center"/>
      </w:pPr>
      <w:bookmarkStart w:id="286" w:name="_Toc445710328"/>
      <w:bookmarkStart w:id="287" w:name="_Toc446307557"/>
      <w:r>
        <w:t>Påföljder</w:t>
      </w:r>
      <w:bookmarkEnd w:id="286"/>
      <w:bookmarkEnd w:id="287"/>
    </w:p>
    <w:p w:rsidR="00085B04" w:rsidRDefault="00085B04">
      <w:r>
        <w:t>1. Bestickning av utländska offentliga tjänstemän skall kunna bli föremål för effektiva, proportionerliga och avskräckande straffrättsliga påföljder. De möjliga påföljderna skall vara jämförbara med de påföljder som tillämpas i fråga om bestickning av partens egna offentliga tjänstemän och skall, beträ</w:t>
      </w:r>
      <w:r>
        <w:t>f</w:t>
      </w:r>
      <w:r>
        <w:t>fande fysiska personer, inbegripa sådant frihetsberövande som är tillräckligt för att möjliggöra effektiv inbördes rättshjälp och utlämning.</w:t>
      </w:r>
    </w:p>
    <w:p w:rsidR="00085B04" w:rsidRDefault="00085B04">
      <w:r>
        <w:t>2. Om straffrättsligt ansvar enligt en parts rättssystem inte är tillämpligt avseende juridiska personer, skall parten tillse att juridiska personer skall kunna bli föremål för effektiva, proportionerliga och avskräckande icke straffrättsliga påföljder, däribland penningsanktioner, för bestickning av utländska offentliga tjänstemän.</w:t>
      </w:r>
    </w:p>
    <w:p w:rsidR="00085B04" w:rsidRDefault="00085B04">
      <w:r>
        <w:t>3. Varje part skall vidta de åtgärder som är nödvändiga för att säkerställa att mutan och vinsten av bestickning av en utländsk offentlig tjänsteman, eller egendom av ett värde som motsvarar sådan vinst, kan beslagtas och förve</w:t>
      </w:r>
      <w:r>
        <w:t>r</w:t>
      </w:r>
      <w:r>
        <w:t>kas eller att penningsanktioner med motsvarande verkan kan ti</w:t>
      </w:r>
      <w:r>
        <w:t>l</w:t>
      </w:r>
      <w:r>
        <w:t>lämpas.</w:t>
      </w:r>
    </w:p>
    <w:p w:rsidR="00085B04" w:rsidRDefault="00085B04">
      <w:r>
        <w:t>4. Varje part skall överväga möjligheten att införa andra civilrättsliga eller administrativa sanktioner för bestic</w:t>
      </w:r>
      <w:r>
        <w:t>k</w:t>
      </w:r>
      <w:r>
        <w:t>ning av utländska offentliga tjänstemän.</w:t>
      </w:r>
    </w:p>
    <w:p w:rsidR="00085B04" w:rsidRDefault="00085B04">
      <w:pPr>
        <w:pStyle w:val="Rubrik4"/>
        <w:jc w:val="center"/>
      </w:pPr>
      <w:bookmarkStart w:id="288" w:name="_Toc445710329"/>
      <w:bookmarkStart w:id="289" w:name="_Toc446307558"/>
      <w:r>
        <w:t>Artikel 4</w:t>
      </w:r>
      <w:bookmarkEnd w:id="288"/>
      <w:bookmarkEnd w:id="289"/>
    </w:p>
    <w:p w:rsidR="00085B04" w:rsidRDefault="00085B04">
      <w:pPr>
        <w:pStyle w:val="Rubrik3"/>
        <w:spacing w:before="123"/>
        <w:jc w:val="center"/>
      </w:pPr>
      <w:bookmarkStart w:id="290" w:name="_Toc445710330"/>
      <w:bookmarkStart w:id="291" w:name="_Toc446307559"/>
      <w:r>
        <w:t>Jurisdiktion</w:t>
      </w:r>
      <w:bookmarkEnd w:id="290"/>
      <w:bookmarkEnd w:id="291"/>
    </w:p>
    <w:p w:rsidR="00085B04" w:rsidRDefault="00085B04">
      <w:r>
        <w:t>1. Varje part skall vidta de åtgärder som är nödvändiga för att åta sig juri</w:t>
      </w:r>
      <w:r>
        <w:t>s</w:t>
      </w:r>
      <w:r>
        <w:t>diktion över bestickning av utländska offentliga tjänstemän om brottet helt eller delvis begås inom dess territorium.</w:t>
      </w:r>
    </w:p>
    <w:p w:rsidR="00085B04" w:rsidRDefault="00085B04">
      <w:r>
        <w:t>2. En part som har jurisdiktion att lagföra sina medborgare för brott som begåtts utomlands skall vidta de åtgärder som är nödvändiga för att åta sig jurisdiktion för sådan lagföring avseende bestickning av utländsk offentlig tjänsteman enligt samma principer.</w:t>
      </w:r>
    </w:p>
    <w:p w:rsidR="00085B04" w:rsidRDefault="00085B04">
      <w:r>
        <w:t>3. Om mer än en part har jurisdiktion över ett påstått brott som omfattas av denna konvention, skall de berörda parterna på begäran av en av dem samr</w:t>
      </w:r>
      <w:r>
        <w:t>å</w:t>
      </w:r>
      <w:r>
        <w:t>da i syfte att fastställa var brottet bäst bör lagföras.</w:t>
      </w:r>
    </w:p>
    <w:p w:rsidR="00085B04" w:rsidRDefault="00085B04">
      <w:r>
        <w:t>4. Varje part skall pröva om dess nu gällande jurisdiktionsregler är änd</w:t>
      </w:r>
      <w:r>
        <w:t>a</w:t>
      </w:r>
      <w:r>
        <w:t>målsenliga för att bekämpa bestickning av utländska offentliga tjänstemän och, om så inte anses vara fallet, vidta åtgärder för att komma till rätta med förhålla</w:t>
      </w:r>
      <w:r>
        <w:t>n</w:t>
      </w:r>
      <w:r>
        <w:t>det.</w:t>
      </w:r>
    </w:p>
    <w:p w:rsidR="00085B04" w:rsidRDefault="00085B04">
      <w:pPr>
        <w:pStyle w:val="Rubrik4"/>
        <w:jc w:val="center"/>
      </w:pPr>
      <w:bookmarkStart w:id="292" w:name="_Toc445710331"/>
      <w:bookmarkStart w:id="293" w:name="_Toc446307560"/>
      <w:r>
        <w:t>Artikel 5</w:t>
      </w:r>
      <w:bookmarkEnd w:id="292"/>
      <w:bookmarkEnd w:id="293"/>
    </w:p>
    <w:p w:rsidR="00085B04" w:rsidRDefault="00085B04">
      <w:pPr>
        <w:pStyle w:val="Rubrik3"/>
        <w:spacing w:before="123"/>
        <w:jc w:val="center"/>
      </w:pPr>
      <w:bookmarkStart w:id="294" w:name="_Toc445710332"/>
      <w:bookmarkStart w:id="295" w:name="_Toc446307561"/>
      <w:r>
        <w:t>Genomförande</w:t>
      </w:r>
      <w:bookmarkEnd w:id="294"/>
      <w:bookmarkEnd w:id="295"/>
    </w:p>
    <w:p w:rsidR="00085B04" w:rsidRDefault="00085B04">
      <w:r>
        <w:t>Förundersökning och åtal för bestickning av utländska offentliga tjänstemän skall ske i enlighet med varje parts tillämpliga regler och principer. De skall inte påverkas av överväganden om nationellt ekonomiskt intresse, möjlig inverkan på förbindelserna med en annan stat eller de berörda fysiska eller juridiska pers</w:t>
      </w:r>
      <w:r>
        <w:t>o</w:t>
      </w:r>
      <w:r>
        <w:t>nernas identitet.</w:t>
      </w:r>
    </w:p>
    <w:p w:rsidR="00085B04" w:rsidRDefault="00085B04">
      <w:pPr>
        <w:pStyle w:val="Rubrik4"/>
        <w:jc w:val="center"/>
      </w:pPr>
      <w:bookmarkStart w:id="296" w:name="_Toc445710333"/>
      <w:bookmarkStart w:id="297" w:name="_Toc446307562"/>
      <w:r>
        <w:t>Artikel 6</w:t>
      </w:r>
      <w:bookmarkEnd w:id="296"/>
      <w:bookmarkEnd w:id="297"/>
    </w:p>
    <w:p w:rsidR="00085B04" w:rsidRDefault="00085B04">
      <w:pPr>
        <w:pStyle w:val="Rubrik3"/>
        <w:spacing w:before="123"/>
        <w:jc w:val="center"/>
      </w:pPr>
      <w:bookmarkStart w:id="298" w:name="_Toc445710334"/>
      <w:bookmarkStart w:id="299" w:name="_Toc446307563"/>
      <w:r>
        <w:t>Preskription</w:t>
      </w:r>
      <w:bookmarkEnd w:id="298"/>
      <w:bookmarkEnd w:id="299"/>
    </w:p>
    <w:p w:rsidR="00085B04" w:rsidRDefault="00085B04">
      <w:r>
        <w:t>Preskriptionsreglerna gällande brottet bestickning av utländsk offentlig tjänsteman skall medge tillräcklig tid för förundersökning och lagföring avseende detta brott.</w:t>
      </w:r>
    </w:p>
    <w:p w:rsidR="00085B04" w:rsidRDefault="00085B04">
      <w:pPr>
        <w:pStyle w:val="Rubrik4"/>
        <w:jc w:val="center"/>
      </w:pPr>
      <w:bookmarkStart w:id="300" w:name="_Toc445710335"/>
      <w:bookmarkStart w:id="301" w:name="_Toc446307564"/>
      <w:r>
        <w:t>Artikel 7</w:t>
      </w:r>
      <w:bookmarkEnd w:id="300"/>
      <w:bookmarkEnd w:id="301"/>
    </w:p>
    <w:p w:rsidR="00085B04" w:rsidRDefault="00085B04">
      <w:pPr>
        <w:pStyle w:val="Rubrik3"/>
        <w:spacing w:before="123"/>
        <w:jc w:val="center"/>
      </w:pPr>
      <w:bookmarkStart w:id="302" w:name="_Toc445710336"/>
      <w:bookmarkStart w:id="303" w:name="_Toc446307565"/>
      <w:r>
        <w:t>Penningtvätt</w:t>
      </w:r>
      <w:bookmarkEnd w:id="302"/>
      <w:bookmarkEnd w:id="303"/>
    </w:p>
    <w:p w:rsidR="00085B04" w:rsidRDefault="00085B04">
      <w:r>
        <w:t>Varje part som har gjort bestickning av egna offentliga tjänstemän till ett förbrott för tillämpning av dess lagstiftning om penningtvätt skall göra de</w:t>
      </w:r>
      <w:r>
        <w:t>t</w:t>
      </w:r>
      <w:r>
        <w:t>samma i fråga om bestickning av utländska offentliga tjänstemän, oavsett var bestickningsbrottet har b</w:t>
      </w:r>
      <w:r>
        <w:t>e</w:t>
      </w:r>
      <w:r>
        <w:t>gåtts.</w:t>
      </w:r>
    </w:p>
    <w:p w:rsidR="00085B04" w:rsidRDefault="00085B04">
      <w:pPr>
        <w:pStyle w:val="Rubrik4"/>
        <w:jc w:val="center"/>
      </w:pPr>
      <w:bookmarkStart w:id="304" w:name="_Toc445710337"/>
      <w:bookmarkStart w:id="305" w:name="_Toc446307566"/>
      <w:r>
        <w:t>Artikel 8</w:t>
      </w:r>
      <w:bookmarkEnd w:id="304"/>
      <w:bookmarkEnd w:id="305"/>
    </w:p>
    <w:p w:rsidR="00085B04" w:rsidRDefault="00085B04">
      <w:pPr>
        <w:pStyle w:val="Rubrik3"/>
        <w:spacing w:before="123"/>
        <w:jc w:val="center"/>
      </w:pPr>
      <w:bookmarkStart w:id="306" w:name="_Toc445710338"/>
      <w:bookmarkStart w:id="307" w:name="_Toc446307567"/>
      <w:r>
        <w:t>Redovisningsnormer</w:t>
      </w:r>
      <w:bookmarkEnd w:id="306"/>
      <w:bookmarkEnd w:id="307"/>
    </w:p>
    <w:p w:rsidR="00085B04" w:rsidRDefault="00085B04">
      <w:r>
        <w:t>1. För att effektivt bekämpa bestickning av utländska offentliga tjänstemän skall varje part, inom ramen för sina lagar och regelverk om bokföring och bokföringsmaterial, årsredovisningens innehåll samt normer för redovisning och revision, vidta de åtgärder som är nödvändiga för att för företag som är underkastade dessa lagar och regelverk förbjuda upprättande av icke bokfö</w:t>
      </w:r>
      <w:r>
        <w:t>r</w:t>
      </w:r>
      <w:r>
        <w:t>da konton, utförande av transaktioner som inte bokförs eller inte kan til</w:t>
      </w:r>
      <w:r>
        <w:t>l</w:t>
      </w:r>
      <w:r>
        <w:t>räckligt identifieras, bokföring av fiktiva utgifter och skulder med felaktigt angivande av skuldernas uppkomst, liksom användning av falska handlingar, allt i syfte att besticka utländska offentliga tjänstemän eller dölja sådan b</w:t>
      </w:r>
      <w:r>
        <w:t>e</w:t>
      </w:r>
      <w:r>
        <w:t>stic</w:t>
      </w:r>
      <w:r>
        <w:t>k</w:t>
      </w:r>
      <w:r>
        <w:t>ning.</w:t>
      </w:r>
    </w:p>
    <w:p w:rsidR="00085B04" w:rsidRDefault="00085B04">
      <w:r>
        <w:t>2. Varje part skall tillhandahålla effektiva, proportionerliga och avskräck-ande civilrättsliga administrativa eller straffrättsliga påföljder för sådana underlåtenheter och förfalskningar med av</w:t>
      </w:r>
      <w:r>
        <w:t>seende på företags bokföring, räkenskaper, konton och affärsred</w:t>
      </w:r>
      <w:r>
        <w:t>o</w:t>
      </w:r>
      <w:r>
        <w:t>visning.</w:t>
      </w:r>
    </w:p>
    <w:p w:rsidR="00085B04" w:rsidRDefault="00085B04">
      <w:pPr>
        <w:pStyle w:val="Rubrik4"/>
        <w:jc w:val="center"/>
      </w:pPr>
      <w:bookmarkStart w:id="308" w:name="_Toc445710339"/>
      <w:bookmarkStart w:id="309" w:name="_Toc446307568"/>
      <w:r>
        <w:t>Artikel 9</w:t>
      </w:r>
      <w:bookmarkEnd w:id="308"/>
      <w:bookmarkEnd w:id="309"/>
    </w:p>
    <w:p w:rsidR="00085B04" w:rsidRDefault="00085B04">
      <w:pPr>
        <w:pStyle w:val="Rubrik3"/>
        <w:spacing w:before="123"/>
        <w:jc w:val="center"/>
      </w:pPr>
      <w:bookmarkStart w:id="310" w:name="_Toc445710340"/>
      <w:bookmarkStart w:id="311" w:name="_Toc446307569"/>
      <w:r>
        <w:t>Inbördes rättshjälp</w:t>
      </w:r>
      <w:bookmarkEnd w:id="310"/>
      <w:bookmarkEnd w:id="311"/>
    </w:p>
    <w:p w:rsidR="00085B04" w:rsidRDefault="00085B04">
      <w:r>
        <w:t>1. Varje part skall så långt som det är möjligt enligt dess lagar och relevanta fördrag och arrangemang ge en annan part snabb och effektiv rättshjälp vid straffrättsliga förundersökningar och förfaranden som en part inlett i fråga om brott som faller under denna konvention och vid icke straffrättsliga förf</w:t>
      </w:r>
      <w:r>
        <w:t>a</w:t>
      </w:r>
      <w:r>
        <w:t>randen som faller under denna konvention som en part har inlett mot en juridisk person. Den anmodade parten skall utan dröjs</w:t>
      </w:r>
      <w:r>
        <w:softHyphen/>
        <w:t>mål underrätta den begärande parten om eventuell ytterligare information eller handlingar som behövs för att styrka framställningen om rättshjälp och, på förfrågan, om vad som gjorts beträffande framställningen och resultatet av den.</w:t>
      </w:r>
    </w:p>
    <w:p w:rsidR="00085B04" w:rsidRDefault="00085B04">
      <w:r>
        <w:t xml:space="preserve">2. Om en part gör inbördes rättshjälp beroende av om det föreligger dubbel straffbarhet, skall sådan anses föreligga om det brott för vilket rättshjälp </w:t>
      </w:r>
      <w:r>
        <w:t>söks faller under denna konvention.</w:t>
      </w:r>
    </w:p>
    <w:p w:rsidR="00085B04" w:rsidRDefault="00085B04">
      <w:r>
        <w:t>3. En part skall inte vägra att lämna inbördes rättshjälp i brottmål som faller inom ramen för denna konvention med hänvisning till banksekretess.</w:t>
      </w:r>
    </w:p>
    <w:p w:rsidR="00085B04" w:rsidRDefault="00085B04">
      <w:pPr>
        <w:pStyle w:val="Rubrik4"/>
        <w:jc w:val="center"/>
      </w:pPr>
      <w:bookmarkStart w:id="312" w:name="_Toc445710341"/>
      <w:bookmarkStart w:id="313" w:name="_Toc446307570"/>
      <w:r>
        <w:t>Artikel 10</w:t>
      </w:r>
      <w:bookmarkEnd w:id="312"/>
      <w:bookmarkEnd w:id="313"/>
    </w:p>
    <w:p w:rsidR="00085B04" w:rsidRDefault="00085B04">
      <w:pPr>
        <w:pStyle w:val="Rubrik3"/>
        <w:spacing w:before="123"/>
        <w:jc w:val="center"/>
      </w:pPr>
      <w:bookmarkStart w:id="314" w:name="_Toc445710342"/>
      <w:bookmarkStart w:id="315" w:name="_Toc446307571"/>
      <w:r>
        <w:t>Utlämning</w:t>
      </w:r>
      <w:bookmarkEnd w:id="314"/>
      <w:bookmarkEnd w:id="315"/>
    </w:p>
    <w:p w:rsidR="00085B04" w:rsidRDefault="00085B04">
      <w:r>
        <w:t>1. Bestickning av utländska offentliga tjänstemän skall vara ett utlämning</w:t>
      </w:r>
      <w:r>
        <w:t>s</w:t>
      </w:r>
      <w:r>
        <w:t>bart brott i parternas lagstiftning och i utlämningsavtal mellan dem.</w:t>
      </w:r>
    </w:p>
    <w:p w:rsidR="00085B04" w:rsidRDefault="00085B04">
      <w:r>
        <w:t>2. Om en part som gör utlämning beroende av om det finns ett utlämning</w:t>
      </w:r>
      <w:r>
        <w:t>s</w:t>
      </w:r>
      <w:r>
        <w:t>avtal mottar en framställning om utlämning från en annan part med vilken den inte har ett utlämningsavtal, får parten betrakta denna konvention som det rättsliga stödet för utlämningen med avseende på brottet bestickning av utländsk offentlig tjän</w:t>
      </w:r>
      <w:r>
        <w:t>s</w:t>
      </w:r>
      <w:r>
        <w:t>teman.</w:t>
      </w:r>
    </w:p>
    <w:p w:rsidR="00085B04" w:rsidRDefault="00085B04">
      <w:r>
        <w:t>3. Varje part skall vidta de åtgärder som är nödvändiga för att säkerställa att den antingen kan utlämna sina egna medborgare eller lagföra dem för brottet bestickning av utländsk offentlig tjänsteman. En part som vägrar att utlämna någon för bestickning a</w:t>
      </w:r>
      <w:r>
        <w:t>v utländsk offentlig tjänsteman endast därför att vederbörande är dess medborgare, skall lämna över ärendet till sina behöriga myndigheter för lagföring.</w:t>
      </w:r>
    </w:p>
    <w:p w:rsidR="00085B04" w:rsidRDefault="00085B04">
      <w:r>
        <w:t>4. Utlämning för bestickning av utländsk offentlig tjänsteman skall ske på de villkor som anges i varje parts nationella lagstiftning och tillämp</w:t>
      </w:r>
      <w:r>
        <w:softHyphen/>
        <w:t>liga fördrag och arrangemang. Om en part gör utlämning beroende av om det föreligger dubbel straffbarhet, skall detta krav anses vara uppfyllt om det brott för vilket utlämning begärs faller under artikel 1 i denna kon</w:t>
      </w:r>
      <w:r>
        <w:softHyphen/>
        <w:t>vention.</w:t>
      </w:r>
    </w:p>
    <w:p w:rsidR="00085B04" w:rsidRDefault="00085B04">
      <w:pPr>
        <w:pStyle w:val="Rubrik4"/>
        <w:jc w:val="center"/>
      </w:pPr>
      <w:bookmarkStart w:id="316" w:name="_Toc445710343"/>
      <w:bookmarkStart w:id="317" w:name="_Toc446307572"/>
      <w:r>
        <w:t>Artikel 11</w:t>
      </w:r>
      <w:bookmarkEnd w:id="316"/>
      <w:bookmarkEnd w:id="317"/>
    </w:p>
    <w:p w:rsidR="00085B04" w:rsidRDefault="00085B04">
      <w:pPr>
        <w:pStyle w:val="Rubrik3"/>
        <w:spacing w:before="123"/>
        <w:jc w:val="center"/>
      </w:pPr>
      <w:bookmarkStart w:id="318" w:name="_Toc445710344"/>
      <w:bookmarkStart w:id="319" w:name="_Toc446307573"/>
      <w:r>
        <w:t>Behöriga myndigheter</w:t>
      </w:r>
      <w:bookmarkEnd w:id="318"/>
      <w:bookmarkEnd w:id="319"/>
    </w:p>
    <w:p w:rsidR="00085B04" w:rsidRDefault="00085B04">
      <w:r>
        <w:t>Med avseende på samråd som avses i artikel 4.3, inbördes rättshjälp som avses i artikel 9 och utlämning som avses i artikel 10 skall varje part unde</w:t>
      </w:r>
      <w:r>
        <w:t>r</w:t>
      </w:r>
      <w:r>
        <w:t>rätta OECD:s generalsekreterare om vilken eller vilka myndigheter som skall vara behöriga att sända och motta framställningar och tjäna som förmedlare för dessa ärenden för parten i fråga utan att detta skall påverka andra arra</w:t>
      </w:r>
      <w:r>
        <w:t>n</w:t>
      </w:r>
      <w:r>
        <w:t>gemang mellan parterna.</w:t>
      </w:r>
    </w:p>
    <w:p w:rsidR="00085B04" w:rsidRDefault="00085B04">
      <w:pPr>
        <w:pStyle w:val="Rubrik4"/>
        <w:jc w:val="center"/>
      </w:pPr>
      <w:bookmarkStart w:id="320" w:name="_Toc445710345"/>
      <w:bookmarkStart w:id="321" w:name="_Toc446307574"/>
      <w:r>
        <w:t>Artikel 12</w:t>
      </w:r>
      <w:bookmarkEnd w:id="320"/>
      <w:bookmarkEnd w:id="321"/>
    </w:p>
    <w:p w:rsidR="00085B04" w:rsidRDefault="00085B04">
      <w:pPr>
        <w:pStyle w:val="Rubrik3"/>
        <w:spacing w:before="123"/>
        <w:jc w:val="center"/>
      </w:pPr>
      <w:bookmarkStart w:id="322" w:name="_Toc445710346"/>
      <w:bookmarkStart w:id="323" w:name="_Toc446307575"/>
      <w:r>
        <w:t>Övervakning och uppföljning</w:t>
      </w:r>
      <w:bookmarkEnd w:id="322"/>
      <w:bookmarkEnd w:id="323"/>
    </w:p>
    <w:p w:rsidR="00085B04" w:rsidRDefault="00085B04">
      <w:r>
        <w:t>Parterna skall samarbeta i att genomföra ett program för systematisk uppföl</w:t>
      </w:r>
      <w:r>
        <w:t>j</w:t>
      </w:r>
      <w:r>
        <w:t>ning för att övervaka och främja att denna konvention till fullo genomförs. Om inte annat enhälligt beslutas av parterna, skall detta ske inom ramen för OECD:s arbetsgrupp om bestickning i internationella affärsförbindelser och enligt denna arbetsgrupps mandat eller inom ramen och enligt mandatet för det organ som kan ha övertagit dess funktioner; parterna skall bära kostn</w:t>
      </w:r>
      <w:r>
        <w:t>a</w:t>
      </w:r>
      <w:r>
        <w:t>derna för programmet i enlighet med de regler som skall gälla för organet i fråga.</w:t>
      </w:r>
    </w:p>
    <w:p w:rsidR="00085B04" w:rsidRDefault="00085B04">
      <w:pPr>
        <w:pStyle w:val="Rubrik4"/>
        <w:jc w:val="center"/>
        <w:rPr>
          <w:b/>
        </w:rPr>
      </w:pPr>
      <w:bookmarkStart w:id="324" w:name="_Toc445710347"/>
      <w:bookmarkStart w:id="325" w:name="_Toc446307576"/>
      <w:r>
        <w:t>Artikel 13</w:t>
      </w:r>
      <w:bookmarkEnd w:id="324"/>
      <w:bookmarkEnd w:id="325"/>
    </w:p>
    <w:p w:rsidR="00085B04" w:rsidRDefault="00085B04">
      <w:pPr>
        <w:pStyle w:val="Rubrik3"/>
        <w:spacing w:before="123"/>
        <w:jc w:val="center"/>
      </w:pPr>
      <w:bookmarkStart w:id="326" w:name="_Toc445710348"/>
      <w:bookmarkStart w:id="327" w:name="_Toc446307577"/>
      <w:r>
        <w:t>Undertecknande och anslutning</w:t>
      </w:r>
      <w:bookmarkEnd w:id="326"/>
      <w:bookmarkEnd w:id="327"/>
    </w:p>
    <w:p w:rsidR="00085B04" w:rsidRDefault="00085B04">
      <w:r>
        <w:t>1. Till dess att konventionen träder i kraft skall den stå öppen för undertec</w:t>
      </w:r>
      <w:r>
        <w:t>k</w:t>
      </w:r>
      <w:r>
        <w:t>nande av OECD:s medlemsstater och de utanförstående stater som har inbj</w:t>
      </w:r>
      <w:r>
        <w:t>u</w:t>
      </w:r>
      <w:r>
        <w:t>dits att bli fullständiga deltagare i OECD:s arbetsgrupp om bestickning i internationella affärsfö</w:t>
      </w:r>
      <w:r>
        <w:t>r</w:t>
      </w:r>
      <w:r>
        <w:t>bindelser.</w:t>
      </w:r>
    </w:p>
    <w:p w:rsidR="00085B04" w:rsidRDefault="00085B04">
      <w:r>
        <w:t>2. När konventionen har trätt i kraft skall den stå öppen för anslutning av icke signatärer som är OECD-medlemmar eller har blivit fullständiga delt</w:t>
      </w:r>
      <w:r>
        <w:t>a</w:t>
      </w:r>
      <w:r>
        <w:t>gare i OECD:s arbetsgrupp om bestickning i internationella affärsförbinde</w:t>
      </w:r>
      <w:r>
        <w:t>l</w:t>
      </w:r>
      <w:r>
        <w:t>ser eller det organ som kan ha övertagit dess funktioner. För varje sådan icke signatärstat skall konventionen träda i kraft den sextionde dagen efter den dag då staten deponerade sitt anslu</w:t>
      </w:r>
      <w:r>
        <w:t>t</w:t>
      </w:r>
      <w:r>
        <w:t>ningsinstrument.</w:t>
      </w:r>
    </w:p>
    <w:p w:rsidR="00085B04" w:rsidRDefault="00085B04">
      <w:pPr>
        <w:pStyle w:val="Rubrik4"/>
        <w:jc w:val="center"/>
      </w:pPr>
      <w:bookmarkStart w:id="328" w:name="_Toc445710349"/>
      <w:bookmarkStart w:id="329" w:name="_Toc446307578"/>
      <w:r>
        <w:t>Artikel 14</w:t>
      </w:r>
      <w:bookmarkEnd w:id="328"/>
      <w:bookmarkEnd w:id="329"/>
    </w:p>
    <w:p w:rsidR="00085B04" w:rsidRDefault="00085B04">
      <w:pPr>
        <w:pStyle w:val="Rubrik3"/>
        <w:spacing w:before="123"/>
        <w:jc w:val="center"/>
      </w:pPr>
      <w:bookmarkStart w:id="330" w:name="_Toc445710350"/>
      <w:bookmarkStart w:id="331" w:name="_Toc446307579"/>
      <w:r>
        <w:t>Ratificering och depositarie</w:t>
      </w:r>
      <w:bookmarkEnd w:id="330"/>
      <w:bookmarkEnd w:id="331"/>
    </w:p>
    <w:p w:rsidR="00085B04" w:rsidRDefault="00085B04">
      <w:r>
        <w:t>1. Denna konvention skall godtas, godkännas eller ratificeras av signatärerna i enlighet med deras respektive la</w:t>
      </w:r>
      <w:r>
        <w:t>g</w:t>
      </w:r>
      <w:r>
        <w:t>stiftning.</w:t>
      </w:r>
    </w:p>
    <w:p w:rsidR="00085B04" w:rsidRDefault="00085B04">
      <w:r>
        <w:t>2. Godtagande-, godkännande-, ratifikations- och anslutningsinstrument skall deponeras hos OECD:s generalsekreterare, som skall tjäna som depositarie för denna konve</w:t>
      </w:r>
      <w:r>
        <w:t>n</w:t>
      </w:r>
      <w:r>
        <w:t>tion.</w:t>
      </w:r>
    </w:p>
    <w:p w:rsidR="00085B04" w:rsidRDefault="00085B04">
      <w:pPr>
        <w:pStyle w:val="Rubrik4"/>
        <w:jc w:val="center"/>
      </w:pPr>
      <w:bookmarkStart w:id="332" w:name="_Toc445710351"/>
      <w:bookmarkStart w:id="333" w:name="_Toc446307580"/>
      <w:r>
        <w:t>Artikel 15</w:t>
      </w:r>
      <w:bookmarkEnd w:id="332"/>
      <w:bookmarkEnd w:id="333"/>
    </w:p>
    <w:p w:rsidR="00085B04" w:rsidRDefault="00085B04">
      <w:pPr>
        <w:pStyle w:val="Rubrik3"/>
        <w:spacing w:before="123"/>
        <w:jc w:val="center"/>
      </w:pPr>
      <w:bookmarkStart w:id="334" w:name="_Toc445710352"/>
      <w:bookmarkStart w:id="335" w:name="_Toc446307581"/>
      <w:r>
        <w:t>Ikraftträdande</w:t>
      </w:r>
      <w:bookmarkEnd w:id="334"/>
      <w:bookmarkEnd w:id="335"/>
    </w:p>
    <w:p w:rsidR="00085B04" w:rsidRDefault="00085B04">
      <w:r>
        <w:t>1. Denna konvention träder i kraft den sextionde dagen efter den dag då fem av de tio länder som har den största exportandelen enligt bifogade dokument och som tillsammans svarar för minst 60 procent av dessa tio länders sa</w:t>
      </w:r>
      <w:r>
        <w:t>m</w:t>
      </w:r>
      <w:r>
        <w:t>manlagda exportvolym har deponerat sina godtagande-, godkännande- eller ratifikationsinstrument. För varje signatär som deponerar sitt instrument efter detta ikraftträdande skall konventionen träda i kraft den sextionde dagen efter deponeringen av dess instrument.</w:t>
      </w:r>
    </w:p>
    <w:p w:rsidR="00085B04" w:rsidRDefault="00085B04">
      <w:r>
        <w:t>2. Om konventionen inte har trätt i kraft enligt punkt 1 i denna artikel den 31 december 1998, får varje signatär som har deponerat sitt godtagande-, go</w:t>
      </w:r>
      <w:r>
        <w:t>d</w:t>
      </w:r>
      <w:r>
        <w:t>kännande- eller ratifiktionsinstrument till depositarien skriftligen förklara att den är beredd att godta konventionens ikraftträdande enligt denna punkt 2. Konventionen skall träda i kraft för en sådan signatär den sextionde dagen efter den dag då sådana förklaringar har deponerats av minst två signatärer. För varje signatär som deponerar sin förklaring efter ett sådant ikraftträda</w:t>
      </w:r>
      <w:r>
        <w:t>n</w:t>
      </w:r>
      <w:r>
        <w:t>de, skall konventionen träda i kraft den sextionde dagen efter dagen för d</w:t>
      </w:r>
      <w:r>
        <w:t>e</w:t>
      </w:r>
      <w:r>
        <w:t>poneringen.</w:t>
      </w:r>
    </w:p>
    <w:p w:rsidR="00085B04" w:rsidRDefault="00085B04">
      <w:pPr>
        <w:pStyle w:val="Rubrik4"/>
        <w:jc w:val="center"/>
      </w:pPr>
      <w:bookmarkStart w:id="336" w:name="_Toc445710353"/>
      <w:bookmarkStart w:id="337" w:name="_Toc446307582"/>
      <w:r>
        <w:t>Artikel 16</w:t>
      </w:r>
      <w:bookmarkEnd w:id="336"/>
      <w:bookmarkEnd w:id="337"/>
    </w:p>
    <w:p w:rsidR="00085B04" w:rsidRDefault="00085B04">
      <w:pPr>
        <w:pStyle w:val="Rubrik3"/>
        <w:spacing w:before="123"/>
        <w:jc w:val="center"/>
      </w:pPr>
      <w:bookmarkStart w:id="338" w:name="_Toc445710354"/>
      <w:bookmarkStart w:id="339" w:name="_Toc446307583"/>
      <w:r>
        <w:t>Ändringar</w:t>
      </w:r>
      <w:bookmarkEnd w:id="338"/>
      <w:bookmarkEnd w:id="339"/>
    </w:p>
    <w:p w:rsidR="00085B04" w:rsidRDefault="00085B04">
      <w:r>
        <w:t xml:space="preserve">En part får föreslå ändringar i denna konvention. Ett ändringsförslag skall föreläggas depositarien, som skall översända det till de övriga parterna minst 60 dagar innan depositarien sammankallar parterna till ett möte för att ta ställning till ändringsförslaget. En ändring som enhälligt antagits av parterna, eller på ett sådant annat sätt som parterna enhälligt beslutar, skall träda i kraft 60 dagar efter det att alla parter har deponerat sina ratifikations-, godtagande- eller godkännandeinstrument eller </w:t>
      </w:r>
      <w:r>
        <w:t>på sådana andra villkor som kan bestä</w:t>
      </w:r>
      <w:r>
        <w:t>m</w:t>
      </w:r>
      <w:r>
        <w:t>mas av parterna när ändringen a</w:t>
      </w:r>
      <w:r>
        <w:t>n</w:t>
      </w:r>
      <w:r>
        <w:t>tas.</w:t>
      </w:r>
    </w:p>
    <w:p w:rsidR="00085B04" w:rsidRDefault="00085B04">
      <w:pPr>
        <w:pStyle w:val="Rubrik4"/>
        <w:jc w:val="center"/>
      </w:pPr>
      <w:bookmarkStart w:id="340" w:name="_Toc445710355"/>
      <w:bookmarkStart w:id="341" w:name="_Toc446307584"/>
      <w:r>
        <w:t>Artikel 17</w:t>
      </w:r>
      <w:bookmarkEnd w:id="340"/>
      <w:bookmarkEnd w:id="341"/>
    </w:p>
    <w:p w:rsidR="00085B04" w:rsidRDefault="00085B04">
      <w:pPr>
        <w:pStyle w:val="Rubrik3"/>
        <w:spacing w:before="123"/>
        <w:jc w:val="center"/>
      </w:pPr>
      <w:bookmarkStart w:id="342" w:name="_Toc445710356"/>
      <w:bookmarkStart w:id="343" w:name="_Toc446307585"/>
      <w:r>
        <w:t>Frånträdande</w:t>
      </w:r>
      <w:bookmarkEnd w:id="342"/>
      <w:bookmarkEnd w:id="343"/>
    </w:p>
    <w:p w:rsidR="00085B04" w:rsidRDefault="00085B04">
      <w:r>
        <w:t>En part kan frånträda denna konvention genom skriftligt meddelande till depositarien. Ett sådant frånträdande får verkan ett år efter den dag då me</w:t>
      </w:r>
      <w:r>
        <w:t>d</w:t>
      </w:r>
      <w:r>
        <w:t>delandet därom mottogs. Efter frånträdandet skall samarbetet fortsätta mellan parterna och den part som har frånträtt konventionen med avseende på alla utestående framställningar om rättshjälp eller utlämning som gjorts före den dag då fråntr</w:t>
      </w:r>
      <w:r>
        <w:t>ä</w:t>
      </w:r>
      <w:r>
        <w:t>dandet trädde i kraft.</w:t>
      </w:r>
    </w:p>
    <w:p w:rsidR="00085B04" w:rsidRDefault="00085B04">
      <w:r>
        <w:t>Upprättad i Paris den 17 december 1997 på engelska och franska språken, vilka båda texter har lika giltighet.</w:t>
      </w:r>
    </w:p>
    <w:p w:rsidR="00085B04" w:rsidRDefault="00085B04">
      <w:pPr>
        <w:pStyle w:val="Rubrik3"/>
        <w:jc w:val="center"/>
      </w:pPr>
      <w:r>
        <w:br w:type="page"/>
      </w:r>
      <w:bookmarkStart w:id="344" w:name="_Toc445710357"/>
      <w:bookmarkStart w:id="345" w:name="_Toc446307586"/>
      <w:r>
        <w:t>Bilaga</w:t>
      </w:r>
      <w:bookmarkEnd w:id="344"/>
      <w:bookmarkEnd w:id="345"/>
    </w:p>
    <w:p w:rsidR="00085B04" w:rsidRDefault="00085B04">
      <w:pPr>
        <w:pStyle w:val="Rubrik2"/>
        <w:spacing w:before="123"/>
        <w:jc w:val="center"/>
        <w:rPr>
          <w:b/>
          <w:sz w:val="19"/>
        </w:rPr>
      </w:pPr>
      <w:bookmarkStart w:id="346" w:name="_Toc445710358"/>
      <w:bookmarkStart w:id="347" w:name="_Toc446307587"/>
      <w:r>
        <w:rPr>
          <w:b/>
          <w:sz w:val="19"/>
        </w:rPr>
        <w:t>DAFFE/IME/BR(97)18/FINAL</w:t>
      </w:r>
      <w:bookmarkEnd w:id="346"/>
      <w:bookmarkEnd w:id="347"/>
    </w:p>
    <w:p w:rsidR="00085B04" w:rsidRDefault="00085B04">
      <w:pPr>
        <w:pStyle w:val="Rubrik3"/>
        <w:spacing w:before="0"/>
        <w:jc w:val="center"/>
      </w:pPr>
      <w:bookmarkStart w:id="348" w:name="_Toc445710359"/>
      <w:bookmarkStart w:id="349" w:name="_Toc446307588"/>
      <w:r>
        <w:t>Statistik över exporten från OECD-länderna</w:t>
      </w:r>
      <w:bookmarkEnd w:id="348"/>
      <w:bookmarkEnd w:id="349"/>
    </w:p>
    <w:p w:rsidR="00085B04" w:rsidRDefault="00085B04"/>
    <w:tbl>
      <w:tblPr>
        <w:tblW w:w="0" w:type="auto"/>
        <w:tblInd w:w="-84"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B7" w:firstRow="1" w:lastRow="0" w:firstColumn="1" w:lastColumn="0" w:noHBand="0" w:noVBand="0"/>
      </w:tblPr>
      <w:tblGrid>
        <w:gridCol w:w="2198"/>
        <w:gridCol w:w="1417"/>
        <w:gridCol w:w="1418"/>
        <w:gridCol w:w="1842"/>
      </w:tblGrid>
      <w:tr w:rsidR="00000000">
        <w:tblPrEx>
          <w:tblCellMar>
            <w:top w:w="0" w:type="dxa"/>
            <w:bottom w:w="0" w:type="dxa"/>
          </w:tblCellMar>
        </w:tblPrEx>
        <w:tc>
          <w:tcPr>
            <w:tcW w:w="2198" w:type="dxa"/>
          </w:tcPr>
          <w:p w:rsidR="00085B04" w:rsidRDefault="00085B04">
            <w:pPr>
              <w:spacing w:before="0"/>
            </w:pPr>
            <w:r>
              <w:t>OECD-EXPORT</w:t>
            </w:r>
          </w:p>
        </w:tc>
        <w:tc>
          <w:tcPr>
            <w:tcW w:w="1417" w:type="dxa"/>
          </w:tcPr>
          <w:p w:rsidR="00085B04" w:rsidRDefault="00085B04">
            <w:pPr>
              <w:spacing w:before="0"/>
            </w:pPr>
            <w:r>
              <w:t>1990-1996</w:t>
            </w:r>
          </w:p>
        </w:tc>
        <w:tc>
          <w:tcPr>
            <w:tcW w:w="1418" w:type="dxa"/>
          </w:tcPr>
          <w:p w:rsidR="00085B04" w:rsidRDefault="00085B04">
            <w:pPr>
              <w:spacing w:before="0"/>
            </w:pPr>
            <w:r>
              <w:t>1990-1996</w:t>
            </w:r>
          </w:p>
        </w:tc>
        <w:tc>
          <w:tcPr>
            <w:tcW w:w="1842" w:type="dxa"/>
          </w:tcPr>
          <w:p w:rsidR="00085B04" w:rsidRDefault="00085B04">
            <w:pPr>
              <w:spacing w:before="0"/>
            </w:pPr>
            <w:r>
              <w:t>1990-1996</w:t>
            </w:r>
          </w:p>
        </w:tc>
      </w:tr>
      <w:tr w:rsidR="00000000">
        <w:tblPrEx>
          <w:tblCellMar>
            <w:top w:w="0" w:type="dxa"/>
            <w:bottom w:w="0" w:type="dxa"/>
          </w:tblCellMar>
        </w:tblPrEx>
        <w:tc>
          <w:tcPr>
            <w:tcW w:w="2198" w:type="dxa"/>
          </w:tcPr>
          <w:p w:rsidR="00085B04" w:rsidRDefault="00085B04">
            <w:pPr>
              <w:spacing w:before="0"/>
            </w:pPr>
          </w:p>
        </w:tc>
        <w:tc>
          <w:tcPr>
            <w:tcW w:w="1417" w:type="dxa"/>
          </w:tcPr>
          <w:p w:rsidR="00085B04" w:rsidRDefault="00085B04">
            <w:pPr>
              <w:spacing w:before="0"/>
            </w:pPr>
            <w:r>
              <w:t>Milj. US-dollar</w:t>
            </w:r>
          </w:p>
        </w:tc>
        <w:tc>
          <w:tcPr>
            <w:tcW w:w="1418" w:type="dxa"/>
          </w:tcPr>
          <w:p w:rsidR="00085B04" w:rsidRDefault="00085B04">
            <w:pPr>
              <w:spacing w:before="0"/>
            </w:pPr>
            <w:r>
              <w:t>% av tot. OECD</w:t>
            </w:r>
          </w:p>
        </w:tc>
        <w:tc>
          <w:tcPr>
            <w:tcW w:w="1842" w:type="dxa"/>
          </w:tcPr>
          <w:p w:rsidR="00085B04" w:rsidRDefault="00085B04">
            <w:pPr>
              <w:spacing w:before="0"/>
            </w:pPr>
            <w:r>
              <w:t>% av de 10 största OECD-länderna</w:t>
            </w:r>
          </w:p>
        </w:tc>
      </w:tr>
      <w:tr w:rsidR="00000000">
        <w:tblPrEx>
          <w:tblCellMar>
            <w:top w:w="0" w:type="dxa"/>
            <w:bottom w:w="0" w:type="dxa"/>
          </w:tblCellMar>
        </w:tblPrEx>
        <w:tc>
          <w:tcPr>
            <w:tcW w:w="2198" w:type="dxa"/>
          </w:tcPr>
          <w:p w:rsidR="00085B04" w:rsidRDefault="00085B04">
            <w:pPr>
              <w:spacing w:before="0"/>
            </w:pPr>
            <w:r>
              <w:t>Förenta staterna</w:t>
            </w:r>
          </w:p>
        </w:tc>
        <w:tc>
          <w:tcPr>
            <w:tcW w:w="1417" w:type="dxa"/>
          </w:tcPr>
          <w:p w:rsidR="00085B04" w:rsidRDefault="00085B04">
            <w:pPr>
              <w:spacing w:before="0" w:line="240" w:lineRule="auto"/>
              <w:ind w:right="340"/>
              <w:jc w:val="right"/>
            </w:pPr>
            <w:r>
              <w:t>287118</w:t>
            </w:r>
          </w:p>
        </w:tc>
        <w:tc>
          <w:tcPr>
            <w:tcW w:w="1418" w:type="dxa"/>
          </w:tcPr>
          <w:p w:rsidR="00085B04" w:rsidRDefault="00085B04">
            <w:pPr>
              <w:spacing w:before="0" w:line="240" w:lineRule="auto"/>
              <w:ind w:right="397"/>
              <w:jc w:val="right"/>
            </w:pPr>
            <w:r>
              <w:t>15,9</w:t>
            </w:r>
          </w:p>
        </w:tc>
        <w:tc>
          <w:tcPr>
            <w:tcW w:w="1842" w:type="dxa"/>
          </w:tcPr>
          <w:p w:rsidR="00085B04" w:rsidRDefault="00085B04">
            <w:pPr>
              <w:spacing w:before="0" w:line="240" w:lineRule="auto"/>
              <w:ind w:right="737"/>
              <w:jc w:val="right"/>
            </w:pPr>
            <w:r>
              <w:t>19,7</w:t>
            </w:r>
          </w:p>
        </w:tc>
      </w:tr>
      <w:tr w:rsidR="00000000">
        <w:tblPrEx>
          <w:tblCellMar>
            <w:top w:w="0" w:type="dxa"/>
            <w:bottom w:w="0" w:type="dxa"/>
          </w:tblCellMar>
        </w:tblPrEx>
        <w:tc>
          <w:tcPr>
            <w:tcW w:w="2198" w:type="dxa"/>
          </w:tcPr>
          <w:p w:rsidR="00085B04" w:rsidRDefault="00085B04">
            <w:pPr>
              <w:spacing w:before="0"/>
            </w:pPr>
            <w:r>
              <w:t>Tyskland</w:t>
            </w:r>
          </w:p>
        </w:tc>
        <w:tc>
          <w:tcPr>
            <w:tcW w:w="1417" w:type="dxa"/>
          </w:tcPr>
          <w:p w:rsidR="00085B04" w:rsidRDefault="00085B04">
            <w:pPr>
              <w:spacing w:before="0" w:line="240" w:lineRule="auto"/>
              <w:ind w:right="340"/>
              <w:jc w:val="right"/>
            </w:pPr>
            <w:r>
              <w:t>254746</w:t>
            </w:r>
          </w:p>
        </w:tc>
        <w:tc>
          <w:tcPr>
            <w:tcW w:w="1418" w:type="dxa"/>
          </w:tcPr>
          <w:p w:rsidR="00085B04" w:rsidRDefault="00085B04">
            <w:pPr>
              <w:spacing w:before="0" w:line="240" w:lineRule="auto"/>
              <w:ind w:right="397"/>
              <w:jc w:val="right"/>
            </w:pPr>
            <w:r>
              <w:t>14,1</w:t>
            </w:r>
          </w:p>
        </w:tc>
        <w:tc>
          <w:tcPr>
            <w:tcW w:w="1842" w:type="dxa"/>
          </w:tcPr>
          <w:p w:rsidR="00085B04" w:rsidRDefault="00085B04">
            <w:pPr>
              <w:spacing w:before="0" w:line="240" w:lineRule="auto"/>
              <w:ind w:right="737"/>
              <w:jc w:val="right"/>
            </w:pPr>
            <w:r>
              <w:t>17,5</w:t>
            </w:r>
          </w:p>
        </w:tc>
      </w:tr>
      <w:tr w:rsidR="00000000">
        <w:tblPrEx>
          <w:tblCellMar>
            <w:top w:w="0" w:type="dxa"/>
            <w:bottom w:w="0" w:type="dxa"/>
          </w:tblCellMar>
        </w:tblPrEx>
        <w:tc>
          <w:tcPr>
            <w:tcW w:w="2198" w:type="dxa"/>
          </w:tcPr>
          <w:p w:rsidR="00085B04" w:rsidRDefault="00085B04">
            <w:pPr>
              <w:spacing w:before="0"/>
            </w:pPr>
            <w:r>
              <w:t>Japan</w:t>
            </w:r>
          </w:p>
        </w:tc>
        <w:tc>
          <w:tcPr>
            <w:tcW w:w="1417" w:type="dxa"/>
          </w:tcPr>
          <w:p w:rsidR="00085B04" w:rsidRDefault="00085B04">
            <w:pPr>
              <w:spacing w:before="0" w:line="240" w:lineRule="auto"/>
              <w:ind w:right="340"/>
              <w:jc w:val="right"/>
            </w:pPr>
            <w:r>
              <w:t>212665</w:t>
            </w:r>
          </w:p>
        </w:tc>
        <w:tc>
          <w:tcPr>
            <w:tcW w:w="1418" w:type="dxa"/>
          </w:tcPr>
          <w:p w:rsidR="00085B04" w:rsidRDefault="00085B04">
            <w:pPr>
              <w:spacing w:before="0" w:line="240" w:lineRule="auto"/>
              <w:ind w:right="397"/>
              <w:jc w:val="right"/>
            </w:pPr>
            <w:r>
              <w:t>11,8</w:t>
            </w:r>
          </w:p>
        </w:tc>
        <w:tc>
          <w:tcPr>
            <w:tcW w:w="1842" w:type="dxa"/>
          </w:tcPr>
          <w:p w:rsidR="00085B04" w:rsidRDefault="00085B04">
            <w:pPr>
              <w:spacing w:before="0" w:line="240" w:lineRule="auto"/>
              <w:ind w:right="737"/>
              <w:jc w:val="right"/>
            </w:pPr>
            <w:r>
              <w:t>14,6</w:t>
            </w:r>
          </w:p>
        </w:tc>
      </w:tr>
      <w:tr w:rsidR="00000000">
        <w:tblPrEx>
          <w:tblCellMar>
            <w:top w:w="0" w:type="dxa"/>
            <w:bottom w:w="0" w:type="dxa"/>
          </w:tblCellMar>
        </w:tblPrEx>
        <w:tc>
          <w:tcPr>
            <w:tcW w:w="2198" w:type="dxa"/>
          </w:tcPr>
          <w:p w:rsidR="00085B04" w:rsidRDefault="00085B04">
            <w:pPr>
              <w:spacing w:before="0"/>
            </w:pPr>
            <w:r>
              <w:t>Frankrike</w:t>
            </w:r>
          </w:p>
        </w:tc>
        <w:tc>
          <w:tcPr>
            <w:tcW w:w="1417" w:type="dxa"/>
          </w:tcPr>
          <w:p w:rsidR="00085B04" w:rsidRDefault="00085B04">
            <w:pPr>
              <w:spacing w:before="0" w:line="240" w:lineRule="auto"/>
              <w:ind w:right="340"/>
              <w:jc w:val="right"/>
            </w:pPr>
            <w:r>
              <w:t>138471</w:t>
            </w:r>
          </w:p>
        </w:tc>
        <w:tc>
          <w:tcPr>
            <w:tcW w:w="1418" w:type="dxa"/>
          </w:tcPr>
          <w:p w:rsidR="00085B04" w:rsidRDefault="00085B04">
            <w:pPr>
              <w:spacing w:before="0" w:line="240" w:lineRule="auto"/>
              <w:ind w:right="397"/>
              <w:jc w:val="right"/>
            </w:pPr>
            <w:r>
              <w:t>7,7</w:t>
            </w:r>
          </w:p>
        </w:tc>
        <w:tc>
          <w:tcPr>
            <w:tcW w:w="1842" w:type="dxa"/>
          </w:tcPr>
          <w:p w:rsidR="00085B04" w:rsidRDefault="00085B04">
            <w:pPr>
              <w:spacing w:before="0" w:line="240" w:lineRule="auto"/>
              <w:ind w:right="737"/>
              <w:jc w:val="right"/>
            </w:pPr>
            <w:r>
              <w:t>9,5</w:t>
            </w:r>
          </w:p>
        </w:tc>
      </w:tr>
      <w:tr w:rsidR="00000000">
        <w:tblPrEx>
          <w:tblCellMar>
            <w:top w:w="0" w:type="dxa"/>
            <w:bottom w:w="0" w:type="dxa"/>
          </w:tblCellMar>
        </w:tblPrEx>
        <w:tc>
          <w:tcPr>
            <w:tcW w:w="2198" w:type="dxa"/>
          </w:tcPr>
          <w:p w:rsidR="00085B04" w:rsidRDefault="00085B04">
            <w:pPr>
              <w:spacing w:before="0"/>
            </w:pPr>
            <w:r>
              <w:t>Förenade kungariket</w:t>
            </w:r>
          </w:p>
        </w:tc>
        <w:tc>
          <w:tcPr>
            <w:tcW w:w="1417" w:type="dxa"/>
          </w:tcPr>
          <w:p w:rsidR="00085B04" w:rsidRDefault="00085B04">
            <w:pPr>
              <w:spacing w:before="0" w:line="240" w:lineRule="auto"/>
              <w:ind w:right="340"/>
              <w:jc w:val="right"/>
            </w:pPr>
            <w:r>
              <w:t>121258</w:t>
            </w:r>
          </w:p>
        </w:tc>
        <w:tc>
          <w:tcPr>
            <w:tcW w:w="1418" w:type="dxa"/>
          </w:tcPr>
          <w:p w:rsidR="00085B04" w:rsidRDefault="00085B04">
            <w:pPr>
              <w:spacing w:before="0" w:line="240" w:lineRule="auto"/>
              <w:ind w:right="397"/>
              <w:jc w:val="right"/>
            </w:pPr>
            <w:r>
              <w:t>6,7</w:t>
            </w:r>
          </w:p>
        </w:tc>
        <w:tc>
          <w:tcPr>
            <w:tcW w:w="1842" w:type="dxa"/>
          </w:tcPr>
          <w:p w:rsidR="00085B04" w:rsidRDefault="00085B04">
            <w:pPr>
              <w:spacing w:before="0" w:line="240" w:lineRule="auto"/>
              <w:ind w:right="737"/>
              <w:jc w:val="right"/>
            </w:pPr>
            <w:r>
              <w:t>8,3</w:t>
            </w:r>
          </w:p>
        </w:tc>
      </w:tr>
      <w:tr w:rsidR="00000000">
        <w:tblPrEx>
          <w:tblCellMar>
            <w:top w:w="0" w:type="dxa"/>
            <w:bottom w:w="0" w:type="dxa"/>
          </w:tblCellMar>
        </w:tblPrEx>
        <w:tc>
          <w:tcPr>
            <w:tcW w:w="2198" w:type="dxa"/>
          </w:tcPr>
          <w:p w:rsidR="00085B04" w:rsidRDefault="00085B04">
            <w:pPr>
              <w:spacing w:before="0"/>
            </w:pPr>
            <w:r>
              <w:t>Italien</w:t>
            </w:r>
          </w:p>
        </w:tc>
        <w:tc>
          <w:tcPr>
            <w:tcW w:w="1417" w:type="dxa"/>
          </w:tcPr>
          <w:p w:rsidR="00085B04" w:rsidRDefault="00085B04">
            <w:pPr>
              <w:spacing w:before="0" w:line="240" w:lineRule="auto"/>
              <w:ind w:right="340"/>
              <w:jc w:val="right"/>
            </w:pPr>
            <w:r>
              <w:t>112449</w:t>
            </w:r>
          </w:p>
        </w:tc>
        <w:tc>
          <w:tcPr>
            <w:tcW w:w="1418" w:type="dxa"/>
          </w:tcPr>
          <w:p w:rsidR="00085B04" w:rsidRDefault="00085B04">
            <w:pPr>
              <w:spacing w:before="0" w:line="240" w:lineRule="auto"/>
              <w:ind w:right="397"/>
              <w:jc w:val="right"/>
            </w:pPr>
            <w:r>
              <w:t>6,2</w:t>
            </w:r>
          </w:p>
        </w:tc>
        <w:tc>
          <w:tcPr>
            <w:tcW w:w="1842" w:type="dxa"/>
          </w:tcPr>
          <w:p w:rsidR="00085B04" w:rsidRDefault="00085B04">
            <w:pPr>
              <w:spacing w:before="0" w:line="240" w:lineRule="auto"/>
              <w:ind w:right="737"/>
              <w:jc w:val="right"/>
            </w:pPr>
            <w:r>
              <w:t>7,7</w:t>
            </w:r>
          </w:p>
        </w:tc>
      </w:tr>
      <w:tr w:rsidR="00000000">
        <w:tblPrEx>
          <w:tblCellMar>
            <w:top w:w="0" w:type="dxa"/>
            <w:bottom w:w="0" w:type="dxa"/>
          </w:tblCellMar>
        </w:tblPrEx>
        <w:tc>
          <w:tcPr>
            <w:tcW w:w="2198" w:type="dxa"/>
          </w:tcPr>
          <w:p w:rsidR="00085B04" w:rsidRDefault="00085B04">
            <w:pPr>
              <w:spacing w:before="0"/>
            </w:pPr>
            <w:r>
              <w:t>Kanada</w:t>
            </w:r>
          </w:p>
        </w:tc>
        <w:tc>
          <w:tcPr>
            <w:tcW w:w="1417" w:type="dxa"/>
          </w:tcPr>
          <w:p w:rsidR="00085B04" w:rsidRDefault="00085B04">
            <w:pPr>
              <w:spacing w:before="0" w:line="240" w:lineRule="auto"/>
              <w:ind w:right="340"/>
              <w:jc w:val="right"/>
            </w:pPr>
            <w:r>
              <w:t xml:space="preserve"> 91215</w:t>
            </w:r>
          </w:p>
        </w:tc>
        <w:tc>
          <w:tcPr>
            <w:tcW w:w="1418" w:type="dxa"/>
          </w:tcPr>
          <w:p w:rsidR="00085B04" w:rsidRDefault="00085B04">
            <w:pPr>
              <w:spacing w:before="0" w:line="240" w:lineRule="auto"/>
              <w:ind w:right="397"/>
              <w:jc w:val="right"/>
            </w:pPr>
            <w:r>
              <w:t>5,1</w:t>
            </w:r>
          </w:p>
        </w:tc>
        <w:tc>
          <w:tcPr>
            <w:tcW w:w="1842" w:type="dxa"/>
          </w:tcPr>
          <w:p w:rsidR="00085B04" w:rsidRDefault="00085B04">
            <w:pPr>
              <w:spacing w:before="0" w:line="240" w:lineRule="auto"/>
              <w:ind w:right="737"/>
              <w:jc w:val="right"/>
            </w:pPr>
            <w:r>
              <w:t>6,3</w:t>
            </w:r>
          </w:p>
        </w:tc>
      </w:tr>
      <w:tr w:rsidR="00000000">
        <w:tblPrEx>
          <w:tblCellMar>
            <w:top w:w="0" w:type="dxa"/>
            <w:bottom w:w="0" w:type="dxa"/>
          </w:tblCellMar>
        </w:tblPrEx>
        <w:tc>
          <w:tcPr>
            <w:tcW w:w="2198" w:type="dxa"/>
          </w:tcPr>
          <w:p w:rsidR="00085B04" w:rsidRDefault="00085B04">
            <w:pPr>
              <w:spacing w:before="0"/>
            </w:pPr>
            <w:r>
              <w:t>Korea (1)</w:t>
            </w:r>
          </w:p>
        </w:tc>
        <w:tc>
          <w:tcPr>
            <w:tcW w:w="1417" w:type="dxa"/>
          </w:tcPr>
          <w:p w:rsidR="00085B04" w:rsidRDefault="00085B04">
            <w:pPr>
              <w:spacing w:before="0" w:line="240" w:lineRule="auto"/>
              <w:ind w:right="340"/>
              <w:jc w:val="right"/>
            </w:pPr>
            <w:r>
              <w:t xml:space="preserve"> 81364</w:t>
            </w:r>
          </w:p>
        </w:tc>
        <w:tc>
          <w:tcPr>
            <w:tcW w:w="1418" w:type="dxa"/>
          </w:tcPr>
          <w:p w:rsidR="00085B04" w:rsidRDefault="00085B04">
            <w:pPr>
              <w:spacing w:before="0" w:line="240" w:lineRule="auto"/>
              <w:ind w:right="397"/>
              <w:jc w:val="right"/>
            </w:pPr>
            <w:r>
              <w:t>4,5</w:t>
            </w:r>
          </w:p>
        </w:tc>
        <w:tc>
          <w:tcPr>
            <w:tcW w:w="1842" w:type="dxa"/>
          </w:tcPr>
          <w:p w:rsidR="00085B04" w:rsidRDefault="00085B04">
            <w:pPr>
              <w:spacing w:before="0" w:line="240" w:lineRule="auto"/>
              <w:ind w:right="737"/>
              <w:jc w:val="right"/>
            </w:pPr>
            <w:r>
              <w:t>5,6</w:t>
            </w:r>
          </w:p>
        </w:tc>
      </w:tr>
      <w:tr w:rsidR="00000000">
        <w:tblPrEx>
          <w:tblCellMar>
            <w:top w:w="0" w:type="dxa"/>
            <w:bottom w:w="0" w:type="dxa"/>
          </w:tblCellMar>
        </w:tblPrEx>
        <w:tc>
          <w:tcPr>
            <w:tcW w:w="2198" w:type="dxa"/>
          </w:tcPr>
          <w:p w:rsidR="00085B04" w:rsidRDefault="00085B04">
            <w:pPr>
              <w:spacing w:before="0"/>
            </w:pPr>
            <w:r>
              <w:t>Nederländerna</w:t>
            </w:r>
          </w:p>
        </w:tc>
        <w:tc>
          <w:tcPr>
            <w:tcW w:w="1417" w:type="dxa"/>
          </w:tcPr>
          <w:p w:rsidR="00085B04" w:rsidRDefault="00085B04">
            <w:pPr>
              <w:spacing w:before="0" w:line="240" w:lineRule="auto"/>
              <w:ind w:right="340"/>
              <w:jc w:val="right"/>
            </w:pPr>
            <w:r>
              <w:t xml:space="preserve"> 81264</w:t>
            </w:r>
          </w:p>
        </w:tc>
        <w:tc>
          <w:tcPr>
            <w:tcW w:w="1418" w:type="dxa"/>
          </w:tcPr>
          <w:p w:rsidR="00085B04" w:rsidRDefault="00085B04">
            <w:pPr>
              <w:spacing w:before="0" w:line="240" w:lineRule="auto"/>
              <w:ind w:right="397"/>
              <w:jc w:val="right"/>
            </w:pPr>
            <w:r>
              <w:t>4,5</w:t>
            </w:r>
          </w:p>
        </w:tc>
        <w:tc>
          <w:tcPr>
            <w:tcW w:w="1842" w:type="dxa"/>
          </w:tcPr>
          <w:p w:rsidR="00085B04" w:rsidRDefault="00085B04">
            <w:pPr>
              <w:spacing w:before="0" w:line="240" w:lineRule="auto"/>
              <w:ind w:right="737"/>
              <w:jc w:val="right"/>
            </w:pPr>
            <w:r>
              <w:t>5,6</w:t>
            </w:r>
          </w:p>
        </w:tc>
      </w:tr>
      <w:tr w:rsidR="00000000">
        <w:tblPrEx>
          <w:tblCellMar>
            <w:top w:w="0" w:type="dxa"/>
            <w:bottom w:w="0" w:type="dxa"/>
          </w:tblCellMar>
        </w:tblPrEx>
        <w:tc>
          <w:tcPr>
            <w:tcW w:w="2198" w:type="dxa"/>
          </w:tcPr>
          <w:p w:rsidR="00085B04" w:rsidRDefault="00085B04">
            <w:pPr>
              <w:spacing w:before="0"/>
            </w:pPr>
            <w:r>
              <w:t>Belgien-Luxemburg</w:t>
            </w:r>
          </w:p>
        </w:tc>
        <w:tc>
          <w:tcPr>
            <w:tcW w:w="1417" w:type="dxa"/>
          </w:tcPr>
          <w:p w:rsidR="00085B04" w:rsidRDefault="00085B04">
            <w:pPr>
              <w:spacing w:before="0" w:line="240" w:lineRule="auto"/>
              <w:ind w:right="340"/>
              <w:jc w:val="right"/>
            </w:pPr>
            <w:r>
              <w:t xml:space="preserve"> 78598</w:t>
            </w:r>
          </w:p>
        </w:tc>
        <w:tc>
          <w:tcPr>
            <w:tcW w:w="1418" w:type="dxa"/>
          </w:tcPr>
          <w:p w:rsidR="00085B04" w:rsidRDefault="00085B04">
            <w:pPr>
              <w:spacing w:before="0" w:line="240" w:lineRule="auto"/>
              <w:ind w:right="397"/>
              <w:jc w:val="right"/>
            </w:pPr>
            <w:r>
              <w:t>4,4</w:t>
            </w:r>
          </w:p>
        </w:tc>
        <w:tc>
          <w:tcPr>
            <w:tcW w:w="1842" w:type="dxa"/>
          </w:tcPr>
          <w:p w:rsidR="00085B04" w:rsidRDefault="00085B04">
            <w:pPr>
              <w:spacing w:before="0" w:line="240" w:lineRule="auto"/>
              <w:ind w:right="737"/>
              <w:jc w:val="right"/>
            </w:pPr>
            <w:r>
              <w:t>5,4</w:t>
            </w:r>
          </w:p>
        </w:tc>
      </w:tr>
      <w:tr w:rsidR="00000000">
        <w:tblPrEx>
          <w:tblCellMar>
            <w:top w:w="0" w:type="dxa"/>
            <w:bottom w:w="0" w:type="dxa"/>
          </w:tblCellMar>
        </w:tblPrEx>
        <w:tc>
          <w:tcPr>
            <w:tcW w:w="2198" w:type="dxa"/>
          </w:tcPr>
          <w:p w:rsidR="00085B04" w:rsidRDefault="00085B04">
            <w:pPr>
              <w:spacing w:before="0"/>
              <w:rPr>
                <w:b/>
              </w:rPr>
            </w:pPr>
            <w:r>
              <w:rPr>
                <w:b/>
              </w:rPr>
              <w:t>De 10 största totalt</w:t>
            </w:r>
          </w:p>
        </w:tc>
        <w:tc>
          <w:tcPr>
            <w:tcW w:w="1417" w:type="dxa"/>
          </w:tcPr>
          <w:p w:rsidR="00085B04" w:rsidRDefault="00085B04">
            <w:pPr>
              <w:spacing w:before="0" w:line="240" w:lineRule="auto"/>
              <w:ind w:right="340"/>
              <w:jc w:val="right"/>
              <w:rPr>
                <w:b/>
              </w:rPr>
            </w:pPr>
            <w:r>
              <w:rPr>
                <w:b/>
              </w:rPr>
              <w:t>1459148</w:t>
            </w:r>
          </w:p>
        </w:tc>
        <w:tc>
          <w:tcPr>
            <w:tcW w:w="1418" w:type="dxa"/>
          </w:tcPr>
          <w:p w:rsidR="00085B04" w:rsidRDefault="00085B04">
            <w:pPr>
              <w:spacing w:before="0" w:line="240" w:lineRule="auto"/>
              <w:ind w:right="397"/>
              <w:jc w:val="right"/>
              <w:rPr>
                <w:b/>
              </w:rPr>
            </w:pPr>
            <w:r>
              <w:rPr>
                <w:b/>
              </w:rPr>
              <w:t>81,0</w:t>
            </w:r>
          </w:p>
        </w:tc>
        <w:tc>
          <w:tcPr>
            <w:tcW w:w="1842" w:type="dxa"/>
          </w:tcPr>
          <w:p w:rsidR="00085B04" w:rsidRDefault="00085B04">
            <w:pPr>
              <w:spacing w:before="0" w:line="240" w:lineRule="auto"/>
              <w:ind w:right="737"/>
              <w:jc w:val="right"/>
              <w:rPr>
                <w:b/>
              </w:rPr>
            </w:pPr>
            <w:r>
              <w:rPr>
                <w:b/>
              </w:rPr>
              <w:t>100</w:t>
            </w:r>
          </w:p>
        </w:tc>
      </w:tr>
      <w:tr w:rsidR="00000000">
        <w:tblPrEx>
          <w:tblCellMar>
            <w:top w:w="0" w:type="dxa"/>
            <w:bottom w:w="0" w:type="dxa"/>
          </w:tblCellMar>
        </w:tblPrEx>
        <w:tc>
          <w:tcPr>
            <w:tcW w:w="2198" w:type="dxa"/>
          </w:tcPr>
          <w:p w:rsidR="00085B04" w:rsidRDefault="00085B04">
            <w:pPr>
              <w:spacing w:before="0"/>
            </w:pPr>
          </w:p>
        </w:tc>
        <w:tc>
          <w:tcPr>
            <w:tcW w:w="1417" w:type="dxa"/>
          </w:tcPr>
          <w:p w:rsidR="00085B04" w:rsidRDefault="00085B04">
            <w:pPr>
              <w:spacing w:before="0" w:line="240" w:lineRule="auto"/>
              <w:ind w:right="340"/>
              <w:jc w:val="right"/>
            </w:pPr>
          </w:p>
        </w:tc>
        <w:tc>
          <w:tcPr>
            <w:tcW w:w="1418" w:type="dxa"/>
          </w:tcPr>
          <w:p w:rsidR="00085B04" w:rsidRDefault="00085B04">
            <w:pPr>
              <w:spacing w:before="0" w:line="240" w:lineRule="auto"/>
              <w:ind w:right="397"/>
              <w:jc w:val="right"/>
            </w:pP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Spanien</w:t>
            </w:r>
          </w:p>
        </w:tc>
        <w:tc>
          <w:tcPr>
            <w:tcW w:w="1417" w:type="dxa"/>
          </w:tcPr>
          <w:p w:rsidR="00085B04" w:rsidRDefault="00085B04">
            <w:pPr>
              <w:spacing w:before="0" w:line="240" w:lineRule="auto"/>
              <w:ind w:right="340"/>
              <w:jc w:val="right"/>
            </w:pPr>
            <w:r>
              <w:t xml:space="preserve"> 42469</w:t>
            </w:r>
          </w:p>
        </w:tc>
        <w:tc>
          <w:tcPr>
            <w:tcW w:w="1418" w:type="dxa"/>
          </w:tcPr>
          <w:p w:rsidR="00085B04" w:rsidRDefault="00085B04">
            <w:pPr>
              <w:spacing w:before="0" w:line="240" w:lineRule="auto"/>
              <w:ind w:right="397"/>
              <w:jc w:val="right"/>
            </w:pPr>
            <w:r>
              <w:t>2,4</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Schweiz</w:t>
            </w:r>
          </w:p>
        </w:tc>
        <w:tc>
          <w:tcPr>
            <w:tcW w:w="1417" w:type="dxa"/>
          </w:tcPr>
          <w:p w:rsidR="00085B04" w:rsidRDefault="00085B04">
            <w:pPr>
              <w:spacing w:before="0" w:line="240" w:lineRule="auto"/>
              <w:ind w:right="340"/>
              <w:jc w:val="right"/>
            </w:pPr>
            <w:r>
              <w:t xml:space="preserve"> 40395</w:t>
            </w:r>
          </w:p>
        </w:tc>
        <w:tc>
          <w:tcPr>
            <w:tcW w:w="1418" w:type="dxa"/>
          </w:tcPr>
          <w:p w:rsidR="00085B04" w:rsidRDefault="00085B04">
            <w:pPr>
              <w:spacing w:before="0" w:line="240" w:lineRule="auto"/>
              <w:ind w:right="397"/>
              <w:jc w:val="right"/>
            </w:pPr>
            <w:r>
              <w:t>2,2</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Sverige</w:t>
            </w:r>
          </w:p>
        </w:tc>
        <w:tc>
          <w:tcPr>
            <w:tcW w:w="1417" w:type="dxa"/>
          </w:tcPr>
          <w:p w:rsidR="00085B04" w:rsidRDefault="00085B04">
            <w:pPr>
              <w:spacing w:before="0" w:line="240" w:lineRule="auto"/>
              <w:ind w:right="340"/>
              <w:jc w:val="right"/>
            </w:pPr>
            <w:r>
              <w:t xml:space="preserve"> 36710</w:t>
            </w:r>
          </w:p>
        </w:tc>
        <w:tc>
          <w:tcPr>
            <w:tcW w:w="1418" w:type="dxa"/>
          </w:tcPr>
          <w:p w:rsidR="00085B04" w:rsidRDefault="00085B04">
            <w:pPr>
              <w:spacing w:before="0" w:line="240" w:lineRule="auto"/>
              <w:ind w:right="397"/>
              <w:jc w:val="right"/>
            </w:pPr>
            <w:r>
              <w:t>2,0</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Mexiko (1)</w:t>
            </w:r>
          </w:p>
        </w:tc>
        <w:tc>
          <w:tcPr>
            <w:tcW w:w="1417" w:type="dxa"/>
          </w:tcPr>
          <w:p w:rsidR="00085B04" w:rsidRDefault="00085B04">
            <w:pPr>
              <w:spacing w:before="0" w:line="240" w:lineRule="auto"/>
              <w:ind w:right="340"/>
              <w:jc w:val="right"/>
            </w:pPr>
            <w:r>
              <w:t xml:space="preserve"> 34233</w:t>
            </w:r>
          </w:p>
        </w:tc>
        <w:tc>
          <w:tcPr>
            <w:tcW w:w="1418" w:type="dxa"/>
          </w:tcPr>
          <w:p w:rsidR="00085B04" w:rsidRDefault="00085B04">
            <w:pPr>
              <w:spacing w:before="0" w:line="240" w:lineRule="auto"/>
              <w:ind w:right="397"/>
              <w:jc w:val="right"/>
            </w:pPr>
            <w:r>
              <w:t>1,9</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Australien</w:t>
            </w:r>
          </w:p>
        </w:tc>
        <w:tc>
          <w:tcPr>
            <w:tcW w:w="1417" w:type="dxa"/>
          </w:tcPr>
          <w:p w:rsidR="00085B04" w:rsidRDefault="00085B04">
            <w:pPr>
              <w:spacing w:before="0" w:line="240" w:lineRule="auto"/>
              <w:ind w:right="340"/>
              <w:jc w:val="right"/>
            </w:pPr>
            <w:r>
              <w:t xml:space="preserve"> 27194</w:t>
            </w:r>
          </w:p>
        </w:tc>
        <w:tc>
          <w:tcPr>
            <w:tcW w:w="1418" w:type="dxa"/>
          </w:tcPr>
          <w:p w:rsidR="00085B04" w:rsidRDefault="00085B04">
            <w:pPr>
              <w:spacing w:before="0" w:line="240" w:lineRule="auto"/>
              <w:ind w:right="397"/>
              <w:jc w:val="right"/>
            </w:pPr>
            <w:r>
              <w:t>1,5</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Danmark</w:t>
            </w:r>
          </w:p>
        </w:tc>
        <w:tc>
          <w:tcPr>
            <w:tcW w:w="1417" w:type="dxa"/>
          </w:tcPr>
          <w:p w:rsidR="00085B04" w:rsidRDefault="00085B04">
            <w:pPr>
              <w:spacing w:before="0" w:line="240" w:lineRule="auto"/>
              <w:ind w:right="340"/>
              <w:jc w:val="right"/>
            </w:pPr>
            <w:r>
              <w:t xml:space="preserve"> 24145</w:t>
            </w:r>
          </w:p>
        </w:tc>
        <w:tc>
          <w:tcPr>
            <w:tcW w:w="1418" w:type="dxa"/>
          </w:tcPr>
          <w:p w:rsidR="00085B04" w:rsidRDefault="00085B04">
            <w:pPr>
              <w:spacing w:before="0" w:line="240" w:lineRule="auto"/>
              <w:ind w:right="397"/>
              <w:jc w:val="right"/>
            </w:pPr>
            <w:r>
              <w:t>1,3</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Österrike*</w:t>
            </w:r>
          </w:p>
        </w:tc>
        <w:tc>
          <w:tcPr>
            <w:tcW w:w="1417" w:type="dxa"/>
          </w:tcPr>
          <w:p w:rsidR="00085B04" w:rsidRDefault="00085B04">
            <w:pPr>
              <w:spacing w:before="0" w:line="240" w:lineRule="auto"/>
              <w:ind w:right="340"/>
              <w:jc w:val="right"/>
            </w:pPr>
            <w:r>
              <w:t xml:space="preserve"> 22432</w:t>
            </w:r>
          </w:p>
        </w:tc>
        <w:tc>
          <w:tcPr>
            <w:tcW w:w="1418" w:type="dxa"/>
          </w:tcPr>
          <w:p w:rsidR="00085B04" w:rsidRDefault="00085B04">
            <w:pPr>
              <w:spacing w:before="0" w:line="240" w:lineRule="auto"/>
              <w:ind w:right="397"/>
              <w:jc w:val="right"/>
            </w:pPr>
            <w:r>
              <w:t>1,2</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Norge</w:t>
            </w:r>
          </w:p>
        </w:tc>
        <w:tc>
          <w:tcPr>
            <w:tcW w:w="1417" w:type="dxa"/>
          </w:tcPr>
          <w:p w:rsidR="00085B04" w:rsidRDefault="00085B04">
            <w:pPr>
              <w:spacing w:before="0" w:line="240" w:lineRule="auto"/>
              <w:ind w:right="340"/>
              <w:jc w:val="right"/>
            </w:pPr>
            <w:r>
              <w:t xml:space="preserve"> 21666</w:t>
            </w:r>
          </w:p>
        </w:tc>
        <w:tc>
          <w:tcPr>
            <w:tcW w:w="1418" w:type="dxa"/>
          </w:tcPr>
          <w:p w:rsidR="00085B04" w:rsidRDefault="00085B04">
            <w:pPr>
              <w:spacing w:before="0" w:line="240" w:lineRule="auto"/>
              <w:ind w:right="397"/>
              <w:jc w:val="right"/>
            </w:pPr>
            <w:r>
              <w:t>1,2</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Irland</w:t>
            </w:r>
          </w:p>
        </w:tc>
        <w:tc>
          <w:tcPr>
            <w:tcW w:w="1417" w:type="dxa"/>
          </w:tcPr>
          <w:p w:rsidR="00085B04" w:rsidRDefault="00085B04">
            <w:pPr>
              <w:spacing w:before="0" w:line="240" w:lineRule="auto"/>
              <w:ind w:right="340"/>
              <w:jc w:val="right"/>
            </w:pPr>
            <w:r>
              <w:t xml:space="preserve"> 19217</w:t>
            </w:r>
          </w:p>
        </w:tc>
        <w:tc>
          <w:tcPr>
            <w:tcW w:w="1418" w:type="dxa"/>
          </w:tcPr>
          <w:p w:rsidR="00085B04" w:rsidRDefault="00085B04">
            <w:pPr>
              <w:spacing w:before="0" w:line="240" w:lineRule="auto"/>
              <w:ind w:right="397"/>
              <w:jc w:val="right"/>
            </w:pPr>
            <w:r>
              <w:t>1,1</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Finland</w:t>
            </w:r>
          </w:p>
        </w:tc>
        <w:tc>
          <w:tcPr>
            <w:tcW w:w="1417" w:type="dxa"/>
          </w:tcPr>
          <w:p w:rsidR="00085B04" w:rsidRDefault="00085B04">
            <w:pPr>
              <w:spacing w:before="0" w:line="240" w:lineRule="auto"/>
              <w:ind w:right="340"/>
              <w:jc w:val="right"/>
            </w:pPr>
            <w:r>
              <w:t xml:space="preserve"> 17296</w:t>
            </w:r>
          </w:p>
        </w:tc>
        <w:tc>
          <w:tcPr>
            <w:tcW w:w="1418" w:type="dxa"/>
          </w:tcPr>
          <w:p w:rsidR="00085B04" w:rsidRDefault="00085B04">
            <w:pPr>
              <w:spacing w:before="0" w:line="240" w:lineRule="auto"/>
              <w:ind w:right="397"/>
              <w:jc w:val="right"/>
            </w:pPr>
            <w:r>
              <w:t>1,0</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Polen (1)**</w:t>
            </w:r>
          </w:p>
        </w:tc>
        <w:tc>
          <w:tcPr>
            <w:tcW w:w="1417" w:type="dxa"/>
          </w:tcPr>
          <w:p w:rsidR="00085B04" w:rsidRDefault="00085B04">
            <w:pPr>
              <w:spacing w:before="0" w:line="240" w:lineRule="auto"/>
              <w:ind w:right="340"/>
              <w:jc w:val="right"/>
            </w:pPr>
            <w:r>
              <w:t xml:space="preserve"> 12652</w:t>
            </w:r>
          </w:p>
        </w:tc>
        <w:tc>
          <w:tcPr>
            <w:tcW w:w="1418" w:type="dxa"/>
          </w:tcPr>
          <w:p w:rsidR="00085B04" w:rsidRDefault="00085B04">
            <w:pPr>
              <w:spacing w:before="0" w:line="240" w:lineRule="auto"/>
              <w:ind w:right="397"/>
              <w:jc w:val="right"/>
            </w:pPr>
            <w:r>
              <w:t>0,7</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Portugal</w:t>
            </w:r>
          </w:p>
        </w:tc>
        <w:tc>
          <w:tcPr>
            <w:tcW w:w="1417" w:type="dxa"/>
          </w:tcPr>
          <w:p w:rsidR="00085B04" w:rsidRDefault="00085B04">
            <w:pPr>
              <w:spacing w:before="0" w:line="240" w:lineRule="auto"/>
              <w:ind w:right="340"/>
              <w:jc w:val="right"/>
            </w:pPr>
            <w:r>
              <w:t xml:space="preserve"> 10801</w:t>
            </w:r>
          </w:p>
        </w:tc>
        <w:tc>
          <w:tcPr>
            <w:tcW w:w="1418" w:type="dxa"/>
          </w:tcPr>
          <w:p w:rsidR="00085B04" w:rsidRDefault="00085B04">
            <w:pPr>
              <w:spacing w:before="0" w:line="240" w:lineRule="auto"/>
              <w:ind w:right="397"/>
              <w:jc w:val="right"/>
            </w:pPr>
            <w:r>
              <w:t>0,6</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Turkiet*</w:t>
            </w:r>
          </w:p>
        </w:tc>
        <w:tc>
          <w:tcPr>
            <w:tcW w:w="1417" w:type="dxa"/>
          </w:tcPr>
          <w:p w:rsidR="00085B04" w:rsidRDefault="00085B04">
            <w:pPr>
              <w:spacing w:before="0" w:line="240" w:lineRule="auto"/>
              <w:ind w:right="340"/>
              <w:jc w:val="right"/>
            </w:pPr>
            <w:r>
              <w:rPr>
                <w:i/>
              </w:rPr>
              <w:t xml:space="preserve"> </w:t>
            </w:r>
            <w:r>
              <w:t>8027</w:t>
            </w:r>
          </w:p>
        </w:tc>
        <w:tc>
          <w:tcPr>
            <w:tcW w:w="1418" w:type="dxa"/>
          </w:tcPr>
          <w:p w:rsidR="00085B04" w:rsidRDefault="00085B04">
            <w:pPr>
              <w:spacing w:before="0" w:line="240" w:lineRule="auto"/>
              <w:ind w:right="397"/>
              <w:jc w:val="right"/>
            </w:pPr>
            <w:r>
              <w:t>0,4</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Ungern**</w:t>
            </w:r>
          </w:p>
        </w:tc>
        <w:tc>
          <w:tcPr>
            <w:tcW w:w="1417" w:type="dxa"/>
          </w:tcPr>
          <w:p w:rsidR="00085B04" w:rsidRDefault="00085B04">
            <w:pPr>
              <w:spacing w:before="0" w:line="240" w:lineRule="auto"/>
              <w:ind w:right="340"/>
              <w:jc w:val="right"/>
            </w:pPr>
            <w:r>
              <w:t xml:space="preserve">  6795</w:t>
            </w:r>
          </w:p>
        </w:tc>
        <w:tc>
          <w:tcPr>
            <w:tcW w:w="1418" w:type="dxa"/>
          </w:tcPr>
          <w:p w:rsidR="00085B04" w:rsidRDefault="00085B04">
            <w:pPr>
              <w:spacing w:before="0" w:line="240" w:lineRule="auto"/>
              <w:ind w:right="397"/>
              <w:jc w:val="right"/>
            </w:pPr>
            <w:r>
              <w:t>0,4</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Nya Zeeland</w:t>
            </w:r>
          </w:p>
        </w:tc>
        <w:tc>
          <w:tcPr>
            <w:tcW w:w="1417" w:type="dxa"/>
          </w:tcPr>
          <w:p w:rsidR="00085B04" w:rsidRDefault="00085B04">
            <w:pPr>
              <w:spacing w:before="0" w:line="240" w:lineRule="auto"/>
              <w:ind w:right="340"/>
              <w:jc w:val="right"/>
            </w:pPr>
            <w:r>
              <w:t xml:space="preserve">  6663</w:t>
            </w:r>
          </w:p>
        </w:tc>
        <w:tc>
          <w:tcPr>
            <w:tcW w:w="1418" w:type="dxa"/>
          </w:tcPr>
          <w:p w:rsidR="00085B04" w:rsidRDefault="00085B04">
            <w:pPr>
              <w:spacing w:before="0" w:line="240" w:lineRule="auto"/>
              <w:ind w:right="397"/>
              <w:jc w:val="right"/>
            </w:pPr>
            <w:r>
              <w:t>0,4</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Tjeckiska republ</w:t>
            </w:r>
            <w:r>
              <w:t>i</w:t>
            </w:r>
            <w:r>
              <w:t>ken***</w:t>
            </w:r>
          </w:p>
        </w:tc>
        <w:tc>
          <w:tcPr>
            <w:tcW w:w="1417" w:type="dxa"/>
          </w:tcPr>
          <w:p w:rsidR="00085B04" w:rsidRDefault="00085B04">
            <w:pPr>
              <w:spacing w:before="0" w:line="240" w:lineRule="auto"/>
              <w:ind w:right="340"/>
              <w:jc w:val="right"/>
            </w:pPr>
            <w:r>
              <w:t xml:space="preserve">  6263</w:t>
            </w:r>
          </w:p>
        </w:tc>
        <w:tc>
          <w:tcPr>
            <w:tcW w:w="1418" w:type="dxa"/>
          </w:tcPr>
          <w:p w:rsidR="00085B04" w:rsidRDefault="00085B04">
            <w:pPr>
              <w:spacing w:before="0" w:line="240" w:lineRule="auto"/>
              <w:ind w:right="397"/>
              <w:jc w:val="right"/>
            </w:pPr>
            <w:r>
              <w:t>0,3</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Grekland*</w:t>
            </w:r>
          </w:p>
        </w:tc>
        <w:tc>
          <w:tcPr>
            <w:tcW w:w="1417" w:type="dxa"/>
          </w:tcPr>
          <w:p w:rsidR="00085B04" w:rsidRDefault="00085B04">
            <w:pPr>
              <w:spacing w:before="0" w:line="240" w:lineRule="auto"/>
              <w:ind w:right="340"/>
              <w:jc w:val="right"/>
            </w:pPr>
            <w:r>
              <w:t xml:space="preserve">  4606</w:t>
            </w:r>
          </w:p>
        </w:tc>
        <w:tc>
          <w:tcPr>
            <w:tcW w:w="1418" w:type="dxa"/>
          </w:tcPr>
          <w:p w:rsidR="00085B04" w:rsidRDefault="00085B04">
            <w:pPr>
              <w:spacing w:before="0" w:line="240" w:lineRule="auto"/>
              <w:ind w:right="397"/>
              <w:jc w:val="right"/>
            </w:pPr>
            <w:r>
              <w:t>0,3</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pPr>
            <w:r>
              <w:t>Island</w:t>
            </w:r>
          </w:p>
        </w:tc>
        <w:tc>
          <w:tcPr>
            <w:tcW w:w="1417" w:type="dxa"/>
          </w:tcPr>
          <w:p w:rsidR="00085B04" w:rsidRDefault="00085B04">
            <w:pPr>
              <w:spacing w:before="0" w:line="240" w:lineRule="auto"/>
              <w:ind w:right="340"/>
              <w:jc w:val="right"/>
            </w:pPr>
            <w:r>
              <w:t xml:space="preserve">   949</w:t>
            </w:r>
          </w:p>
        </w:tc>
        <w:tc>
          <w:tcPr>
            <w:tcW w:w="1418" w:type="dxa"/>
          </w:tcPr>
          <w:p w:rsidR="00085B04" w:rsidRDefault="00085B04">
            <w:pPr>
              <w:spacing w:before="0" w:line="240" w:lineRule="auto"/>
              <w:ind w:right="397"/>
              <w:jc w:val="right"/>
            </w:pPr>
            <w:r>
              <w:t>0,1</w:t>
            </w:r>
          </w:p>
        </w:tc>
        <w:tc>
          <w:tcPr>
            <w:tcW w:w="1842" w:type="dxa"/>
          </w:tcPr>
          <w:p w:rsidR="00085B04" w:rsidRDefault="00085B04">
            <w:pPr>
              <w:spacing w:before="0" w:line="240" w:lineRule="auto"/>
              <w:ind w:right="737"/>
              <w:jc w:val="right"/>
            </w:pPr>
          </w:p>
        </w:tc>
      </w:tr>
      <w:tr w:rsidR="00000000">
        <w:tblPrEx>
          <w:tblCellMar>
            <w:top w:w="0" w:type="dxa"/>
            <w:bottom w:w="0" w:type="dxa"/>
          </w:tblCellMar>
        </w:tblPrEx>
        <w:tc>
          <w:tcPr>
            <w:tcW w:w="2198" w:type="dxa"/>
          </w:tcPr>
          <w:p w:rsidR="00085B04" w:rsidRDefault="00085B04">
            <w:pPr>
              <w:spacing w:before="0"/>
              <w:rPr>
                <w:b/>
              </w:rPr>
            </w:pPr>
            <w:r>
              <w:rPr>
                <w:b/>
              </w:rPr>
              <w:t>Totalt OECD</w:t>
            </w:r>
          </w:p>
        </w:tc>
        <w:tc>
          <w:tcPr>
            <w:tcW w:w="1417" w:type="dxa"/>
          </w:tcPr>
          <w:p w:rsidR="00085B04" w:rsidRDefault="00085B04">
            <w:pPr>
              <w:spacing w:before="0" w:line="240" w:lineRule="auto"/>
              <w:ind w:right="340"/>
              <w:jc w:val="right"/>
              <w:rPr>
                <w:b/>
              </w:rPr>
            </w:pPr>
            <w:r>
              <w:rPr>
                <w:b/>
              </w:rPr>
              <w:t>1801661</w:t>
            </w:r>
          </w:p>
        </w:tc>
        <w:tc>
          <w:tcPr>
            <w:tcW w:w="1418" w:type="dxa"/>
          </w:tcPr>
          <w:p w:rsidR="00085B04" w:rsidRDefault="00085B04">
            <w:pPr>
              <w:spacing w:before="0" w:line="240" w:lineRule="auto"/>
              <w:ind w:right="397"/>
              <w:jc w:val="right"/>
              <w:rPr>
                <w:b/>
              </w:rPr>
            </w:pPr>
            <w:r>
              <w:rPr>
                <w:b/>
              </w:rPr>
              <w:t>100%</w:t>
            </w:r>
          </w:p>
        </w:tc>
        <w:tc>
          <w:tcPr>
            <w:tcW w:w="1842" w:type="dxa"/>
          </w:tcPr>
          <w:p w:rsidR="00085B04" w:rsidRDefault="00085B04">
            <w:pPr>
              <w:spacing w:before="0" w:line="240" w:lineRule="auto"/>
              <w:ind w:right="737"/>
              <w:jc w:val="right"/>
            </w:pPr>
          </w:p>
        </w:tc>
      </w:tr>
    </w:tbl>
    <w:p w:rsidR="00085B04" w:rsidRDefault="00085B04">
      <w:pPr>
        <w:spacing w:before="0"/>
      </w:pPr>
    </w:p>
    <w:p w:rsidR="00085B04" w:rsidRDefault="00085B04">
      <w:pPr>
        <w:spacing w:before="0"/>
      </w:pPr>
      <w:r>
        <w:t>Anm. * 1990-1995; ** 1991-1996; *** 1993-1996.</w:t>
      </w:r>
    </w:p>
    <w:p w:rsidR="00085B04" w:rsidRDefault="00085B04">
      <w:pPr>
        <w:spacing w:before="0"/>
      </w:pPr>
      <w:r>
        <w:t>Källa: OECD, (1) IMF.</w:t>
      </w:r>
    </w:p>
    <w:p w:rsidR="00085B04" w:rsidRDefault="00085B04">
      <w:r>
        <w:t>Beträffande Belgien-Luxemburg: handelsstatistiken för Belgien och Luxe</w:t>
      </w:r>
      <w:r>
        <w:t>m</w:t>
      </w:r>
      <w:r>
        <w:t>burg är endast tillgänglig för de två länderna sammanslaget. Avseende artikel 15.1 i konventionen gäller att, om endera Belgien eller Luxemburg deponerar sitt godtagande-, godkännande- eller rati</w:t>
      </w:r>
      <w:r>
        <w:softHyphen/>
        <w:t>fikationsinstrument eller om både Belgien och Luxemburg deponerar sina godtagande-, godkännande eller ratifikationsinstrument, så skall det anses att ett av de länder som tillhör de tio största exportländerna har deponerat sitt instrument och de båda ländernas sammanlagda export skall räknas såsom utgörande en del</w:t>
      </w:r>
      <w:r>
        <w:t xml:space="preserve"> av de 60 procent av den gemen</w:t>
      </w:r>
      <w:r>
        <w:softHyphen/>
        <w:t>samma totala exporten för de tio länder som fordras för ikraf</w:t>
      </w:r>
      <w:r>
        <w:t>t</w:t>
      </w:r>
      <w:r>
        <w:t>trädande enligt denna b</w:t>
      </w:r>
      <w:r>
        <w:t>e</w:t>
      </w:r>
      <w:r>
        <w:t>stämmelse.</w:t>
      </w:r>
    </w:p>
    <w:p w:rsidR="00085B04" w:rsidRDefault="00085B04">
      <w:pPr>
        <w:pStyle w:val="Rubrik1"/>
        <w:sectPr w:rsidR="00000000">
          <w:headerReference w:type="default" r:id="rId20"/>
          <w:footerReference w:type="default" r:id="rId21"/>
          <w:pgSz w:w="11906" w:h="16838" w:code="9"/>
          <w:pgMar w:top="567" w:right="4876" w:bottom="4508" w:left="1134" w:header="227" w:footer="227" w:gutter="0"/>
          <w:cols w:space="720"/>
        </w:sectPr>
      </w:pPr>
      <w:bookmarkStart w:id="350" w:name="_Toc438865956"/>
    </w:p>
    <w:p w:rsidR="00085B04" w:rsidRDefault="00085B04">
      <w:pPr>
        <w:pStyle w:val="Rubrik1"/>
        <w:spacing w:before="0"/>
      </w:pPr>
      <w:bookmarkStart w:id="351" w:name="_Toc446307589"/>
      <w:r>
        <w:t>Domstolsprotokollet</w:t>
      </w:r>
      <w:bookmarkEnd w:id="350"/>
      <w:bookmarkEnd w:id="351"/>
    </w:p>
    <w:p w:rsidR="00085B04" w:rsidRDefault="00085B04">
      <w:pPr>
        <w:pStyle w:val="Rubrik4"/>
        <w:spacing w:before="123"/>
        <w:jc w:val="center"/>
      </w:pPr>
      <w:bookmarkStart w:id="352" w:name="_Toc445710361"/>
      <w:bookmarkStart w:id="353" w:name="_Toc446307590"/>
      <w:r>
        <w:t>(Rättsakter som antagits med tillämpning av avdelning VI i Fördraget om Europeiska unionen)</w:t>
      </w:r>
      <w:bookmarkEnd w:id="352"/>
      <w:bookmarkEnd w:id="353"/>
    </w:p>
    <w:p w:rsidR="00085B04" w:rsidRDefault="00085B04">
      <w:pPr>
        <w:pStyle w:val="Rubrik2"/>
        <w:jc w:val="center"/>
        <w:rPr>
          <w:b/>
          <w:sz w:val="19"/>
        </w:rPr>
      </w:pPr>
      <w:bookmarkStart w:id="354" w:name="_Toc445710362"/>
      <w:bookmarkStart w:id="355" w:name="_Toc446307591"/>
      <w:r>
        <w:rPr>
          <w:b/>
          <w:sz w:val="19"/>
        </w:rPr>
        <w:t>RÅDETS AKT</w:t>
      </w:r>
      <w:bookmarkEnd w:id="354"/>
      <w:bookmarkEnd w:id="355"/>
    </w:p>
    <w:p w:rsidR="00085B04" w:rsidRDefault="00085B04">
      <w:pPr>
        <w:pStyle w:val="Rubrik3"/>
        <w:spacing w:before="123"/>
        <w:jc w:val="center"/>
      </w:pPr>
      <w:bookmarkStart w:id="356" w:name="_Toc445710363"/>
      <w:bookmarkStart w:id="357" w:name="_Toc446307592"/>
      <w:r>
        <w:t>av den 29 november 1996</w:t>
      </w:r>
      <w:bookmarkEnd w:id="356"/>
      <w:bookmarkEnd w:id="357"/>
    </w:p>
    <w:p w:rsidR="00085B04" w:rsidRDefault="00085B04">
      <w:pPr>
        <w:pStyle w:val="Rubrik3"/>
        <w:spacing w:before="123"/>
        <w:jc w:val="center"/>
      </w:pPr>
      <w:bookmarkStart w:id="358" w:name="_Toc445710364"/>
      <w:bookmarkStart w:id="359" w:name="_Toc446307593"/>
      <w:r>
        <w:t xml:space="preserve">om upprättande på grundval av artikel K 3 i Fördraget om </w:t>
      </w:r>
      <w:r>
        <w:br/>
        <w:t>Europeiska unionen av protokollet om förhandsavgörande av Europeiska gemenskapernas domstol angående tolkningen av konventionen om skydd av Europeiska gemenskapernas finansiella intressen</w:t>
      </w:r>
      <w:bookmarkEnd w:id="358"/>
      <w:bookmarkEnd w:id="359"/>
    </w:p>
    <w:p w:rsidR="00085B04" w:rsidRDefault="00085B04">
      <w:pPr>
        <w:pStyle w:val="Rubrik2"/>
        <w:jc w:val="center"/>
        <w:rPr>
          <w:sz w:val="19"/>
        </w:rPr>
      </w:pPr>
      <w:bookmarkStart w:id="360" w:name="_Toc445710365"/>
      <w:bookmarkStart w:id="361" w:name="_Toc446307594"/>
      <w:r>
        <w:rPr>
          <w:sz w:val="19"/>
        </w:rPr>
        <w:t>(97/C 151/01)</w:t>
      </w:r>
      <w:bookmarkEnd w:id="360"/>
      <w:bookmarkEnd w:id="361"/>
    </w:p>
    <w:p w:rsidR="00085B04" w:rsidRDefault="00085B04">
      <w:pPr>
        <w:pStyle w:val="Rubrik2"/>
        <w:rPr>
          <w:sz w:val="19"/>
        </w:rPr>
      </w:pPr>
      <w:bookmarkStart w:id="362" w:name="_Toc445710366"/>
      <w:bookmarkStart w:id="363" w:name="_Toc446307595"/>
      <w:r>
        <w:rPr>
          <w:sz w:val="19"/>
        </w:rPr>
        <w:t>EUROPEISKA UNIONENS RÅD UTFÄRDAR DENNA AKT</w:t>
      </w:r>
      <w:bookmarkEnd w:id="362"/>
      <w:bookmarkEnd w:id="363"/>
    </w:p>
    <w:p w:rsidR="00085B04" w:rsidRDefault="00085B04">
      <w:r>
        <w:t>med beaktande av Fördraget om Europeiska unionen, särskilt artikel K 3.2 c i de</w:t>
      </w:r>
      <w:r>
        <w:t>t</w:t>
      </w:r>
      <w:r>
        <w:t xml:space="preserve">ta, och </w:t>
      </w:r>
    </w:p>
    <w:p w:rsidR="00085B04" w:rsidRDefault="00085B04">
      <w:r>
        <w:t>med beaktande av följande:</w:t>
      </w:r>
    </w:p>
    <w:p w:rsidR="00085B04" w:rsidRDefault="00085B04">
      <w:r>
        <w:t>Enligt artikel K 3.2 c kan i konventioner som utarbetas på grundval av artikel K 3 i Fördraget om Europeiska unionen föreskrivas att domstolen skall vara behörig att tolka konventionsbestämmelserna och avgöra alla tvister om deras ti</w:t>
      </w:r>
      <w:r>
        <w:t>l</w:t>
      </w:r>
      <w:r>
        <w:t>lämpning.</w:t>
      </w:r>
    </w:p>
    <w:p w:rsidR="00085B04" w:rsidRDefault="00085B04">
      <w:pPr>
        <w:pStyle w:val="Rubrik2"/>
      </w:pPr>
      <w:bookmarkStart w:id="364" w:name="_Toc445710367"/>
      <w:bookmarkStart w:id="365" w:name="_Toc446307596"/>
      <w:r>
        <w:rPr>
          <w:sz w:val="19"/>
        </w:rPr>
        <w:t>RÅDET</w:t>
      </w:r>
      <w:bookmarkEnd w:id="364"/>
      <w:bookmarkEnd w:id="365"/>
      <w:r>
        <w:t xml:space="preserve"> </w:t>
      </w:r>
    </w:p>
    <w:p w:rsidR="00085B04" w:rsidRDefault="00085B04">
      <w:r>
        <w:t>BESLUTAR att upprätta det protokoll till vilket texten återfinns i bilagan och som denna dag har undertecknats av företrädare för regeringarna i Eur</w:t>
      </w:r>
      <w:r>
        <w:t>o</w:t>
      </w:r>
      <w:r>
        <w:t>peiska unionens me</w:t>
      </w:r>
      <w:r>
        <w:t>d</w:t>
      </w:r>
      <w:r>
        <w:t>lemsstater.</w:t>
      </w:r>
    </w:p>
    <w:p w:rsidR="00085B04" w:rsidRDefault="00085B04">
      <w:pPr>
        <w:pStyle w:val="Rubrik2"/>
      </w:pPr>
      <w:bookmarkStart w:id="366" w:name="_Toc445710368"/>
      <w:bookmarkStart w:id="367" w:name="_Toc446307597"/>
      <w:r>
        <w:rPr>
          <w:sz w:val="19"/>
        </w:rPr>
        <w:t>RÅDET</w:t>
      </w:r>
      <w:bookmarkEnd w:id="366"/>
      <w:bookmarkEnd w:id="367"/>
      <w:r>
        <w:t xml:space="preserve"> </w:t>
      </w:r>
    </w:p>
    <w:p w:rsidR="00085B04" w:rsidRDefault="00085B04">
      <w:r>
        <w:t>REKOMMENDERAR att protokollet antas av medlemsstaterna i enlighet med deras respektive konstitutionella bestämmelser.</w:t>
      </w:r>
    </w:p>
    <w:p w:rsidR="00085B04" w:rsidRDefault="00085B04">
      <w:r>
        <w:t>Utfärdad i Bryssel den 29 november 1996</w:t>
      </w:r>
    </w:p>
    <w:p w:rsidR="00085B04" w:rsidRDefault="00085B04"/>
    <w:p w:rsidR="00085B04" w:rsidRDefault="00085B04">
      <w:pPr>
        <w:rPr>
          <w:i/>
        </w:rPr>
      </w:pPr>
      <w:r>
        <w:tab/>
      </w:r>
      <w:r>
        <w:tab/>
      </w:r>
      <w:r>
        <w:tab/>
      </w:r>
      <w:r>
        <w:rPr>
          <w:i/>
        </w:rPr>
        <w:t xml:space="preserve">På rådets vägnar </w:t>
      </w:r>
    </w:p>
    <w:p w:rsidR="00085B04" w:rsidRDefault="00085B04">
      <w:r>
        <w:tab/>
      </w:r>
      <w:r>
        <w:tab/>
      </w:r>
      <w:r>
        <w:tab/>
        <w:t>N. OWEN</w:t>
      </w:r>
    </w:p>
    <w:p w:rsidR="00085B04" w:rsidRDefault="00085B04">
      <w:pPr>
        <w:rPr>
          <w:i/>
        </w:rPr>
      </w:pPr>
      <w:r>
        <w:tab/>
      </w:r>
      <w:r>
        <w:tab/>
      </w:r>
      <w:r>
        <w:tab/>
      </w:r>
      <w:r>
        <w:rPr>
          <w:i/>
        </w:rPr>
        <w:t>Ordförande</w:t>
      </w:r>
    </w:p>
    <w:p w:rsidR="00085B04" w:rsidRDefault="00085B04">
      <w:pPr>
        <w:pStyle w:val="Rubrik2"/>
        <w:jc w:val="center"/>
        <w:rPr>
          <w:b/>
        </w:rPr>
      </w:pPr>
      <w:bookmarkStart w:id="368" w:name="_Toc445710369"/>
      <w:bookmarkStart w:id="369" w:name="_Toc446307598"/>
      <w:r>
        <w:rPr>
          <w:b/>
          <w:sz w:val="19"/>
        </w:rPr>
        <w:t>PROTOKOLL</w:t>
      </w:r>
      <w:bookmarkEnd w:id="368"/>
      <w:bookmarkEnd w:id="369"/>
    </w:p>
    <w:p w:rsidR="00085B04" w:rsidRDefault="00085B04">
      <w:pPr>
        <w:pStyle w:val="Rubrik3"/>
        <w:spacing w:before="123"/>
        <w:jc w:val="center"/>
      </w:pPr>
      <w:bookmarkStart w:id="370" w:name="_Toc445710370"/>
      <w:bookmarkStart w:id="371" w:name="_Toc446307599"/>
      <w:r>
        <w:t xml:space="preserve">upprättat på grundval av artikel K 3 i Fördraget om Europeiska unionen om förhandsavgörande av Europeiska gemenskapernas </w:t>
      </w:r>
      <w:r>
        <w:br/>
        <w:t>domstol angående tolkningen av konventionen om skydd av</w:t>
      </w:r>
      <w:r>
        <w:br/>
        <w:t>Europeiska gemenskapernas finansiella intressen</w:t>
      </w:r>
      <w:bookmarkEnd w:id="370"/>
      <w:bookmarkEnd w:id="371"/>
    </w:p>
    <w:p w:rsidR="00085B04" w:rsidRDefault="00085B04">
      <w:r>
        <w:t>DE HÖGA FÖRDRAGSSLUTANDE PARTERNA,</w:t>
      </w:r>
    </w:p>
    <w:p w:rsidR="00085B04" w:rsidRDefault="00085B04">
      <w:r>
        <w:t>HAR ENATS om följande bestämmelser som skall fogas till konventionen.</w:t>
      </w:r>
    </w:p>
    <w:p w:rsidR="00085B04" w:rsidRDefault="00085B04">
      <w:pPr>
        <w:pStyle w:val="Rubrik4"/>
        <w:jc w:val="center"/>
      </w:pPr>
      <w:bookmarkStart w:id="372" w:name="_Toc445710371"/>
      <w:bookmarkStart w:id="373" w:name="_Toc446307600"/>
      <w:r>
        <w:t>Artikel 1</w:t>
      </w:r>
      <w:bookmarkEnd w:id="372"/>
      <w:bookmarkEnd w:id="373"/>
    </w:p>
    <w:p w:rsidR="00085B04" w:rsidRDefault="00085B04">
      <w:r>
        <w:t>Europeiska gemenskapernas domstol skall vara behörig att på de villkor som fastställs i detta protokoll meddela förhandsavgöranden om tolkningen av konventionen om skydd av Europeiska gemenskapernas finansiella intressen och protokollet av den 27 september 1996 (</w:t>
      </w:r>
      <w:r>
        <w:rPr>
          <w:rStyle w:val="Fotnotsreferens"/>
        </w:rPr>
        <w:footnoteReference w:customMarkFollows="1" w:id="14"/>
        <w:t>1</w:t>
      </w:r>
      <w:r>
        <w:t>), nedan kallat "det första prot</w:t>
      </w:r>
      <w:r>
        <w:t>o</w:t>
      </w:r>
      <w:r>
        <w:t>kollet".</w:t>
      </w:r>
    </w:p>
    <w:p w:rsidR="00085B04" w:rsidRDefault="00085B04">
      <w:pPr>
        <w:pStyle w:val="Rubrik4"/>
        <w:jc w:val="center"/>
      </w:pPr>
      <w:bookmarkStart w:id="374" w:name="_Toc445710372"/>
      <w:bookmarkStart w:id="375" w:name="_Toc446307601"/>
      <w:r>
        <w:t>Artikel 2</w:t>
      </w:r>
      <w:bookmarkEnd w:id="374"/>
      <w:bookmarkEnd w:id="375"/>
    </w:p>
    <w:p w:rsidR="00085B04" w:rsidRDefault="00085B04">
      <w:r>
        <w:t>1. Varje medlemsstat kan, genom en förklaring som avges vid underteckna</w:t>
      </w:r>
      <w:r>
        <w:t>n</w:t>
      </w:r>
      <w:r>
        <w:t>det av detta protokoll eller vid varje annat tillfälle efter undertecknandet, godkänna Europeiska gemenskapernas domstols behörighet att meddela förhandsavgöranden om tolkningen av konventionen om skydd av Europei</w:t>
      </w:r>
      <w:r>
        <w:t>s</w:t>
      </w:r>
      <w:r>
        <w:t>ka gemenskapernas finansiella intressen och det första protokollet till den konventionen på de villkor som anges i punkt 2 a) eller punkt 2 b).</w:t>
      </w:r>
    </w:p>
    <w:p w:rsidR="00085B04" w:rsidRDefault="00085B04">
      <w:r>
        <w:t>2. Varje medlemsstat som avger en förklaring enligt punkt 1 kan ange a</w:t>
      </w:r>
      <w:r>
        <w:t>n</w:t>
      </w:r>
      <w:r>
        <w:t>tingen att</w:t>
      </w:r>
    </w:p>
    <w:p w:rsidR="00085B04" w:rsidRDefault="00085B04">
      <w:r>
        <w:t>a) varje domstol i den staten, mot vars avgöranden det inte finns något rätt</w:t>
      </w:r>
      <w:r>
        <w:t>s</w:t>
      </w:r>
      <w:r>
        <w:t>medel enligt nationell lagstiftning, får begära att Europeiska gemenskapernas domstol meddelar ett förhandsavgörande i ett ärende som uppkommit vid denna domstol och som rör tolkningen av konventionen om skydd av Eur</w:t>
      </w:r>
      <w:r>
        <w:t>o</w:t>
      </w:r>
      <w:r>
        <w:t>peiska gemenskapernas finansiella intressen och det första protokollet till den konventionen, när domstolen anser att ett beslut i frågan är nödvändigt för att döma i s</w:t>
      </w:r>
      <w:r>
        <w:t>a</w:t>
      </w:r>
      <w:r>
        <w:t>ken, eller att</w:t>
      </w:r>
    </w:p>
    <w:p w:rsidR="00085B04" w:rsidRDefault="00085B04">
      <w:r>
        <w:t>b) varje domstol i den staten får begära att Europeiska gemenskapernas do</w:t>
      </w:r>
      <w:r>
        <w:t>m</w:t>
      </w:r>
      <w:r>
        <w:t>stol meddelar ett förhandsavgörande i ett ärende som uppkommit vid denna domstol och som rör tolkningen av konventionen om skydd av Europeiska gemenskapernas finansiella intressen och det första protokollet till den ko</w:t>
      </w:r>
      <w:r>
        <w:t>n</w:t>
      </w:r>
      <w:r>
        <w:t>ventionen, när domstolen anser att ett beslut i frågan är nödvändigt för att döma i saken.</w:t>
      </w:r>
    </w:p>
    <w:p w:rsidR="00085B04" w:rsidRDefault="00085B04">
      <w:pPr>
        <w:pStyle w:val="Rubrik4"/>
        <w:jc w:val="center"/>
      </w:pPr>
      <w:bookmarkStart w:id="376" w:name="_Toc445710373"/>
      <w:bookmarkStart w:id="377" w:name="_Toc446307602"/>
      <w:r>
        <w:t>Artikel 3</w:t>
      </w:r>
      <w:bookmarkEnd w:id="376"/>
      <w:bookmarkEnd w:id="377"/>
    </w:p>
    <w:p w:rsidR="00085B04" w:rsidRDefault="00085B04">
      <w:r>
        <w:t>1. Protokollet om Europeiska gemenskapernas domstols stadga och dess rättegångsregler skall tillämpas.</w:t>
      </w:r>
    </w:p>
    <w:p w:rsidR="00085B04" w:rsidRDefault="00085B04">
      <w:pPr>
        <w:rPr>
          <w:i/>
        </w:rPr>
      </w:pPr>
      <w:r>
        <w:t>2. I enlighet med Europeiska gemenskapens domstols stadga skall varje medlemsstat, oavsett om den har avgivit en förklaring enligt artikel 2, ha rätt att till Europeiska gemenskapens domstol inkomma med inlagor och skriftl</w:t>
      </w:r>
      <w:r>
        <w:t>i</w:t>
      </w:r>
      <w:r>
        <w:t>ga yttranden i ärenden som anhängiggjorts vid domstolen enligt artikel 1.</w:t>
      </w:r>
    </w:p>
    <w:p w:rsidR="00085B04" w:rsidRDefault="00085B04">
      <w:pPr>
        <w:pStyle w:val="Rubrik4"/>
        <w:jc w:val="center"/>
      </w:pPr>
      <w:bookmarkStart w:id="378" w:name="_Toc445710374"/>
      <w:bookmarkStart w:id="379" w:name="_Toc446307603"/>
      <w:r>
        <w:t>Artikel 4</w:t>
      </w:r>
      <w:bookmarkEnd w:id="378"/>
      <w:bookmarkEnd w:id="379"/>
    </w:p>
    <w:p w:rsidR="00085B04" w:rsidRDefault="00085B04">
      <w:r>
        <w:t>1. Detta protokoll skall antas av medlemsstaterna i enlighet med deras r</w:t>
      </w:r>
      <w:r>
        <w:t>e</w:t>
      </w:r>
      <w:r>
        <w:t>spektive ko</w:t>
      </w:r>
      <w:r>
        <w:t>n</w:t>
      </w:r>
      <w:r>
        <w:t>stitutionella bestämmelser.</w:t>
      </w:r>
    </w:p>
    <w:p w:rsidR="00085B04" w:rsidRDefault="00085B04">
      <w:r>
        <w:t>2. Medlemsstaterna skall underrätta depositarien när de förfaranden som deras konstitutionella bestämmelser föreskriver för antagande av detta prot</w:t>
      </w:r>
      <w:r>
        <w:t>o</w:t>
      </w:r>
      <w:r>
        <w:t>koll har genomförts liksom vilka förklaringar som har avgivits enligt artikel 2.</w:t>
      </w:r>
    </w:p>
    <w:p w:rsidR="00085B04" w:rsidRDefault="00085B04">
      <w:r>
        <w:t>3. Detta protokoll skall träda i kraft nittio</w:t>
      </w:r>
      <w:r>
        <w:rPr>
          <w:rStyle w:val="Fotnotsreferens"/>
        </w:rPr>
        <w:footnoteReference w:customMarkFollows="1" w:id="15"/>
        <w:t>*</w:t>
      </w:r>
      <w:r>
        <w:t xml:space="preserve"> dagar efter den underrättelse som avses i punkt 2 från den stat, som är medlem i Europeiska unionen när rådet antar den akt som upprättar detta protokoll och som sist genomför denna formalitet. Protokollet skall emellertid träda i kraft tidigast samtidigt som konventionen om skydd av Europeiska gemenskapernas finansiella intressen.</w:t>
      </w:r>
    </w:p>
    <w:p w:rsidR="00085B04" w:rsidRDefault="00085B04">
      <w:pPr>
        <w:pStyle w:val="Rubrik4"/>
        <w:jc w:val="center"/>
      </w:pPr>
      <w:bookmarkStart w:id="380" w:name="_Toc445710375"/>
      <w:bookmarkStart w:id="381" w:name="_Toc446307604"/>
      <w:r>
        <w:t>Artikel 5</w:t>
      </w:r>
      <w:bookmarkEnd w:id="380"/>
      <w:bookmarkEnd w:id="381"/>
    </w:p>
    <w:p w:rsidR="00085B04" w:rsidRDefault="00085B04">
      <w:r>
        <w:t>1. Detta protokoll skall stå öppet för anslutning för varje stat som blir me</w:t>
      </w:r>
      <w:r>
        <w:t>d</w:t>
      </w:r>
      <w:r>
        <w:t>lem i E</w:t>
      </w:r>
      <w:r>
        <w:t>u</w:t>
      </w:r>
      <w:r>
        <w:t>ropeiska unionen.</w:t>
      </w:r>
    </w:p>
    <w:p w:rsidR="00085B04" w:rsidRDefault="00085B04">
      <w:r>
        <w:t>2. Anslutningsinstrumenten skall deponeras hos deposit</w:t>
      </w:r>
      <w:r>
        <w:t>a</w:t>
      </w:r>
      <w:r>
        <w:t>rien.</w:t>
      </w:r>
    </w:p>
    <w:p w:rsidR="00085B04" w:rsidRDefault="00085B04">
      <w:r>
        <w:t>3. Den av Europeiska unionens råd på den anslutande medlemsstatens språk fas</w:t>
      </w:r>
      <w:r>
        <w:t>t</w:t>
      </w:r>
      <w:r>
        <w:t>ställda texten till detta protokoll skall vara giltig.</w:t>
      </w:r>
    </w:p>
    <w:p w:rsidR="00085B04" w:rsidRDefault="00085B04">
      <w:r>
        <w:t>4. I förhållande till en medlemsstat som ansluter sig till detta protokoll, träder detta i kraft nittio</w:t>
      </w:r>
      <w:r>
        <w:rPr>
          <w:rStyle w:val="Fotnotsreferens"/>
        </w:rPr>
        <w:footnoteReference w:customMarkFollows="1" w:id="16"/>
        <w:t>*</w:t>
      </w:r>
      <w:r>
        <w:t xml:space="preserve"> dagar efter dagen för deponeringen av dess anslutningsi</w:t>
      </w:r>
      <w:r>
        <w:t>n</w:t>
      </w:r>
      <w:r>
        <w:t>strument, eller på dagen för ikraftträdandet av detta protokoll, om detta ännu inte hunnit träda i kraft vid utgången av nämnda period om nittio</w:t>
      </w:r>
      <w:r>
        <w:rPr>
          <w:rStyle w:val="Fotnotsreferens"/>
        </w:rPr>
        <w:footnoteReference w:customMarkFollows="1" w:id="17"/>
        <w:t>*</w:t>
      </w:r>
      <w:r>
        <w:t xml:space="preserve"> d</w:t>
      </w:r>
      <w:r>
        <w:t>a</w:t>
      </w:r>
      <w:r>
        <w:t>gar.</w:t>
      </w:r>
    </w:p>
    <w:p w:rsidR="00085B04" w:rsidRDefault="00085B04">
      <w:pPr>
        <w:pStyle w:val="Rubrik4"/>
        <w:jc w:val="center"/>
      </w:pPr>
      <w:bookmarkStart w:id="382" w:name="_Toc445710376"/>
      <w:bookmarkStart w:id="383" w:name="_Toc446307605"/>
      <w:r>
        <w:t>Artikel 6</w:t>
      </w:r>
      <w:bookmarkEnd w:id="382"/>
      <w:bookmarkEnd w:id="383"/>
    </w:p>
    <w:p w:rsidR="00085B04" w:rsidRDefault="00085B04">
      <w:r>
        <w:t>Varje stat som blir medlem i Europeiska unionen och som ansluter sig till konventionen om skydd av Europeiska gemenskapernas finansiella intressen i enlighet med artikel 12 måste godkänna bestämmelserna i detta protokoll.</w:t>
      </w:r>
    </w:p>
    <w:p w:rsidR="00085B04" w:rsidRDefault="00085B04">
      <w:pPr>
        <w:pStyle w:val="Rubrik4"/>
        <w:jc w:val="center"/>
      </w:pPr>
      <w:bookmarkStart w:id="384" w:name="_Toc445710377"/>
      <w:bookmarkStart w:id="385" w:name="_Toc446307606"/>
      <w:r>
        <w:t>Artikel 7</w:t>
      </w:r>
      <w:bookmarkEnd w:id="384"/>
      <w:bookmarkEnd w:id="385"/>
    </w:p>
    <w:p w:rsidR="00085B04" w:rsidRDefault="00085B04">
      <w:r>
        <w:t>1. Varje medlemsstat som är fördragsslutande part får föreslå ändringar av detta protokoll. Varje förslag till ändring skall överlämnas till depositarien, som skall u</w:t>
      </w:r>
      <w:r>
        <w:t>n</w:t>
      </w:r>
      <w:r>
        <w:t>derrätta rådet om detta.</w:t>
      </w:r>
    </w:p>
    <w:p w:rsidR="00085B04" w:rsidRDefault="00085B04">
      <w:r>
        <w:t>2. Ändringar skall beslutas av rådet som skall rekommendera att medlem</w:t>
      </w:r>
      <w:r>
        <w:t>s</w:t>
      </w:r>
      <w:r>
        <w:t>staterna antar dem i enlighet med sina respektive konstitutionella bestämme</w:t>
      </w:r>
      <w:r>
        <w:t>l</w:t>
      </w:r>
      <w:r>
        <w:t>ser.</w:t>
      </w:r>
    </w:p>
    <w:p w:rsidR="00085B04" w:rsidRDefault="00085B04">
      <w:r>
        <w:t>3. De på detta sätt beslutade ändringarna träder i kraft i enlighet med b</w:t>
      </w:r>
      <w:r>
        <w:t>e</w:t>
      </w:r>
      <w:r>
        <w:t>stämmelse</w:t>
      </w:r>
      <w:r>
        <w:t>r</w:t>
      </w:r>
      <w:r>
        <w:t>na i artikel 4.</w:t>
      </w:r>
    </w:p>
    <w:p w:rsidR="00085B04" w:rsidRDefault="00085B04">
      <w:pPr>
        <w:pStyle w:val="Rubrik4"/>
        <w:jc w:val="center"/>
      </w:pPr>
      <w:bookmarkStart w:id="386" w:name="_Toc445710378"/>
      <w:bookmarkStart w:id="387" w:name="_Toc446307607"/>
      <w:r>
        <w:t>Artikel 8</w:t>
      </w:r>
      <w:bookmarkEnd w:id="386"/>
      <w:bookmarkEnd w:id="387"/>
    </w:p>
    <w:p w:rsidR="00085B04" w:rsidRDefault="00085B04">
      <w:r>
        <w:t>1. Generalsekreteraren för Europeiska unionens råd skall vara depositarie för detta protokoll.</w:t>
      </w:r>
    </w:p>
    <w:p w:rsidR="00085B04" w:rsidRDefault="00085B04">
      <w:r>
        <w:t xml:space="preserve">2. Depositarien skall i </w:t>
      </w:r>
      <w:r>
        <w:rPr>
          <w:i/>
        </w:rPr>
        <w:t>Europeiska gemenskapernas officiella tidning</w:t>
      </w:r>
      <w:r>
        <w:t xml:space="preserve"> offen</w:t>
      </w:r>
      <w:r>
        <w:t>t</w:t>
      </w:r>
      <w:r>
        <w:t>liggöra underrättelser, instrument och meddelanden som rör detta protokoll.</w:t>
      </w:r>
    </w:p>
    <w:p w:rsidR="00085B04" w:rsidRDefault="00085B04">
      <w:pPr>
        <w:pStyle w:val="Rubrik2"/>
        <w:jc w:val="center"/>
        <w:rPr>
          <w:b/>
        </w:rPr>
      </w:pPr>
      <w:r>
        <w:br w:type="page"/>
      </w:r>
      <w:bookmarkStart w:id="388" w:name="_Toc445710379"/>
      <w:bookmarkStart w:id="389" w:name="_Toc446307608"/>
      <w:r>
        <w:rPr>
          <w:b/>
          <w:sz w:val="19"/>
        </w:rPr>
        <w:t>FÖRKLARING</w:t>
      </w:r>
      <w:bookmarkEnd w:id="388"/>
      <w:bookmarkEnd w:id="389"/>
    </w:p>
    <w:p w:rsidR="00085B04" w:rsidRDefault="00085B04">
      <w:pPr>
        <w:pStyle w:val="Rubrik3"/>
        <w:spacing w:before="123"/>
        <w:jc w:val="center"/>
      </w:pPr>
      <w:bookmarkStart w:id="390" w:name="_Toc445710380"/>
      <w:bookmarkStart w:id="391" w:name="_Toc446307609"/>
      <w:r>
        <w:t>om att samtidigt anta konventionen om skydd av Europeiska gemenskapernas finansiella intressen och protokollet om förhandsavgörande av Europeiska gemenskapernas domstol</w:t>
      </w:r>
      <w:r>
        <w:br/>
        <w:t>angående tolkningen av denna konvention</w:t>
      </w:r>
      <w:bookmarkEnd w:id="390"/>
      <w:bookmarkEnd w:id="391"/>
    </w:p>
    <w:p w:rsidR="00085B04" w:rsidRDefault="00085B04">
      <w:r>
        <w:t>Företrädarna för regeringarna i Europeiska unionens medlemsstater, för-samlade i rådet,</w:t>
      </w:r>
    </w:p>
    <w:p w:rsidR="00085B04" w:rsidRDefault="00085B04">
      <w:r>
        <w:t>vid undertecknandet av akten om upprättande av protokollet om förhandsa</w:t>
      </w:r>
      <w:r>
        <w:t>v</w:t>
      </w:r>
      <w:r>
        <w:t>görande av Europeiska gemenskapernas domstol angående tolkningen av konventionen om skydd av Europeiska gemenskapernas finansiella intre</w:t>
      </w:r>
      <w:r>
        <w:t>s</w:t>
      </w:r>
      <w:r>
        <w:t>sen,</w:t>
      </w:r>
    </w:p>
    <w:p w:rsidR="00085B04" w:rsidRDefault="00085B04">
      <w:r>
        <w:t>som önskar säkra en så effektiv och enhetlig tolkning som möjligt av nämnda konvention från och med dess ikraf</w:t>
      </w:r>
      <w:r>
        <w:t>t</w:t>
      </w:r>
      <w:r>
        <w:t>trädande,</w:t>
      </w:r>
    </w:p>
    <w:p w:rsidR="00085B04" w:rsidRDefault="00085B04">
      <w:r>
        <w:t>förklarar sig beredda att vidta lämpliga åtgärder för att de nationella förf</w:t>
      </w:r>
      <w:r>
        <w:t>a</w:t>
      </w:r>
      <w:r>
        <w:t>randena för att anta konventionen om skydd av Europeiska gemenskapernas finansiella intressen och av protokollet om dess tolkning skall kunna geno</w:t>
      </w:r>
      <w:r>
        <w:t>m</w:t>
      </w:r>
      <w:r>
        <w:t>föras samtidigt och så snart som möjligt.</w:t>
      </w:r>
    </w:p>
    <w:p w:rsidR="00085B04" w:rsidRDefault="00085B04">
      <w:pPr>
        <w:pStyle w:val="Normaltindrag"/>
      </w:pPr>
    </w:p>
    <w:p w:rsidR="00085B04" w:rsidRDefault="00085B04">
      <w:pPr>
        <w:pStyle w:val="Normaltindrag"/>
      </w:pPr>
    </w:p>
    <w:p w:rsidR="00085B04" w:rsidRDefault="00085B04">
      <w:pPr>
        <w:pStyle w:val="Normaltindrag"/>
        <w:sectPr w:rsidR="00000000">
          <w:headerReference w:type="default" r:id="rId22"/>
          <w:footerReference w:type="default" r:id="rId23"/>
          <w:pgSz w:w="11906" w:h="16838" w:code="9"/>
          <w:pgMar w:top="567" w:right="4876" w:bottom="4508" w:left="1134" w:header="227" w:footer="227" w:gutter="0"/>
          <w:cols w:space="720"/>
        </w:sectPr>
      </w:pPr>
    </w:p>
    <w:p w:rsidR="00085B04" w:rsidRDefault="00085B04">
      <w:pPr>
        <w:pStyle w:val="Innehll"/>
      </w:pPr>
      <w:r>
        <w:t>Innehållsförteckning</w:t>
      </w:r>
    </w:p>
    <w:p w:rsidR="00085B04" w:rsidRDefault="00085B04">
      <w:pPr>
        <w:pStyle w:val="Innehll1"/>
        <w:rPr>
          <w:noProof/>
        </w:rPr>
      </w:pPr>
      <w:r>
        <w:rPr>
          <w:noProof/>
        </w:rPr>
        <w:t>Sammanfattning</w:t>
      </w:r>
      <w:r>
        <w:rPr>
          <w:noProof/>
        </w:rPr>
        <w:tab/>
        <w:t>1</w:t>
      </w:r>
    </w:p>
    <w:p w:rsidR="00085B04" w:rsidRDefault="00085B04">
      <w:pPr>
        <w:pStyle w:val="Innehll1"/>
        <w:rPr>
          <w:noProof/>
        </w:rPr>
      </w:pPr>
      <w:r>
        <w:rPr>
          <w:noProof/>
        </w:rPr>
        <w:t>Propositionen</w:t>
      </w:r>
      <w:r>
        <w:rPr>
          <w:noProof/>
        </w:rPr>
        <w:tab/>
        <w:t>1</w:t>
      </w:r>
    </w:p>
    <w:p w:rsidR="00085B04" w:rsidRDefault="00085B04">
      <w:pPr>
        <w:pStyle w:val="Innehll1"/>
        <w:rPr>
          <w:noProof/>
        </w:rPr>
      </w:pPr>
      <w:r>
        <w:rPr>
          <w:noProof/>
        </w:rPr>
        <w:t>Motionen</w:t>
      </w:r>
      <w:r>
        <w:rPr>
          <w:noProof/>
        </w:rPr>
        <w:tab/>
        <w:t>2</w:t>
      </w:r>
    </w:p>
    <w:p w:rsidR="00085B04" w:rsidRDefault="00085B04">
      <w:pPr>
        <w:pStyle w:val="Innehll1"/>
        <w:rPr>
          <w:noProof/>
        </w:rPr>
      </w:pPr>
      <w:r>
        <w:rPr>
          <w:noProof/>
        </w:rPr>
        <w:t>Utskottet</w:t>
      </w:r>
      <w:r>
        <w:rPr>
          <w:noProof/>
        </w:rPr>
        <w:tab/>
        <w:t>2</w:t>
      </w:r>
    </w:p>
    <w:p w:rsidR="00085B04" w:rsidRDefault="00085B04">
      <w:pPr>
        <w:pStyle w:val="Innehll2"/>
        <w:rPr>
          <w:noProof/>
        </w:rPr>
      </w:pPr>
      <w:r>
        <w:rPr>
          <w:noProof/>
        </w:rPr>
        <w:t>Ärendet</w:t>
      </w:r>
      <w:r>
        <w:rPr>
          <w:noProof/>
        </w:rPr>
        <w:tab/>
        <w:t>2</w:t>
      </w:r>
    </w:p>
    <w:p w:rsidR="00085B04" w:rsidRDefault="00085B04">
      <w:pPr>
        <w:pStyle w:val="Innehll2"/>
        <w:rPr>
          <w:noProof/>
        </w:rPr>
      </w:pPr>
      <w:r>
        <w:rPr>
          <w:noProof/>
        </w:rPr>
        <w:t>Propositionens huvudsakliga innehåll</w:t>
      </w:r>
      <w:r>
        <w:rPr>
          <w:noProof/>
        </w:rPr>
        <w:tab/>
        <w:t>2</w:t>
      </w:r>
    </w:p>
    <w:p w:rsidR="00085B04" w:rsidRDefault="00085B04">
      <w:pPr>
        <w:pStyle w:val="Innehll2"/>
        <w:rPr>
          <w:noProof/>
        </w:rPr>
      </w:pPr>
      <w:r>
        <w:rPr>
          <w:noProof/>
        </w:rPr>
        <w:t>Närmare om regeringens förslag</w:t>
      </w:r>
      <w:r>
        <w:rPr>
          <w:noProof/>
        </w:rPr>
        <w:tab/>
        <w:t>3</w:t>
      </w:r>
    </w:p>
    <w:p w:rsidR="00085B04" w:rsidRDefault="00085B04">
      <w:pPr>
        <w:pStyle w:val="Innehll3"/>
        <w:rPr>
          <w:noProof/>
        </w:rPr>
      </w:pPr>
      <w:r>
        <w:rPr>
          <w:noProof/>
        </w:rPr>
        <w:t>Bedrägerikonventionen</w:t>
      </w:r>
      <w:r>
        <w:rPr>
          <w:noProof/>
        </w:rPr>
        <w:tab/>
        <w:t>3</w:t>
      </w:r>
    </w:p>
    <w:p w:rsidR="00085B04" w:rsidRDefault="00085B04">
      <w:pPr>
        <w:pStyle w:val="Innehll4"/>
        <w:rPr>
          <w:noProof/>
        </w:rPr>
      </w:pPr>
      <w:r>
        <w:rPr>
          <w:noProof/>
        </w:rPr>
        <w:t>Bakgrund och innehåll</w:t>
      </w:r>
      <w:r>
        <w:rPr>
          <w:noProof/>
        </w:rPr>
        <w:tab/>
        <w:t>3</w:t>
      </w:r>
    </w:p>
    <w:p w:rsidR="00085B04" w:rsidRDefault="00085B04">
      <w:pPr>
        <w:pStyle w:val="Innehll4"/>
        <w:rPr>
          <w:noProof/>
        </w:rPr>
      </w:pPr>
      <w:r>
        <w:rPr>
          <w:noProof/>
        </w:rPr>
        <w:t>Regeringens förslag</w:t>
      </w:r>
      <w:r>
        <w:rPr>
          <w:noProof/>
        </w:rPr>
        <w:tab/>
        <w:t>4</w:t>
      </w:r>
    </w:p>
    <w:p w:rsidR="00085B04" w:rsidRDefault="00085B04">
      <w:pPr>
        <w:pStyle w:val="Innehll3"/>
        <w:rPr>
          <w:noProof/>
        </w:rPr>
      </w:pPr>
      <w:r>
        <w:rPr>
          <w:noProof/>
        </w:rPr>
        <w:t>Korruption</w:t>
      </w:r>
      <w:r>
        <w:rPr>
          <w:noProof/>
        </w:rPr>
        <w:tab/>
        <w:t>4</w:t>
      </w:r>
    </w:p>
    <w:p w:rsidR="00085B04" w:rsidRDefault="00085B04">
      <w:pPr>
        <w:pStyle w:val="Innehll4"/>
        <w:rPr>
          <w:noProof/>
        </w:rPr>
      </w:pPr>
      <w:r>
        <w:rPr>
          <w:noProof/>
        </w:rPr>
        <w:t>Inledning</w:t>
      </w:r>
      <w:r>
        <w:rPr>
          <w:noProof/>
        </w:rPr>
        <w:tab/>
        <w:t>4</w:t>
      </w:r>
    </w:p>
    <w:p w:rsidR="00085B04" w:rsidRDefault="00085B04">
      <w:pPr>
        <w:pStyle w:val="Innehll4"/>
        <w:rPr>
          <w:noProof/>
        </w:rPr>
      </w:pPr>
      <w:r>
        <w:rPr>
          <w:noProof/>
        </w:rPr>
        <w:t>Korruptionsprotokollet</w:t>
      </w:r>
      <w:r>
        <w:rPr>
          <w:noProof/>
        </w:rPr>
        <w:tab/>
        <w:t>5</w:t>
      </w:r>
    </w:p>
    <w:p w:rsidR="00085B04" w:rsidRDefault="00085B04">
      <w:pPr>
        <w:pStyle w:val="Innehll4"/>
        <w:rPr>
          <w:noProof/>
        </w:rPr>
      </w:pPr>
      <w:r>
        <w:rPr>
          <w:noProof/>
        </w:rPr>
        <w:t>Korruptionskonventionen</w:t>
      </w:r>
      <w:r>
        <w:rPr>
          <w:noProof/>
        </w:rPr>
        <w:tab/>
        <w:t>5</w:t>
      </w:r>
    </w:p>
    <w:p w:rsidR="00085B04" w:rsidRDefault="00085B04">
      <w:pPr>
        <w:pStyle w:val="Innehll4"/>
        <w:rPr>
          <w:noProof/>
        </w:rPr>
      </w:pPr>
      <w:r>
        <w:rPr>
          <w:noProof/>
        </w:rPr>
        <w:t>OECD-konventionen</w:t>
      </w:r>
      <w:r>
        <w:rPr>
          <w:noProof/>
        </w:rPr>
        <w:tab/>
        <w:t>5</w:t>
      </w:r>
    </w:p>
    <w:p w:rsidR="00085B04" w:rsidRDefault="00085B04">
      <w:pPr>
        <w:pStyle w:val="Innehll4"/>
        <w:rPr>
          <w:noProof/>
        </w:rPr>
      </w:pPr>
      <w:r>
        <w:rPr>
          <w:noProof/>
        </w:rPr>
        <w:t>Regeringens förslag</w:t>
      </w:r>
      <w:r>
        <w:rPr>
          <w:noProof/>
        </w:rPr>
        <w:tab/>
        <w:t>6</w:t>
      </w:r>
    </w:p>
    <w:p w:rsidR="00085B04" w:rsidRDefault="00085B04">
      <w:pPr>
        <w:pStyle w:val="Innehll3"/>
        <w:rPr>
          <w:noProof/>
        </w:rPr>
      </w:pPr>
      <w:r>
        <w:rPr>
          <w:noProof/>
        </w:rPr>
        <w:t>Skattefrågor</w:t>
      </w:r>
      <w:r>
        <w:rPr>
          <w:noProof/>
        </w:rPr>
        <w:tab/>
        <w:t>7</w:t>
      </w:r>
    </w:p>
    <w:p w:rsidR="00085B04" w:rsidRDefault="00085B04">
      <w:pPr>
        <w:pStyle w:val="Innehll3"/>
        <w:rPr>
          <w:noProof/>
        </w:rPr>
      </w:pPr>
      <w:r>
        <w:rPr>
          <w:noProof/>
        </w:rPr>
        <w:t>Domstolsprotokollet</w:t>
      </w:r>
      <w:r>
        <w:rPr>
          <w:noProof/>
        </w:rPr>
        <w:tab/>
        <w:t>7</w:t>
      </w:r>
    </w:p>
    <w:p w:rsidR="00085B04" w:rsidRDefault="00085B04">
      <w:pPr>
        <w:pStyle w:val="Innehll2"/>
        <w:rPr>
          <w:noProof/>
        </w:rPr>
      </w:pPr>
      <w:r>
        <w:rPr>
          <w:noProof/>
        </w:rPr>
        <w:t>Överväganden</w:t>
      </w:r>
      <w:r>
        <w:rPr>
          <w:noProof/>
        </w:rPr>
        <w:tab/>
        <w:t>8</w:t>
      </w:r>
    </w:p>
    <w:p w:rsidR="00085B04" w:rsidRDefault="00085B04">
      <w:pPr>
        <w:pStyle w:val="Innehll2"/>
        <w:rPr>
          <w:noProof/>
        </w:rPr>
      </w:pPr>
      <w:r>
        <w:rPr>
          <w:noProof/>
        </w:rPr>
        <w:t>Enklare regler</w:t>
      </w:r>
      <w:r>
        <w:rPr>
          <w:noProof/>
        </w:rPr>
        <w:tab/>
        <w:t>8</w:t>
      </w:r>
    </w:p>
    <w:p w:rsidR="00085B04" w:rsidRDefault="00085B04">
      <w:pPr>
        <w:pStyle w:val="Innehll2"/>
        <w:rPr>
          <w:noProof/>
        </w:rPr>
      </w:pPr>
      <w:r>
        <w:rPr>
          <w:noProof/>
        </w:rPr>
        <w:t>Övrigt</w:t>
      </w:r>
      <w:r>
        <w:rPr>
          <w:noProof/>
        </w:rPr>
        <w:tab/>
        <w:t>9</w:t>
      </w:r>
    </w:p>
    <w:p w:rsidR="00085B04" w:rsidRDefault="00085B04">
      <w:pPr>
        <w:pStyle w:val="Innehll2"/>
        <w:rPr>
          <w:noProof/>
        </w:rPr>
      </w:pPr>
      <w:r>
        <w:rPr>
          <w:noProof/>
        </w:rPr>
        <w:t>Hemställan</w:t>
      </w:r>
      <w:r>
        <w:rPr>
          <w:noProof/>
        </w:rPr>
        <w:tab/>
        <w:t>10</w:t>
      </w:r>
    </w:p>
    <w:p w:rsidR="00085B04" w:rsidRDefault="00085B04">
      <w:pPr>
        <w:pStyle w:val="Innehll1"/>
        <w:rPr>
          <w:noProof/>
        </w:rPr>
      </w:pPr>
      <w:r>
        <w:rPr>
          <w:noProof/>
        </w:rPr>
        <w:t>Reservation</w:t>
      </w:r>
      <w:r>
        <w:rPr>
          <w:noProof/>
        </w:rPr>
        <w:tab/>
        <w:t>11</w:t>
      </w:r>
    </w:p>
    <w:p w:rsidR="00085B04" w:rsidRDefault="00085B04">
      <w:pPr>
        <w:pStyle w:val="Innehll2"/>
        <w:rPr>
          <w:noProof/>
        </w:rPr>
      </w:pPr>
      <w:r>
        <w:rPr>
          <w:noProof/>
        </w:rPr>
        <w:t>Enklare regler (mom. 4), (c)</w:t>
      </w:r>
      <w:r>
        <w:rPr>
          <w:noProof/>
        </w:rPr>
        <w:tab/>
        <w:t>11</w:t>
      </w:r>
    </w:p>
    <w:p w:rsidR="00085B04" w:rsidRDefault="00085B04">
      <w:pPr>
        <w:pStyle w:val="Innehll1"/>
        <w:rPr>
          <w:noProof/>
        </w:rPr>
      </w:pPr>
      <w:r>
        <w:rPr>
          <w:noProof/>
        </w:rPr>
        <w:t>Särskilda yttranden</w:t>
      </w:r>
      <w:r>
        <w:rPr>
          <w:noProof/>
        </w:rPr>
        <w:tab/>
        <w:t>11</w:t>
      </w:r>
    </w:p>
    <w:p w:rsidR="00085B04" w:rsidRDefault="00085B04">
      <w:pPr>
        <w:pStyle w:val="Innehll2"/>
        <w:rPr>
          <w:noProof/>
        </w:rPr>
      </w:pPr>
      <w:r>
        <w:rPr>
          <w:noProof/>
        </w:rPr>
        <w:t>1. Regeringens förslag (mom. 1, 2 och 3), (mp)</w:t>
      </w:r>
      <w:r>
        <w:rPr>
          <w:noProof/>
        </w:rPr>
        <w:tab/>
        <w:t>11</w:t>
      </w:r>
    </w:p>
    <w:p w:rsidR="00085B04" w:rsidRDefault="00085B04">
      <w:pPr>
        <w:pStyle w:val="Innehll2"/>
        <w:rPr>
          <w:noProof/>
        </w:rPr>
      </w:pPr>
      <w:r>
        <w:rPr>
          <w:noProof/>
        </w:rPr>
        <w:t>2. Enklare regler (mom. 4), (m, fp)</w:t>
      </w:r>
      <w:r>
        <w:rPr>
          <w:noProof/>
        </w:rPr>
        <w:tab/>
        <w:t>11</w:t>
      </w:r>
    </w:p>
    <w:p w:rsidR="00085B04" w:rsidRDefault="00085B04">
      <w:r>
        <w:t>Bilagor</w:t>
      </w:r>
    </w:p>
    <w:p w:rsidR="00085B04" w:rsidRDefault="00085B04">
      <w:pPr>
        <w:pStyle w:val="Innehll2"/>
        <w:rPr>
          <w:noProof/>
        </w:rPr>
      </w:pPr>
      <w:r>
        <w:rPr>
          <w:noProof/>
        </w:rPr>
        <w:t>1. Regeringens lagförslag</w:t>
      </w:r>
      <w:r>
        <w:rPr>
          <w:noProof/>
        </w:rPr>
        <w:tab/>
        <w:t>12</w:t>
      </w:r>
    </w:p>
    <w:p w:rsidR="00085B04" w:rsidRDefault="00085B04">
      <w:pPr>
        <w:pStyle w:val="Innehll2"/>
        <w:rPr>
          <w:noProof/>
        </w:rPr>
      </w:pPr>
      <w:r>
        <w:rPr>
          <w:noProof/>
        </w:rPr>
        <w:t>2. Bedrägerikonventionen</w:t>
      </w:r>
      <w:r>
        <w:rPr>
          <w:noProof/>
        </w:rPr>
        <w:tab/>
        <w:t>20</w:t>
      </w:r>
    </w:p>
    <w:p w:rsidR="00085B04" w:rsidRDefault="00085B04">
      <w:pPr>
        <w:pStyle w:val="Innehll2"/>
        <w:rPr>
          <w:noProof/>
        </w:rPr>
      </w:pPr>
      <w:r>
        <w:rPr>
          <w:noProof/>
        </w:rPr>
        <w:t>3. Protokollet till bedrägerikonventionen</w:t>
      </w:r>
      <w:r>
        <w:rPr>
          <w:noProof/>
        </w:rPr>
        <w:tab/>
        <w:t>28</w:t>
      </w:r>
    </w:p>
    <w:p w:rsidR="00085B04" w:rsidRDefault="00085B04">
      <w:pPr>
        <w:pStyle w:val="Innehll2"/>
        <w:rPr>
          <w:noProof/>
        </w:rPr>
      </w:pPr>
      <w:r>
        <w:rPr>
          <w:noProof/>
        </w:rPr>
        <w:t>4. Korruptionskonventionen</w:t>
      </w:r>
      <w:r>
        <w:rPr>
          <w:noProof/>
        </w:rPr>
        <w:tab/>
        <w:t>37</w:t>
      </w:r>
    </w:p>
    <w:p w:rsidR="00085B04" w:rsidRDefault="00085B04">
      <w:pPr>
        <w:pStyle w:val="Innehll2"/>
        <w:rPr>
          <w:noProof/>
        </w:rPr>
      </w:pPr>
      <w:r>
        <w:rPr>
          <w:noProof/>
        </w:rPr>
        <w:t>5. OECD-konventionen</w:t>
      </w:r>
      <w:r>
        <w:rPr>
          <w:noProof/>
        </w:rPr>
        <w:tab/>
        <w:t>46</w:t>
      </w:r>
    </w:p>
    <w:p w:rsidR="00085B04" w:rsidRDefault="00085B04">
      <w:pPr>
        <w:pStyle w:val="Innehll2"/>
        <w:rPr>
          <w:noProof/>
        </w:rPr>
      </w:pPr>
      <w:r>
        <w:rPr>
          <w:noProof/>
        </w:rPr>
        <w:t>6. Domstolsprotokollet</w:t>
      </w:r>
      <w:r>
        <w:rPr>
          <w:noProof/>
        </w:rPr>
        <w:tab/>
        <w:t>55</w:t>
      </w:r>
    </w:p>
    <w:p w:rsidR="00085B04" w:rsidRDefault="00085B04">
      <w:pPr>
        <w:pStyle w:val="Innehll2"/>
      </w:pPr>
    </w:p>
    <w:p w:rsidR="00085B04" w:rsidRDefault="00085B04">
      <w:pPr>
        <w:pStyle w:val="Tryckort"/>
        <w:framePr w:wrap="around"/>
      </w:pPr>
      <w:r>
        <w:t>Elanders Gotab, Stockholm  1999</w:t>
      </w:r>
    </w:p>
    <w:p w:rsidR="00085B04" w:rsidRDefault="00085B04">
      <w:pPr>
        <w:pStyle w:val="Normaltindrag"/>
      </w:pPr>
    </w:p>
    <w:sectPr w:rsidR="00085B04">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B04" w:rsidRDefault="00085B04">
      <w:pPr>
        <w:spacing w:before="0" w:line="240" w:lineRule="auto"/>
      </w:pPr>
      <w:r>
        <w:separator/>
      </w:r>
    </w:p>
  </w:endnote>
  <w:endnote w:type="continuationSeparator" w:id="0">
    <w:p w:rsidR="00085B04" w:rsidRDefault="00085B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85B04" w:rsidRDefault="00085B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fotH"/>
      <w:framePr w:wrap="around"/>
    </w:pPr>
    <w:r>
      <w:fldChar w:fldCharType="begin" w:fldLock="1"/>
    </w:r>
    <w:r>
      <w:instrText xml:space="preserve"> P</w:instrText>
    </w:r>
    <w:r>
      <w:instrText>A</w:instrText>
    </w:r>
    <w:r>
      <w:instrText xml:space="preserve">GE </w:instrText>
    </w:r>
    <w:r>
      <w:fldChar w:fldCharType="separate"/>
    </w:r>
    <w:r>
      <w:rPr>
        <w:noProof/>
      </w:rPr>
      <w:t>12</w:t>
    </w:r>
    <w:r>
      <w:fldChar w:fldCharType="end"/>
    </w:r>
  </w:p>
  <w:p w:rsidR="00085B04" w:rsidRDefault="00085B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fotH"/>
      <w:framePr w:wrap="around"/>
    </w:pPr>
    <w:r>
      <w:fldChar w:fldCharType="begin" w:fldLock="1"/>
    </w:r>
    <w:r>
      <w:instrText xml:space="preserve"> P</w:instrText>
    </w:r>
    <w:r>
      <w:instrText>A</w:instrText>
    </w:r>
    <w:r>
      <w:instrText xml:space="preserve">GE </w:instrText>
    </w:r>
    <w:r>
      <w:fldChar w:fldCharType="separate"/>
    </w:r>
    <w:r>
      <w:rPr>
        <w:noProof/>
      </w:rPr>
      <w:t>27</w:t>
    </w:r>
    <w:r>
      <w:fldChar w:fldCharType="end"/>
    </w:r>
  </w:p>
  <w:p w:rsidR="00085B04" w:rsidRDefault="00085B0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fotH"/>
      <w:framePr w:wrap="around"/>
    </w:pPr>
    <w:r>
      <w:fldChar w:fldCharType="begin" w:fldLock="1"/>
    </w:r>
    <w:r>
      <w:instrText xml:space="preserve"> P</w:instrText>
    </w:r>
    <w:r>
      <w:instrText>A</w:instrText>
    </w:r>
    <w:r>
      <w:instrText xml:space="preserve">GE </w:instrText>
    </w:r>
    <w:r>
      <w:fldChar w:fldCharType="separate"/>
    </w:r>
    <w:r>
      <w:rPr>
        <w:noProof/>
      </w:rPr>
      <w:t>36</w:t>
    </w:r>
    <w:r>
      <w:fldChar w:fldCharType="end"/>
    </w:r>
  </w:p>
  <w:p w:rsidR="00085B04" w:rsidRDefault="00085B0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fotH"/>
      <w:framePr w:wrap="around"/>
    </w:pPr>
    <w:r>
      <w:fldChar w:fldCharType="begin" w:fldLock="1"/>
    </w:r>
    <w:r>
      <w:instrText xml:space="preserve"> P</w:instrText>
    </w:r>
    <w:r>
      <w:instrText>A</w:instrText>
    </w:r>
    <w:r>
      <w:instrText xml:space="preserve">GE </w:instrText>
    </w:r>
    <w:r>
      <w:fldChar w:fldCharType="separate"/>
    </w:r>
    <w:r>
      <w:rPr>
        <w:noProof/>
      </w:rPr>
      <w:t>45</w:t>
    </w:r>
    <w:r>
      <w:fldChar w:fldCharType="end"/>
    </w:r>
  </w:p>
  <w:p w:rsidR="00085B04" w:rsidRDefault="00085B0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fotH"/>
      <w:framePr w:wrap="around"/>
    </w:pPr>
    <w:r>
      <w:fldChar w:fldCharType="begin" w:fldLock="1"/>
    </w:r>
    <w:r>
      <w:instrText xml:space="preserve"> P</w:instrText>
    </w:r>
    <w:r>
      <w:instrText>A</w:instrText>
    </w:r>
    <w:r>
      <w:instrText xml:space="preserve">GE </w:instrText>
    </w:r>
    <w:r>
      <w:fldChar w:fldCharType="separate"/>
    </w:r>
    <w:r>
      <w:rPr>
        <w:noProof/>
      </w:rPr>
      <w:t>54</w:t>
    </w:r>
    <w:r>
      <w:fldChar w:fldCharType="end"/>
    </w:r>
  </w:p>
  <w:p w:rsidR="00085B04" w:rsidRDefault="00085B0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fotH"/>
      <w:framePr w:wrap="around"/>
    </w:pPr>
    <w:r>
      <w:fldChar w:fldCharType="begin" w:fldLock="1"/>
    </w:r>
    <w:r>
      <w:instrText xml:space="preserve"> P</w:instrText>
    </w:r>
    <w:r>
      <w:instrText>A</w:instrText>
    </w:r>
    <w:r>
      <w:instrText xml:space="preserve">GE </w:instrText>
    </w:r>
    <w:r>
      <w:fldChar w:fldCharType="separate"/>
    </w:r>
    <w:r>
      <w:rPr>
        <w:noProof/>
      </w:rPr>
      <w:t>59</w:t>
    </w:r>
    <w:r>
      <w:fldChar w:fldCharType="end"/>
    </w:r>
  </w:p>
  <w:p w:rsidR="00085B04" w:rsidRDefault="00085B0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fotH"/>
      <w:framePr w:wrap="around"/>
    </w:pPr>
    <w:r>
      <w:fldChar w:fldCharType="begin" w:fldLock="1"/>
    </w:r>
    <w:r>
      <w:instrText xml:space="preserve"> PAGE </w:instrText>
    </w:r>
    <w:r>
      <w:fldChar w:fldCharType="separate"/>
    </w:r>
    <w:r>
      <w:rPr>
        <w:noProof/>
      </w:rPr>
      <w:t>60</w:t>
    </w:r>
    <w:r>
      <w:fldChar w:fldCharType="end"/>
    </w:r>
  </w:p>
  <w:p w:rsidR="00085B04" w:rsidRDefault="00085B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B04" w:rsidRDefault="00085B04">
      <w:pPr>
        <w:pStyle w:val="Sidfot"/>
      </w:pPr>
    </w:p>
  </w:footnote>
  <w:footnote w:type="continuationSeparator" w:id="0">
    <w:p w:rsidR="00085B04" w:rsidRDefault="00085B04">
      <w:pPr>
        <w:pStyle w:val="Sidfot"/>
      </w:pPr>
    </w:p>
  </w:footnote>
  <w:footnote w:id="1">
    <w:p w:rsidR="00085B04" w:rsidRDefault="00085B04">
      <w:pPr>
        <w:pStyle w:val="Fotnotstext"/>
      </w:pPr>
      <w:r>
        <w:rPr>
          <w:rStyle w:val="Fotnotsreferens"/>
        </w:rPr>
        <w:t>*</w:t>
      </w:r>
      <w:r>
        <w:t xml:space="preserve"> Avvikande lydelse i prop. 1998/99:32.</w:t>
      </w:r>
    </w:p>
  </w:footnote>
  <w:footnote w:id="2">
    <w:p w:rsidR="00085B04" w:rsidRDefault="00085B04">
      <w:pPr>
        <w:pStyle w:val="Fotnotstext"/>
      </w:pPr>
    </w:p>
  </w:footnote>
  <w:footnote w:id="3">
    <w:p w:rsidR="00085B04" w:rsidRDefault="00085B04">
      <w:pPr>
        <w:pStyle w:val="Fotnotstext"/>
      </w:pPr>
      <w:r>
        <w:rPr>
          <w:rStyle w:val="Fotnotsreferens"/>
        </w:rPr>
        <w:t>*</w:t>
      </w:r>
      <w:r>
        <w:t xml:space="preserve"> Avvikande lydelse i prop. 1998/99:32.</w:t>
      </w:r>
    </w:p>
  </w:footnote>
  <w:footnote w:id="4">
    <w:p w:rsidR="00085B04" w:rsidRDefault="00085B04">
      <w:pPr>
        <w:pStyle w:val="Fotnotstext"/>
      </w:pPr>
    </w:p>
  </w:footnote>
  <w:footnote w:id="5">
    <w:p w:rsidR="00085B04" w:rsidRDefault="00085B04">
      <w:pPr>
        <w:pStyle w:val="Fotnotstext"/>
      </w:pPr>
      <w:r>
        <w:rPr>
          <w:rStyle w:val="Fotnotsreferens"/>
        </w:rPr>
        <w:t>*</w:t>
      </w:r>
      <w:r>
        <w:t xml:space="preserve"> Avvikande lydelse i prop. 1998/99:32.</w:t>
      </w:r>
    </w:p>
  </w:footnote>
  <w:footnote w:id="6">
    <w:p w:rsidR="00085B04" w:rsidRDefault="00085B04">
      <w:pPr>
        <w:pStyle w:val="Fotnotstext"/>
      </w:pPr>
    </w:p>
  </w:footnote>
  <w:footnote w:id="7">
    <w:p w:rsidR="00085B04" w:rsidRDefault="00085B04">
      <w:pPr>
        <w:pStyle w:val="Fotnotstext"/>
      </w:pPr>
      <w:r>
        <w:rPr>
          <w:rStyle w:val="Fotnotsreferens"/>
        </w:rPr>
        <w:t>*</w:t>
      </w:r>
      <w:r>
        <w:t xml:space="preserve"> Avvikande lydelse i prop. 1998/99:32.</w:t>
      </w:r>
    </w:p>
  </w:footnote>
  <w:footnote w:id="8">
    <w:p w:rsidR="00085B04" w:rsidRDefault="00085B04">
      <w:pPr>
        <w:pStyle w:val="Fotnotstext"/>
      </w:pPr>
      <w:r>
        <w:rPr>
          <w:rStyle w:val="Fotnotsreferens"/>
        </w:rPr>
        <w:t>*</w:t>
      </w:r>
      <w:r>
        <w:t xml:space="preserve"> Avvikande lydelse i prop. 1998/99:32.</w:t>
      </w:r>
    </w:p>
  </w:footnote>
  <w:footnote w:id="9">
    <w:p w:rsidR="00085B04" w:rsidRDefault="00085B04">
      <w:pPr>
        <w:pStyle w:val="Fotnotstext"/>
      </w:pPr>
      <w:r>
        <w:rPr>
          <w:rStyle w:val="Fotnotsreferens"/>
        </w:rPr>
        <w:t>*</w:t>
      </w:r>
      <w:r>
        <w:t xml:space="preserve"> Avvikande lydelse i prop. 1998/99:32.</w:t>
      </w:r>
    </w:p>
    <w:p w:rsidR="00085B04" w:rsidRDefault="00085B04">
      <w:pPr>
        <w:pStyle w:val="Fotnotstext"/>
      </w:pPr>
    </w:p>
  </w:footnote>
  <w:footnote w:id="10">
    <w:p w:rsidR="00085B04" w:rsidRDefault="00085B04">
      <w:pPr>
        <w:pStyle w:val="Fotnotstext"/>
      </w:pPr>
      <w:r>
        <w:t>(</w:t>
      </w:r>
      <w:r>
        <w:rPr>
          <w:rStyle w:val="Fotnotsreferens"/>
        </w:rPr>
        <w:t>1</w:t>
      </w:r>
      <w:r>
        <w:t>) EGT nr C 316, 27.11.1995, s. 49.</w:t>
      </w:r>
    </w:p>
  </w:footnote>
  <w:footnote w:id="11">
    <w:p w:rsidR="00085B04" w:rsidRDefault="00085B04">
      <w:pPr>
        <w:pStyle w:val="Fotnotstext"/>
      </w:pPr>
      <w:r>
        <w:rPr>
          <w:rStyle w:val="Fotnotsreferens"/>
        </w:rPr>
        <w:t>*</w:t>
      </w:r>
      <w:r>
        <w:t xml:space="preserve"> Avvikande lydelse i prop. 1998/99:32.</w:t>
      </w:r>
    </w:p>
  </w:footnote>
  <w:footnote w:id="12">
    <w:p w:rsidR="00085B04" w:rsidRDefault="00085B04">
      <w:pPr>
        <w:pStyle w:val="Fotnotstext"/>
      </w:pPr>
      <w:r>
        <w:rPr>
          <w:rStyle w:val="Fotnotsreferens"/>
        </w:rPr>
        <w:t>*</w:t>
      </w:r>
      <w:r>
        <w:t xml:space="preserve"> Avvikande lydelse i prop.1998/99:32.</w:t>
      </w:r>
    </w:p>
  </w:footnote>
  <w:footnote w:id="13">
    <w:p w:rsidR="00085B04" w:rsidRDefault="00085B04">
      <w:pPr>
        <w:pStyle w:val="Fotnotstext"/>
      </w:pPr>
      <w:r>
        <w:t>(</w:t>
      </w:r>
      <w:r>
        <w:rPr>
          <w:rStyle w:val="Fotnotsreferens"/>
        </w:rPr>
        <w:t>1</w:t>
      </w:r>
      <w:r>
        <w:t>) EGT nr C 313, 23.10.1996, s. 2.</w:t>
      </w:r>
    </w:p>
  </w:footnote>
  <w:footnote w:id="14">
    <w:p w:rsidR="00085B04" w:rsidRDefault="00085B04">
      <w:pPr>
        <w:pStyle w:val="Fotnotstext"/>
      </w:pPr>
      <w:r>
        <w:t>(</w:t>
      </w:r>
      <w:r>
        <w:rPr>
          <w:rStyle w:val="Fotnotsreferens"/>
        </w:rPr>
        <w:t>1</w:t>
      </w:r>
      <w:r>
        <w:t>) EGT nr C 313, 23.10.1996, s. 1.</w:t>
      </w:r>
    </w:p>
  </w:footnote>
  <w:footnote w:id="15">
    <w:p w:rsidR="00085B04" w:rsidRDefault="00085B04">
      <w:pPr>
        <w:pStyle w:val="Fotnotstext"/>
      </w:pPr>
      <w:r>
        <w:rPr>
          <w:rStyle w:val="Fotnotsreferens"/>
        </w:rPr>
        <w:t>*</w:t>
      </w:r>
      <w:r>
        <w:t xml:space="preserve"> Avvikande lydelse i prop. 1998/99:32.</w:t>
      </w:r>
    </w:p>
  </w:footnote>
  <w:footnote w:id="16">
    <w:p w:rsidR="00085B04" w:rsidRDefault="00085B04">
      <w:pPr>
        <w:pStyle w:val="Fotnotstext"/>
      </w:pPr>
    </w:p>
  </w:footnote>
  <w:footnote w:id="17">
    <w:p w:rsidR="00085B04" w:rsidRDefault="00085B04">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huvudKant"/>
      <w:framePr w:w="1985" w:h="2743" w:hRule="exact" w:wrap="around" w:vAnchor="page" w:hAnchor="page" w:x="7372" w:y="568" w:anchorLock="0"/>
      <w:rPr>
        <w:noProof/>
      </w:rPr>
    </w:pPr>
    <w:r>
      <w:rPr>
        <w:noProof/>
      </w:rPr>
      <w:t>1998/99:JuU16</w:t>
    </w:r>
  </w:p>
  <w:p w:rsidR="00085B04" w:rsidRDefault="00085B04">
    <w:pPr>
      <w:pStyle w:val="SidhuvudKantBilaga"/>
      <w:framePr w:w="1985" w:h="2743" w:hRule="exact" w:wrap="around" w:vAnchor="page" w:hAnchor="page" w:x="7372" w:y="568" w:anchorLock="0"/>
      <w:rPr>
        <w:noProof/>
      </w:rPr>
    </w:pPr>
  </w:p>
  <w:p w:rsidR="00085B04" w:rsidRDefault="00085B04">
    <w:pPr>
      <w:pStyle w:val="SidhuvudKant"/>
      <w:framePr w:w="1985" w:h="2743" w:hRule="exact" w:wrap="around" w:vAnchor="page" w:hAnchor="page" w:x="7372" w:y="568" w:anchorLock="0"/>
    </w:pPr>
  </w:p>
  <w:p w:rsidR="00085B04" w:rsidRDefault="00085B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huvudKant"/>
      <w:framePr w:w="1985" w:h="2743" w:hRule="exact" w:wrap="around" w:vAnchor="page" w:hAnchor="page" w:x="7372" w:y="568" w:anchorLock="0"/>
      <w:rPr>
        <w:noProof/>
      </w:rPr>
    </w:pPr>
    <w:r>
      <w:rPr>
        <w:noProof/>
      </w:rPr>
      <w:t>1998/99:JuU16</w:t>
    </w:r>
  </w:p>
  <w:p w:rsidR="00085B04" w:rsidRDefault="00085B04">
    <w:pPr>
      <w:pStyle w:val="SidhuvudKantBilaga"/>
      <w:framePr w:w="1985" w:h="2743" w:hRule="exact" w:wrap="around" w:vAnchor="page" w:hAnchor="page" w:x="7372" w:y="568" w:anchorLock="0"/>
      <w:rPr>
        <w:noProof/>
      </w:rPr>
    </w:pPr>
    <w:r>
      <w:rPr>
        <w:noProof/>
      </w:rPr>
      <w:t>Bilaga 1                    Regeringens lagförslag</w:t>
    </w:r>
  </w:p>
  <w:p w:rsidR="00085B04" w:rsidRDefault="00085B04">
    <w:pPr>
      <w:pStyle w:val="SidhuvudKant"/>
      <w:framePr w:w="1985" w:h="2743" w:hRule="exact" w:wrap="around" w:vAnchor="page" w:hAnchor="page" w:x="7372" w:y="568" w:anchorLock="0"/>
    </w:pPr>
  </w:p>
  <w:p w:rsidR="00085B04" w:rsidRDefault="00085B0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huvudKant"/>
      <w:framePr w:w="1985" w:h="2743" w:hRule="exact" w:wrap="around" w:vAnchor="page" w:hAnchor="page" w:x="7372" w:y="568" w:anchorLock="0"/>
      <w:rPr>
        <w:noProof/>
      </w:rPr>
    </w:pPr>
    <w:r>
      <w:rPr>
        <w:noProof/>
      </w:rPr>
      <w:t>1998/99:JuU16</w:t>
    </w:r>
  </w:p>
  <w:p w:rsidR="00085B04" w:rsidRDefault="00085B04">
    <w:pPr>
      <w:pStyle w:val="SidhuvudKantBilaga"/>
      <w:framePr w:w="1985" w:h="2743" w:hRule="exact" w:wrap="around" w:vAnchor="page" w:hAnchor="page" w:x="7372" w:y="568" w:anchorLock="0"/>
      <w:rPr>
        <w:noProof/>
      </w:rPr>
    </w:pPr>
    <w:r>
      <w:rPr>
        <w:noProof/>
      </w:rPr>
      <w:t>Bilaga 2                                Bedrägerikonventionen</w:t>
    </w:r>
  </w:p>
  <w:p w:rsidR="00085B04" w:rsidRDefault="00085B04">
    <w:pPr>
      <w:pStyle w:val="SidhuvudKant"/>
      <w:framePr w:w="1985" w:h="2743" w:hRule="exact" w:wrap="around" w:vAnchor="page" w:hAnchor="page" w:x="7372" w:y="568" w:anchorLock="0"/>
    </w:pPr>
  </w:p>
  <w:p w:rsidR="00085B04" w:rsidRDefault="00085B0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huvudKant"/>
      <w:framePr w:w="1985" w:h="2743" w:hRule="exact" w:wrap="around" w:vAnchor="page" w:hAnchor="page" w:x="7372" w:y="568" w:anchorLock="0"/>
      <w:rPr>
        <w:noProof/>
      </w:rPr>
    </w:pPr>
    <w:r>
      <w:rPr>
        <w:noProof/>
      </w:rPr>
      <w:t>1998/99:JuU16</w:t>
    </w:r>
  </w:p>
  <w:p w:rsidR="00085B04" w:rsidRDefault="00085B04">
    <w:pPr>
      <w:pStyle w:val="SidhuvudKantBilaga"/>
      <w:framePr w:w="1985" w:h="2743" w:hRule="exact" w:wrap="around" w:vAnchor="page" w:hAnchor="page" w:x="7372" w:y="568" w:anchorLock="0"/>
      <w:rPr>
        <w:noProof/>
      </w:rPr>
    </w:pPr>
    <w:r>
      <w:rPr>
        <w:noProof/>
      </w:rPr>
      <w:t>Bilaga 3                                        Protokollet till bedrägerikonventionen</w:t>
    </w:r>
  </w:p>
  <w:p w:rsidR="00085B04" w:rsidRDefault="00085B04">
    <w:pPr>
      <w:pStyle w:val="SidhuvudKant"/>
      <w:framePr w:w="1985" w:h="2743" w:hRule="exact" w:wrap="around" w:vAnchor="page" w:hAnchor="page" w:x="7372" w:y="568" w:anchorLock="0"/>
    </w:pPr>
  </w:p>
  <w:p w:rsidR="00085B04" w:rsidRDefault="00085B04">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huvudKant"/>
      <w:framePr w:w="1985" w:h="2743" w:hRule="exact" w:wrap="around" w:vAnchor="page" w:hAnchor="page" w:x="7372" w:y="568" w:anchorLock="0"/>
      <w:rPr>
        <w:noProof/>
      </w:rPr>
    </w:pPr>
    <w:r>
      <w:rPr>
        <w:noProof/>
      </w:rPr>
      <w:t>1998/99:JuU16</w:t>
    </w:r>
  </w:p>
  <w:p w:rsidR="00085B04" w:rsidRDefault="00085B04">
    <w:pPr>
      <w:pStyle w:val="SidhuvudKantBilaga"/>
      <w:framePr w:w="1985" w:h="2743" w:hRule="exact" w:wrap="around" w:vAnchor="page" w:hAnchor="page" w:x="7372" w:y="568" w:anchorLock="0"/>
      <w:rPr>
        <w:noProof/>
      </w:rPr>
    </w:pPr>
    <w:r>
      <w:rPr>
        <w:noProof/>
      </w:rPr>
      <w:t>Bilaga 4                                          Korruptions-                             konventionen</w:t>
    </w:r>
  </w:p>
  <w:p w:rsidR="00085B04" w:rsidRDefault="00085B04">
    <w:pPr>
      <w:pStyle w:val="SidhuvudKant"/>
      <w:framePr w:w="1985" w:h="2743" w:hRule="exact" w:wrap="around" w:vAnchor="page" w:hAnchor="page" w:x="7372" w:y="568" w:anchorLock="0"/>
    </w:pPr>
  </w:p>
  <w:p w:rsidR="00085B04" w:rsidRDefault="00085B04">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huvudKant"/>
      <w:framePr w:w="1985" w:h="2743" w:hRule="exact" w:wrap="around" w:vAnchor="page" w:hAnchor="page" w:x="7372" w:y="568" w:anchorLock="0"/>
      <w:rPr>
        <w:noProof/>
      </w:rPr>
    </w:pPr>
    <w:r>
      <w:rPr>
        <w:noProof/>
      </w:rPr>
      <w:t>1998/99:JuU16</w:t>
    </w:r>
  </w:p>
  <w:p w:rsidR="00085B04" w:rsidRDefault="00085B04">
    <w:pPr>
      <w:pStyle w:val="SidhuvudKantBilaga"/>
      <w:framePr w:w="1985" w:h="2743" w:hRule="exact" w:wrap="around" w:vAnchor="page" w:hAnchor="page" w:x="7372" w:y="568" w:anchorLock="0"/>
      <w:rPr>
        <w:noProof/>
      </w:rPr>
    </w:pPr>
    <w:r>
      <w:rPr>
        <w:noProof/>
      </w:rPr>
      <w:t>Bilaga 5                                              OECD-konventionen</w:t>
    </w:r>
  </w:p>
  <w:p w:rsidR="00085B04" w:rsidRDefault="00085B04">
    <w:pPr>
      <w:pStyle w:val="SidhuvudKant"/>
      <w:framePr w:w="1985" w:h="2743" w:hRule="exact" w:wrap="around" w:vAnchor="page" w:hAnchor="page" w:x="7372" w:y="568" w:anchorLock="0"/>
    </w:pPr>
  </w:p>
  <w:p w:rsidR="00085B04" w:rsidRDefault="00085B04">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huvudKant"/>
      <w:framePr w:w="1985" w:h="2743" w:hRule="exact" w:wrap="around" w:vAnchor="page" w:hAnchor="page" w:x="7372" w:y="568" w:anchorLock="0"/>
      <w:rPr>
        <w:noProof/>
      </w:rPr>
    </w:pPr>
    <w:r>
      <w:rPr>
        <w:noProof/>
      </w:rPr>
      <w:t>1998/99:JuU16</w:t>
    </w:r>
  </w:p>
  <w:p w:rsidR="00085B04" w:rsidRDefault="00085B04">
    <w:pPr>
      <w:pStyle w:val="SidhuvudKantBilaga"/>
      <w:framePr w:w="1985" w:h="2743" w:hRule="exact" w:wrap="around" w:vAnchor="page" w:hAnchor="page" w:x="7372" w:y="568" w:anchorLock="0"/>
      <w:rPr>
        <w:noProof/>
      </w:rPr>
    </w:pPr>
    <w:r>
      <w:rPr>
        <w:noProof/>
      </w:rPr>
      <w:t>Bilaga 6                                                     Domstolsprotokollet</w:t>
    </w:r>
  </w:p>
  <w:p w:rsidR="00085B04" w:rsidRDefault="00085B04">
    <w:pPr>
      <w:pStyle w:val="SidhuvudKant"/>
      <w:framePr w:w="1985" w:h="2743" w:hRule="exact" w:wrap="around" w:vAnchor="page" w:hAnchor="page" w:x="7372" w:y="568" w:anchorLock="0"/>
    </w:pPr>
  </w:p>
  <w:p w:rsidR="00085B04" w:rsidRDefault="00085B04">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04" w:rsidRDefault="00085B04">
    <w:pPr>
      <w:pStyle w:val="SidhuvudKant"/>
      <w:framePr w:w="1985" w:h="2743" w:hRule="exact" w:wrap="around" w:vAnchor="page" w:hAnchor="page" w:x="7372" w:y="568" w:anchorLock="0"/>
      <w:rPr>
        <w:noProof/>
      </w:rPr>
    </w:pPr>
    <w:r>
      <w:rPr>
        <w:noProof/>
      </w:rPr>
      <w:t>1998/99:JuU16</w:t>
    </w:r>
  </w:p>
  <w:p w:rsidR="00085B04" w:rsidRDefault="00085B04">
    <w:pPr>
      <w:pStyle w:val="SidhuvudKantBilaga"/>
      <w:framePr w:w="1985" w:h="2743" w:hRule="exact" w:wrap="around" w:vAnchor="page" w:hAnchor="page" w:x="7372" w:y="568" w:anchorLock="0"/>
      <w:rPr>
        <w:noProof/>
      </w:rPr>
    </w:pPr>
  </w:p>
  <w:p w:rsidR="00085B04" w:rsidRDefault="00085B04">
    <w:pPr>
      <w:pStyle w:val="SidhuvudKant"/>
      <w:framePr w:w="1985" w:h="2743" w:hRule="exact" w:wrap="around" w:vAnchor="page" w:hAnchor="page" w:x="7372" w:y="568" w:anchorLock="0"/>
    </w:pPr>
  </w:p>
  <w:p w:rsidR="00085B04" w:rsidRDefault="00085B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9AC2B98"/>
    <w:multiLevelType w:val="singleLevel"/>
    <w:tmpl w:val="60DC30B4"/>
    <w:lvl w:ilvl="0">
      <w:start w:val="1"/>
      <w:numFmt w:val="lowerLetter"/>
      <w:lvlText w:val="%1)"/>
      <w:legacy w:legacy="1" w:legacySpace="0" w:legacyIndent="283"/>
      <w:lvlJc w:val="left"/>
      <w:pPr>
        <w:ind w:left="283" w:hanging="283"/>
      </w:pPr>
    </w:lvl>
  </w:abstractNum>
  <w:abstractNum w:abstractNumId="4" w15:restartNumberingAfterBreak="0">
    <w:nsid w:val="7CCD1CBC"/>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710913788">
    <w:abstractNumId w:val="0"/>
  </w:num>
  <w:num w:numId="2" w16cid:durableId="1004550516">
    <w:abstractNumId w:val="4"/>
  </w:num>
  <w:num w:numId="3" w16cid:durableId="1395815932">
    <w:abstractNumId w:val="1"/>
  </w:num>
  <w:num w:numId="4" w16cid:durableId="668946226">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2093817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D5747E"/>
    <w:rsid w:val="00085B04"/>
    <w:rsid w:val="0065696F"/>
    <w:rsid w:val="00D574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D4F58-5B9D-48D0-B004-CE759FEB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Propbilaga">
    <w:name w:val="Prop. bilaga"/>
    <w:basedOn w:val="Normal"/>
    <w:next w:val="Proputanindrag"/>
    <w:pPr>
      <w:tabs>
        <w:tab w:val="left" w:pos="2835"/>
      </w:tabs>
      <w:spacing w:before="80" w:after="240" w:line="240" w:lineRule="auto"/>
      <w:jc w:val="left"/>
    </w:pPr>
    <w:rPr>
      <w:sz w:val="34"/>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14497</Words>
  <Characters>88435</Characters>
  <Application>Microsoft Office Word</Application>
  <DocSecurity>4</DocSecurity>
  <Lines>1965</Lines>
  <Paragraphs>872</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Justitieutskottets betänkande</vt:lpstr>
      <vt:lpstr>Sammanfattning</vt:lpstr>
      <vt:lpstr>Propositionen</vt:lpstr>
      <vt:lpstr>Motionen</vt:lpstr>
      <vt:lpstr>Utskottet</vt:lpstr>
      <vt:lpstr>    Ärendet</vt:lpstr>
      <vt:lpstr>    Propositionens huvudsakliga innehåll</vt:lpstr>
      <vt:lpstr>    Närmare om regeringens förslag</vt:lpstr>
      <vt:lpstr>        Bedrägerikonventionen</vt:lpstr>
      <vt:lpstr>        Korruption</vt:lpstr>
      <vt:lpstr>        Skattefrågor</vt:lpstr>
      <vt:lpstr>        Domstolsprotokollet</vt:lpstr>
      <vt:lpstr>    Överväganden</vt:lpstr>
      <vt:lpstr>    Enklare regler </vt:lpstr>
      <vt:lpstr>    Övrigt </vt:lpstr>
      <vt:lpstr>    Hemställan</vt:lpstr>
      <vt:lpstr>Reservation</vt:lpstr>
      <vt:lpstr>    Enklare regler (mom. 4)</vt:lpstr>
      <vt:lpstr>Särskilda yttranden</vt:lpstr>
      <vt:lpstr>    1. Regeringens förslag (mom. 1, 2 och 3)</vt:lpstr>
      <vt:lpstr>    2. Enklare regler (mom. 4)</vt:lpstr>
      <vt:lpstr>    Regeringens lagförslag</vt:lpstr>
      <vt:lpstr>    </vt:lpstr>
      <vt:lpstr>Bedrägerikonventionen</vt:lpstr>
      <vt:lpstr>    RÅDETS AKT</vt:lpstr>
      <vt:lpstr>        av den 26 juli 1995 om utarbetandet av konventionen om skydd av Europeiska  geme</vt:lpstr>
      <vt:lpstr>    </vt:lpstr>
      <vt:lpstr>    (95/C 316/03)</vt:lpstr>
      <vt:lpstr>    EUROPEISKA UNIONENS RÅD HAR ANTAGIT DENNA AKT</vt:lpstr>
      <vt:lpstr>    RÅDET </vt:lpstr>
      <vt:lpstr>    KONVENTION</vt:lpstr>
      <vt:lpstr>        som utarbetats på grundval av artikel K.3 i fördraget om Europeiska  unionen om </vt:lpstr>
      <vt:lpstr>        Allmänna bestämmelser</vt:lpstr>
      <vt:lpstr>        Straffrättsliga påföljder</vt:lpstr>
      <vt:lpstr>        Straffrättsligt ansvar för företagsledare</vt:lpstr>
      <vt:lpstr>        Jurisdiktion</vt:lpstr>
      <vt:lpstr>        Utlämning och åtal</vt:lpstr>
      <vt:lpstr>        Samarbete</vt:lpstr>
      <vt:lpstr>        Ne bis in idem</vt:lpstr>
      <vt:lpstr>        Domstolen</vt:lpstr>
      <vt:lpstr>        Nationella föreskrifter</vt:lpstr>
      <vt:lpstr>        Överlämnande av information</vt:lpstr>
      <vt:lpstr>        Ikraftträdande</vt:lpstr>
      <vt:lpstr>        Anslutning</vt:lpstr>
      <vt:lpstr>        Depositarien</vt:lpstr>
      <vt:lpstr>Protokollet till bedrägerikonventionen</vt:lpstr>
      <vt:lpstr>    RÅDETS AKT</vt:lpstr>
      <vt:lpstr>        av den 27 september 1996  om upprättande av ett protokoll till konventionen om s</vt:lpstr>
      <vt:lpstr>    (96/C 313/01)</vt:lpstr>
      <vt:lpstr>    EUROPEISKA UNIONENS RÅD HAR ANTAGIT DENNA AKT</vt:lpstr>
      <vt:lpstr>    RÅDET</vt:lpstr>
      <vt:lpstr>    PROTOKOLL</vt:lpstr>
      <vt:lpstr>        som upprättats på grundval av artikel K 3 i Fördraget om Europeiska unionen, til</vt:lpstr>
      <vt:lpstr>        Definitioner</vt:lpstr>
      <vt:lpstr>        Mutbrott</vt:lpstr>
      <vt:lpstr>        Bestickning</vt:lpstr>
      <vt:lpstr>        Likabehandling</vt:lpstr>
      <vt:lpstr>        Påföljder</vt:lpstr>
      <vt:lpstr>        Behörighet</vt:lpstr>
      <vt:lpstr>        Samband med konventionen</vt:lpstr>
      <vt:lpstr>        Domstolen</vt:lpstr>
      <vt:lpstr>        Ikraftträdande</vt:lpstr>
      <vt:lpstr>        Anslutning av nya medlemsstater</vt:lpstr>
      <vt:lpstr>        Reservationer</vt:lpstr>
      <vt:lpstr>        Depositarie</vt:lpstr>
      <vt:lpstr/>
      <vt:lpstr>Korruptionskonventionen</vt:lpstr>
      <vt:lpstr>    RÅDETS AKT</vt:lpstr>
      <vt:lpstr>        av den 26 maj 1997</vt:lpstr>
      <vt:lpstr>        Om utarbetande på grundval av artikel K 3.2 c i Fördraget om Europeiska unionen </vt:lpstr>
      <vt:lpstr>    (97/C 195/01)</vt:lpstr>
      <vt:lpstr>    EUROPEISKA UNIONENS RÅD</vt:lpstr>
      <vt:lpstr>KONVENTION</vt:lpstr>
      <vt:lpstr>        utarbetad på grundval av artikel K 3.2 c i Fördraget om Europeiska unionen om ka</vt:lpstr>
      <vt:lpstr>        Definitioner</vt:lpstr>
      <vt:lpstr>        Mutbrott</vt:lpstr>
      <vt:lpstr>        Bestickning</vt:lpstr>
      <vt:lpstr>        Likabehandling</vt:lpstr>
      <vt:lpstr>        Påföljder</vt:lpstr>
      <vt:lpstr>        Straffrättsligt ansvar för företagsledare</vt:lpstr>
      <vt:lpstr>        Behörighet</vt:lpstr>
      <vt:lpstr>        Utlämning och åtal</vt:lpstr>
      <vt:lpstr>        Samarbete</vt:lpstr>
      <vt:lpstr>        Ne bis in idem</vt:lpstr>
      <vt:lpstr>        Nationella bestämmelser</vt:lpstr>
      <vt:lpstr>        Domstolen</vt:lpstr>
      <vt:lpstr>        Ikraftträdande</vt:lpstr>
      <vt:lpstr>        Anslutning av nya medlemsstater</vt:lpstr>
      <vt:lpstr>        Reservationer</vt:lpstr>
      <vt:lpstr>        Depositarie</vt:lpstr>
      <vt:lpstr/>
      <vt:lpstr>OECD-konventionen</vt:lpstr>
      <vt:lpstr>    KONVENTION OM BEKÄMPANDE AV BESTICKNING AV UTLÄNDSKA OFFENTLIGA TJÄNSTEMÄN I INT</vt:lpstr>
      <vt:lpstr>        Ingress</vt:lpstr>
      <vt:lpstr>        Parterna,</vt:lpstr>
      <vt:lpstr>        Brottet bestickning av utländska offentliga tjänstemän</vt:lpstr>
      <vt:lpstr>        Ansvar för juridiska personer</vt:lpstr>
      <vt:lpstr>        Påföljder</vt:lpstr>
      <vt:lpstr>        Jurisdiktion</vt:lpstr>
      <vt:lpstr>        Genomförande</vt:lpstr>
      <vt:lpstr>        Preskription</vt:lpstr>
    </vt:vector>
  </TitlesOfParts>
  <Company>Riksdagen</Company>
  <LinksUpToDate>false</LinksUpToDate>
  <CharactersWithSpaces>102060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1999-03-17T15:13:00Z</cp:lastPrinted>
  <dcterms:created xsi:type="dcterms:W3CDTF">2025-12-15T19:06:00Z</dcterms:created>
  <dcterms:modified xsi:type="dcterms:W3CDTF">2025-12-15T19:06:00Z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