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60B442EA5DD4A39930A629541972525"/>
        </w:placeholder>
        <w:text/>
      </w:sdtPr>
      <w:sdtEndPr/>
      <w:sdtContent>
        <w:p w:rsidRPr="009B062B" w:rsidR="00AF30DD" w:rsidP="00272A65" w:rsidRDefault="00AF30DD" w14:paraId="262D02D3" w14:textId="77777777">
          <w:pPr>
            <w:pStyle w:val="Rubrik1"/>
            <w:spacing w:after="300"/>
          </w:pPr>
          <w:r w:rsidRPr="009B062B">
            <w:t>Förslag till riksdagsbeslut</w:t>
          </w:r>
        </w:p>
      </w:sdtContent>
    </w:sdt>
    <w:sdt>
      <w:sdtPr>
        <w:alias w:val="Yrkande 1"/>
        <w:tag w:val="8a1c8c6d-8609-4bff-937a-51e99c4a0926"/>
        <w:id w:val="-1156831024"/>
        <w:lock w:val="sdtLocked"/>
      </w:sdtPr>
      <w:sdtEndPr/>
      <w:sdtContent>
        <w:p w:rsidR="003557C2" w:rsidRDefault="00AF5B7C" w14:paraId="262D02D4" w14:textId="77777777">
          <w:pPr>
            <w:pStyle w:val="Frslagstext"/>
          </w:pPr>
          <w:r>
            <w:t>Riksdagen ställer sig bakom det som anförs i motionen om en särskild redovisning i skrivelse 70 av det internationella samarbetet i försvarsunderrättelseverksamheten och tillkännager detta för regeringen.</w:t>
          </w:r>
        </w:p>
      </w:sdtContent>
    </w:sdt>
    <w:sdt>
      <w:sdtPr>
        <w:alias w:val="Yrkande 2"/>
        <w:tag w:val="d88c6e24-8737-4ccc-b0b4-c2bb92787935"/>
        <w:id w:val="253789562"/>
        <w:lock w:val="sdtLocked"/>
      </w:sdtPr>
      <w:sdtEndPr/>
      <w:sdtContent>
        <w:p w:rsidR="003557C2" w:rsidRDefault="00AF5B7C" w14:paraId="262D02D5" w14:textId="77777777">
          <w:pPr>
            <w:pStyle w:val="Frslagstext"/>
          </w:pPr>
          <w:r>
            <w:t>Riksdagen ställer sig bakom det som anförs i motionen om att särskilt beakta integritetsfrågorna i den kommande helhetsöversynen av signalspaningslagen och tillkännager detta för regeringen.</w:t>
          </w:r>
        </w:p>
      </w:sdtContent>
    </w:sdt>
    <w:sdt>
      <w:sdtPr>
        <w:alias w:val="Yrkande 3"/>
        <w:tag w:val="ab326ec7-de3b-45c5-96b8-faf097ffedde"/>
        <w:id w:val="-379325494"/>
        <w:lock w:val="sdtLocked"/>
      </w:sdtPr>
      <w:sdtEndPr/>
      <w:sdtContent>
        <w:p w:rsidR="003557C2" w:rsidRDefault="00AF5B7C" w14:paraId="262D02D6" w14:textId="77777777">
          <w:pPr>
            <w:pStyle w:val="Frslagstext"/>
          </w:pPr>
          <w:r>
            <w:t>Riksdagen ställer sig bakom det som anförs i motionen om att helhetsöversynen av signalspaningslagen ska påbörjas skyndsamt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B42DBF37C5F44CBA5337509D1A3D0DD"/>
        </w:placeholder>
        <w:text/>
      </w:sdtPr>
      <w:sdtEndPr/>
      <w:sdtContent>
        <w:p w:rsidRPr="009B062B" w:rsidR="006D79C9" w:rsidP="00333E95" w:rsidRDefault="006D79C9" w14:paraId="262D02D7" w14:textId="77777777">
          <w:pPr>
            <w:pStyle w:val="Rubrik1"/>
          </w:pPr>
          <w:r>
            <w:t>Motivering</w:t>
          </w:r>
        </w:p>
      </w:sdtContent>
    </w:sdt>
    <w:p w:rsidRPr="00947506" w:rsidR="0064306B" w:rsidP="0064306B" w:rsidRDefault="0064306B" w14:paraId="262D02D8" w14:textId="7BF079A6">
      <w:pPr>
        <w:pStyle w:val="Normalutanindragellerluft"/>
      </w:pPr>
      <w:r w:rsidRPr="00947506">
        <w:t xml:space="preserve">Säkerhetsläget </w:t>
      </w:r>
      <w:r w:rsidRPr="00947506" w:rsidR="00585B97">
        <w:t xml:space="preserve">såväl </w:t>
      </w:r>
      <w:r w:rsidRPr="00947506">
        <w:t>i Sveriges närområde som globalt fortsätter att försämras. Tradi</w:t>
      </w:r>
      <w:r w:rsidR="00765DCC">
        <w:softHyphen/>
      </w:r>
      <w:r w:rsidRPr="00947506">
        <w:t>tionella militära hot existerar parallellt med hybridhot som cyberattacker, desinforma</w:t>
      </w:r>
      <w:r w:rsidR="00765DCC">
        <w:softHyphen/>
      </w:r>
      <w:r w:rsidRPr="00947506">
        <w:t>tion och ekonomisk påverkan. Fortsatt sönderfall och radikalisering gör att det finns ett påtagligt terrorhot mot Sverige. Polarisering i vårt eget samhälle bidrar till den ökande osäkerheten.</w:t>
      </w:r>
    </w:p>
    <w:p w:rsidRPr="00947506" w:rsidR="0064306B" w:rsidP="0064306B" w:rsidRDefault="0064306B" w14:paraId="262D02D9" w14:textId="5377D61B">
      <w:r w:rsidRPr="00947506">
        <w:t>Utifrån det rådande säkerhetsläget behöver Sveriges försvarsförmåga stärkas. En bättre underrättelseförmåga</w:t>
      </w:r>
      <w:r w:rsidR="00542884">
        <w:t>,</w:t>
      </w:r>
      <w:r w:rsidRPr="00947506">
        <w:t xml:space="preserve"> inklusive </w:t>
      </w:r>
      <w:r w:rsidR="00542884">
        <w:t>ökade</w:t>
      </w:r>
      <w:r w:rsidRPr="00947506">
        <w:t xml:space="preserve"> förutsättningar för att bedriva signal</w:t>
      </w:r>
      <w:r w:rsidR="00765DCC">
        <w:softHyphen/>
      </w:r>
      <w:r w:rsidRPr="00947506">
        <w:t>spaning</w:t>
      </w:r>
      <w:r w:rsidR="00542884">
        <w:t>,</w:t>
      </w:r>
      <w:r w:rsidRPr="00947506">
        <w:t xml:space="preserve"> är avgörande för detta. Vi behöver ha bättre kunskap om de hot, risker och sårbarheter som finns mot Sveriges säkerhet.</w:t>
      </w:r>
    </w:p>
    <w:p w:rsidR="0064306B" w:rsidP="0064306B" w:rsidRDefault="0064306B" w14:paraId="262D02DA" w14:textId="78500367">
      <w:r w:rsidRPr="00947506">
        <w:t xml:space="preserve">Hoten mot Sverige är gränsöverskridande och vi måste möta dem tillsammans med andra likasinnade länder. Därför är det internationella försvarsunderrättelsesamarbetet avgörande för Sveriges säkerhet. Moderaterna och Kristdemokraterna välkomnar därför att möjligheterna till internationellt samarbete gällande försvarsunderrättelse förstärks. </w:t>
      </w:r>
      <w:r w:rsidRPr="00947506">
        <w:lastRenderedPageBreak/>
        <w:t xml:space="preserve">Det kommer att ge oss bättre förutsättningar </w:t>
      </w:r>
      <w:r>
        <w:t xml:space="preserve">att tillsammans med andra i ett tidigt stadium kunna identifiera och möta </w:t>
      </w:r>
      <w:r w:rsidR="00585B97">
        <w:t>t.ex.</w:t>
      </w:r>
      <w:r>
        <w:t xml:space="preserve"> militära hot, hybridhot och terrorattentat.</w:t>
      </w:r>
    </w:p>
    <w:p w:rsidR="0064306B" w:rsidP="0064306B" w:rsidRDefault="0064306B" w14:paraId="262D02DB" w14:textId="375DACF1">
      <w:r w:rsidRPr="00947506">
        <w:t xml:space="preserve">Sverige har </w:t>
      </w:r>
      <w:r>
        <w:t>i</w:t>
      </w:r>
      <w:r w:rsidR="00585B97">
        <w:t xml:space="preserve"> </w:t>
      </w:r>
      <w:r>
        <w:t>dag en hårt reglerad</w:t>
      </w:r>
      <w:r w:rsidRPr="00947506">
        <w:t xml:space="preserve"> signalunderrättelsetjänst</w:t>
      </w:r>
      <w:r>
        <w:t xml:space="preserve"> med tydliga regler kring tillståndsgivning och uppföljning. Tillstånd för att bedriva signalspaning prövas av Försvarsunderrättelsedomstolen. </w:t>
      </w:r>
      <w:r w:rsidRPr="00881B1D">
        <w:t>Av ett tillstånd ska framgå</w:t>
      </w:r>
      <w:r>
        <w:t xml:space="preserve"> </w:t>
      </w:r>
      <w:r w:rsidR="00585B97">
        <w:t>bl.a.</w:t>
      </w:r>
      <w:r w:rsidRPr="00881B1D">
        <w:t xml:space="preserve"> det inhämtnings</w:t>
      </w:r>
      <w:r w:rsidR="00765DCC">
        <w:softHyphen/>
      </w:r>
      <w:r w:rsidRPr="00881B1D">
        <w:t>uppdrag för vilket signalspaning får ske, vilka signalbärare och sökbegrepp som får användas samt vilka villkor i övrigt som behövs för att begränsa intrånget i enskildas personliga integritet.</w:t>
      </w:r>
      <w:r>
        <w:t xml:space="preserve"> </w:t>
      </w:r>
      <w:r w:rsidRPr="00FE21D4">
        <w:t>Integritetsskyddsmyndigheten är tillsynsmyndighet när det gäller personuppgiftsbehandlingen vid domstolen.</w:t>
      </w:r>
    </w:p>
    <w:p w:rsidRPr="00FE21D4" w:rsidR="0064306B" w:rsidP="0064306B" w:rsidRDefault="0064306B" w14:paraId="262D02DC" w14:textId="77777777">
      <w:r w:rsidRPr="00FE21D4">
        <w:t>Statens inspektion för försvarsunderrättelseverksamheten (Siun) är den myndighet som har till uppgift att kontrollera att den försvarsunderrättelseverksamhet som bedrivs av Försvarsmakten, Försvarets radioanstalt, Försvarets materielverk och Totalförsvarets forskningsinstitut sker i enlighet med det av riksdagen och regeringen fastställda regelverket.</w:t>
      </w:r>
    </w:p>
    <w:p w:rsidR="0064306B" w:rsidP="0064306B" w:rsidRDefault="0064306B" w14:paraId="262D02DD" w14:textId="77777777">
      <w:r w:rsidRPr="00FE21D4">
        <w:t xml:space="preserve">På </w:t>
      </w:r>
      <w:r w:rsidR="00542884">
        <w:t>Försvarets radioanstalt (</w:t>
      </w:r>
      <w:r w:rsidRPr="00FE21D4">
        <w:t>FRA</w:t>
      </w:r>
      <w:r w:rsidR="00542884">
        <w:t>)</w:t>
      </w:r>
      <w:r w:rsidRPr="00FE21D4">
        <w:t xml:space="preserve"> finns ett integritetsskyddsråd där ledamöterna i rådet tillsätts av regeringen</w:t>
      </w:r>
      <w:r>
        <w:t xml:space="preserve"> </w:t>
      </w:r>
      <w:r w:rsidRPr="00FE21D4">
        <w:t>som följer hur FRA tar hand om integritetsfrågorna.</w:t>
      </w:r>
    </w:p>
    <w:p w:rsidR="0064306B" w:rsidP="0064306B" w:rsidRDefault="0064306B" w14:paraId="262D02DE" w14:textId="22988B29">
      <w:r>
        <w:t xml:space="preserve">Det starka integritetsskyddet gäller även det internationella samarbetet. </w:t>
      </w:r>
      <w:r w:rsidRPr="00C711D2">
        <w:t>Regeringen ska bestämma inriktningen av sådan signalspaning som bedrivs inom ramen för signal</w:t>
      </w:r>
      <w:r w:rsidR="00D358F8">
        <w:softHyphen/>
      </w:r>
      <w:r w:rsidRPr="00C711D2">
        <w:t xml:space="preserve">spaningsmyndighetens </w:t>
      </w:r>
      <w:bookmarkStart w:name="_Hlk83564368" w:id="1"/>
      <w:r w:rsidRPr="00C711D2">
        <w:t>internationella samarbete i försvarsunderrättelseverksamheten</w:t>
      </w:r>
      <w:bookmarkEnd w:id="1"/>
      <w:r w:rsidRPr="00C711D2">
        <w:t xml:space="preserve">. </w:t>
      </w:r>
      <w:r>
        <w:t xml:space="preserve">Till detta kommer att signalspaning gällande internationellt samarbete, som annan signalspaning, kommer </w:t>
      </w:r>
      <w:r w:rsidR="00585B97">
        <w:t xml:space="preserve">att </w:t>
      </w:r>
      <w:r>
        <w:t>vara föremål för tillståndsgivning från Försvars</w:t>
      </w:r>
      <w:bookmarkStart w:name="_GoBack" w:id="2"/>
      <w:bookmarkEnd w:id="2"/>
      <w:r>
        <w:t>underrättelse</w:t>
      </w:r>
      <w:r w:rsidR="00D358F8">
        <w:softHyphen/>
      </w:r>
      <w:r>
        <w:t>domstolen och följas upp av Siun. Myndigheten</w:t>
      </w:r>
      <w:r w:rsidRPr="00054549">
        <w:t xml:space="preserve"> har mandat att avbryta en inhämtning eller besluta om förstöring av en upptagning eller uppteckning om det skulle visa sig att inhämtningen som gjorts inte har varit förenlig med det tillstånd som meddelats av Försvarsunderrättelsedomstolen.</w:t>
      </w:r>
    </w:p>
    <w:p w:rsidR="0064306B" w:rsidP="0064306B" w:rsidRDefault="0064306B" w14:paraId="262D02DF" w14:textId="58F8003D">
      <w:r>
        <w:t xml:space="preserve">Siun pekar dock på att det faktum att </w:t>
      </w:r>
      <w:r w:rsidRPr="00A741A1">
        <w:t>utländsk underrättelse- eller säkerhetstjänst få</w:t>
      </w:r>
      <w:r>
        <w:t>r</w:t>
      </w:r>
      <w:r w:rsidRPr="00A741A1">
        <w:t xml:space="preserve"> medges direktåtkomst hos Försvarsmakten till personuppgifter som behandlas i för</w:t>
      </w:r>
      <w:r w:rsidR="00765DCC">
        <w:softHyphen/>
      </w:r>
      <w:r w:rsidRPr="00A741A1">
        <w:t>svarsunderrättelseverksamheten och som finns i uppgiftssamlingar</w:t>
      </w:r>
      <w:r>
        <w:t xml:space="preserve"> </w:t>
      </w:r>
      <w:r w:rsidRPr="00A741A1">
        <w:t>skapar risk för ett ökat integritetsintrång för enskilda</w:t>
      </w:r>
      <w:r>
        <w:t>.</w:t>
      </w:r>
    </w:p>
    <w:p w:rsidR="0064306B" w:rsidP="0064306B" w:rsidRDefault="0064306B" w14:paraId="262D02E0" w14:textId="3D2DFCA7">
      <w:r>
        <w:t>Moderaterna och Kristdemokraterna anser därför att det är viktigt att det interna</w:t>
      </w:r>
      <w:r w:rsidR="00765DCC">
        <w:softHyphen/>
      </w:r>
      <w:r>
        <w:t>tionella samarbetet i försvarsunderrättelseverksamheten följs upp särskilt noga.</w:t>
      </w:r>
    </w:p>
    <w:p w:rsidR="0064306B" w:rsidP="0064306B" w:rsidRDefault="0064306B" w14:paraId="262D02E1" w14:textId="15258DF4">
      <w:r>
        <w:t xml:space="preserve">Varje år redovisar regeringen den </w:t>
      </w:r>
      <w:r w:rsidR="00585B97">
        <w:t>s.k.</w:t>
      </w:r>
      <w:r>
        <w:t xml:space="preserve"> skrivelse 70 (</w:t>
      </w:r>
      <w:r w:rsidRPr="00054549">
        <w:t>Integritetsskydd vid signal</w:t>
      </w:r>
      <w:r w:rsidR="00765DCC">
        <w:softHyphen/>
      </w:r>
      <w:r w:rsidRPr="00054549">
        <w:t>spaning i försvarsunderrättelseverksamhet</w:t>
      </w:r>
      <w:r>
        <w:t xml:space="preserve">) för riksdagen. Den är en del i de </w:t>
      </w:r>
      <w:r w:rsidRPr="00054549">
        <w:t>rätts</w:t>
      </w:r>
      <w:r w:rsidR="00765DCC">
        <w:softHyphen/>
      </w:r>
      <w:r w:rsidRPr="00054549">
        <w:t>säkerhets- och kontrollmekanismer</w:t>
      </w:r>
      <w:r>
        <w:t xml:space="preserve"> som infördes när den nya signalspaningslagen beslutades 2008. I skrivelsen redovisas den granskning som Siun har gjort av signal</w:t>
      </w:r>
      <w:r w:rsidR="00765DCC">
        <w:softHyphen/>
      </w:r>
      <w:r>
        <w:t xml:space="preserve">spaningen under det gångna året och huruvida den har följt gällande lagstiftning. </w:t>
      </w:r>
    </w:p>
    <w:p w:rsidR="0064306B" w:rsidP="0064306B" w:rsidRDefault="0064306B" w14:paraId="262D02E2" w14:textId="5CC3880E">
      <w:r>
        <w:t>I samband med att skrivelsen behandlas i försvarsutskottet har riksdagspartierna möjlighet att ta del av Siuns granskning samt att lägga följdmotioner med tilläggs</w:t>
      </w:r>
      <w:r w:rsidR="00765DCC">
        <w:softHyphen/>
      </w:r>
      <w:r>
        <w:t>förslag. Även det internationella samarbetet kommer i framtiden</w:t>
      </w:r>
      <w:r w:rsidR="00585B97">
        <w:t xml:space="preserve"> att</w:t>
      </w:r>
      <w:r>
        <w:t xml:space="preserve"> bli en del av denna granskning.</w:t>
      </w:r>
    </w:p>
    <w:p w:rsidR="0064306B" w:rsidP="0064306B" w:rsidRDefault="0064306B" w14:paraId="262D02E3" w14:textId="544766B0">
      <w:r>
        <w:t xml:space="preserve">Moderaterna och Kristdemokraterna vill därför att granskningen av det </w:t>
      </w:r>
      <w:r w:rsidRPr="008A286E">
        <w:t>interna</w:t>
      </w:r>
      <w:r w:rsidR="00765DCC">
        <w:softHyphen/>
      </w:r>
      <w:r w:rsidRPr="008A286E">
        <w:t>tionella samarbete</w:t>
      </w:r>
      <w:r>
        <w:t>t</w:t>
      </w:r>
      <w:r w:rsidRPr="008A286E">
        <w:t xml:space="preserve"> i försvarsunderrättelseverksamheten</w:t>
      </w:r>
      <w:r>
        <w:t xml:space="preserve"> tydligt särredovisas framgent i skrivelse 70.</w:t>
      </w:r>
    </w:p>
    <w:p w:rsidR="0064306B" w:rsidP="0064306B" w:rsidRDefault="0064306B" w14:paraId="262D02E4" w14:textId="44CE4E3C">
      <w:r>
        <w:t xml:space="preserve">Vi vill även peka på vikten av den helhetsöversyn </w:t>
      </w:r>
      <w:r w:rsidR="00585B97">
        <w:t xml:space="preserve">av </w:t>
      </w:r>
      <w:r>
        <w:t xml:space="preserve">signalspaningslagen som ska göras i närtid. </w:t>
      </w:r>
      <w:r w:rsidRPr="001D24B1">
        <w:t xml:space="preserve">Lagen (2008:717) om signalspaning i försvarsunderrättelseverksamhet (signalspaningslagen) är nu mer än tio år gammal. Även om lagstiftningen sedan dess har genomgått vissa förändringar finns nu skäl att göra en bred översyn. Den ökade digitaliseringen har medfört större risker och sårbarheter inom cyberarenan och det </w:t>
      </w:r>
      <w:r w:rsidRPr="001D24B1">
        <w:lastRenderedPageBreak/>
        <w:t>förekommer omfattande informationsoperationer av främmande makt</w:t>
      </w:r>
      <w:r>
        <w:t>. Nya aktörer har tillkommit</w:t>
      </w:r>
      <w:r w:rsidR="00585B97">
        <w:t>,</w:t>
      </w:r>
      <w:r>
        <w:t xml:space="preserve"> som myndigheten för psykologiskt försvar</w:t>
      </w:r>
      <w:r w:rsidR="00585B97">
        <w:t>,</w:t>
      </w:r>
      <w:r>
        <w:t xml:space="preserve"> vilka kan ha behov av att inrikta signalspaning</w:t>
      </w:r>
      <w:r w:rsidR="00585B97">
        <w:t>,</w:t>
      </w:r>
      <w:r>
        <w:t xml:space="preserve"> och andra aktörer som </w:t>
      </w:r>
      <w:r w:rsidRPr="00E85391">
        <w:t xml:space="preserve">Inspektionen för strategiska produkter </w:t>
      </w:r>
      <w:r>
        <w:t>(ISP) har fått förändrade uppdrag som kräver en bättre lägesbild.</w:t>
      </w:r>
    </w:p>
    <w:p w:rsidR="0064306B" w:rsidP="0064306B" w:rsidRDefault="0064306B" w14:paraId="262D02E5" w14:textId="40EEFA1E">
      <w:r>
        <w:t>Integritetsfrågorna generellt och de som är kopplade till det internationella sam</w:t>
      </w:r>
      <w:r w:rsidR="00765DCC">
        <w:softHyphen/>
      </w:r>
      <w:r>
        <w:t>arbetet specifikt måste bli en viktig del av den kommande översynen av signalspanings</w:t>
      </w:r>
      <w:r w:rsidR="00765DCC">
        <w:softHyphen/>
      </w:r>
      <w:r>
        <w:t>lagen.</w:t>
      </w:r>
    </w:p>
    <w:p w:rsidR="0064306B" w:rsidP="0064306B" w:rsidRDefault="0064306B" w14:paraId="262D02E6" w14:textId="2AFE36BA">
      <w:r>
        <w:t>Vidare är det viktigt att helhetsöversynen av signalspaningslagen påbörjas skynd</w:t>
      </w:r>
      <w:r w:rsidR="00765DCC">
        <w:softHyphen/>
      </w:r>
      <w:r>
        <w:t>samt med tanke på det försämrade omvärldsläget. Försvarsminister Peter Hultqvist var ute i medi</w:t>
      </w:r>
      <w:r w:rsidR="00585B97">
        <w:t>erna</w:t>
      </w:r>
      <w:r>
        <w:t xml:space="preserve"> redan den 20 oktober 2020 och berättade att regeringen skulle tillsätta en utredning som ska ta ett helhetsgrepp på signalspaningslagen. Sedan dess har dock inga utredningsdirektiv presenterats.</w:t>
      </w:r>
    </w:p>
    <w:p w:rsidR="00BB6339" w:rsidP="008E0FE2" w:rsidRDefault="0064306B" w14:paraId="262D02E7" w14:textId="758651A3">
      <w:pPr>
        <w:pStyle w:val="Normalutanindragellerluft"/>
      </w:pPr>
      <w:r>
        <w:t>Signalspaning är ett av de viktigare verktygen för svensk säkerhets- och underrättelse</w:t>
      </w:r>
      <w:r w:rsidR="00765DCC">
        <w:softHyphen/>
      </w:r>
      <w:r>
        <w:t>tjänst och ytterst något som stärker svensk säkerhet i en orolig omvärld. Samtidigt är det ett verktyg som måste användas med stor respekt för den personliga integriteten. Signalspaningen måste därför omgärdas av ett strikt och transparent regelverk som garanterar detta.</w:t>
      </w:r>
    </w:p>
    <w:sdt>
      <w:sdtPr>
        <w:alias w:val="CC_Underskrifter"/>
        <w:tag w:val="CC_Underskrifter"/>
        <w:id w:val="583496634"/>
        <w:lock w:val="sdtContentLocked"/>
        <w:placeholder>
          <w:docPart w:val="114067C3FF124D1C85E9559F27C70F14"/>
        </w:placeholder>
      </w:sdtPr>
      <w:sdtEndPr/>
      <w:sdtContent>
        <w:p w:rsidR="00272A65" w:rsidP="0071627F" w:rsidRDefault="00272A65" w14:paraId="262D02E8" w14:textId="77777777"/>
        <w:p w:rsidRPr="008E0FE2" w:rsidR="004801AC" w:rsidP="0071627F" w:rsidRDefault="00D358F8" w14:paraId="262D02E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Pål Jonson (M)</w:t>
            </w:r>
          </w:p>
        </w:tc>
        <w:tc>
          <w:tcPr>
            <w:tcW w:w="50" w:type="pct"/>
            <w:vAlign w:val="bottom"/>
          </w:tcPr>
          <w:p>
            <w:pPr>
              <w:pStyle w:val="Underskrifter"/>
            </w:pPr>
            <w:r>
              <w:t> </w:t>
            </w:r>
          </w:p>
        </w:tc>
      </w:tr>
      <w:tr>
        <w:trPr>
          <w:cantSplit/>
        </w:trPr>
        <w:tc>
          <w:tcPr>
            <w:tcW w:w="50" w:type="pct"/>
            <w:vAlign w:val="bottom"/>
          </w:tcPr>
          <w:p>
            <w:pPr>
              <w:pStyle w:val="Underskrifter"/>
              <w:spacing w:after="0"/>
            </w:pPr>
            <w:r>
              <w:t>Mikael Oscarsson (KD)</w:t>
            </w:r>
          </w:p>
        </w:tc>
        <w:tc>
          <w:tcPr>
            <w:tcW w:w="50" w:type="pct"/>
            <w:vAlign w:val="bottom"/>
          </w:tcPr>
          <w:p>
            <w:pPr>
              <w:pStyle w:val="Underskrifter"/>
              <w:spacing w:after="0"/>
            </w:pPr>
            <w:r>
              <w:t>Jan R Andersson (M)</w:t>
            </w:r>
          </w:p>
        </w:tc>
      </w:tr>
      <w:tr>
        <w:trPr>
          <w:cantSplit/>
        </w:trPr>
        <w:tc>
          <w:tcPr>
            <w:tcW w:w="50" w:type="pct"/>
            <w:vAlign w:val="bottom"/>
          </w:tcPr>
          <w:p>
            <w:pPr>
              <w:pStyle w:val="Underskrifter"/>
              <w:spacing w:after="0"/>
            </w:pPr>
            <w:r>
              <w:t>Jörgen Berglund (M)</w:t>
            </w:r>
          </w:p>
        </w:tc>
        <w:tc>
          <w:tcPr>
            <w:tcW w:w="50" w:type="pct"/>
            <w:vAlign w:val="bottom"/>
          </w:tcPr>
          <w:p>
            <w:pPr>
              <w:pStyle w:val="Underskrifter"/>
              <w:spacing w:after="0"/>
            </w:pPr>
            <w:r>
              <w:t>Alexandra Anstrell (M)</w:t>
            </w:r>
          </w:p>
        </w:tc>
      </w:tr>
      <w:tr>
        <w:trPr>
          <w:cantSplit/>
        </w:trPr>
        <w:tc>
          <w:tcPr>
            <w:tcW w:w="50" w:type="pct"/>
            <w:vAlign w:val="bottom"/>
          </w:tcPr>
          <w:p>
            <w:pPr>
              <w:pStyle w:val="Underskrifter"/>
              <w:spacing w:after="0"/>
            </w:pPr>
            <w:r>
              <w:t>Lars Adaktusson (KD)</w:t>
            </w:r>
          </w:p>
        </w:tc>
        <w:tc>
          <w:tcPr>
            <w:tcW w:w="50" w:type="pct"/>
            <w:vAlign w:val="bottom"/>
          </w:tcPr>
          <w:p>
            <w:pPr>
              <w:pStyle w:val="Underskrifter"/>
              <w:spacing w:after="0"/>
            </w:pPr>
            <w:r>
              <w:t>Jessika Roswall (M)</w:t>
            </w:r>
          </w:p>
        </w:tc>
      </w:tr>
    </w:tbl>
    <w:p w:rsidR="001F32FC" w:rsidRDefault="001F32FC" w14:paraId="262D02F6" w14:textId="77777777"/>
    <w:sectPr w:rsidR="001F32F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2D02F8" w14:textId="77777777" w:rsidR="0064306B" w:rsidRDefault="0064306B" w:rsidP="000C1CAD">
      <w:pPr>
        <w:spacing w:line="240" w:lineRule="auto"/>
      </w:pPr>
      <w:r>
        <w:separator/>
      </w:r>
    </w:p>
  </w:endnote>
  <w:endnote w:type="continuationSeparator" w:id="0">
    <w:p w14:paraId="262D02F9" w14:textId="77777777" w:rsidR="0064306B" w:rsidRDefault="006430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D02F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D02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D0307" w14:textId="77777777" w:rsidR="00262EA3" w:rsidRPr="0071627F" w:rsidRDefault="00262EA3" w:rsidP="007162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2D02F6" w14:textId="77777777" w:rsidR="0064306B" w:rsidRDefault="0064306B" w:rsidP="000C1CAD">
      <w:pPr>
        <w:spacing w:line="240" w:lineRule="auto"/>
      </w:pPr>
      <w:r>
        <w:separator/>
      </w:r>
    </w:p>
  </w:footnote>
  <w:footnote w:type="continuationSeparator" w:id="0">
    <w:p w14:paraId="262D02F7" w14:textId="77777777" w:rsidR="0064306B" w:rsidRDefault="0064306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62D02F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2D0309" wp14:anchorId="262D03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358F8" w14:paraId="262D030C" w14:textId="77777777">
                          <w:pPr>
                            <w:jc w:val="right"/>
                          </w:pPr>
                          <w:sdt>
                            <w:sdtPr>
                              <w:alias w:val="CC_Noformat_Partikod"/>
                              <w:tag w:val="CC_Noformat_Partikod"/>
                              <w:id w:val="-53464382"/>
                              <w:placeholder>
                                <w:docPart w:val="1B077B3140D64EDF8A9467D98A8690EF"/>
                              </w:placeholder>
                              <w:text/>
                            </w:sdtPr>
                            <w:sdtEndPr/>
                            <w:sdtContent>
                              <w:r w:rsidR="00272A65">
                                <w:t>-</w:t>
                              </w:r>
                            </w:sdtContent>
                          </w:sdt>
                          <w:sdt>
                            <w:sdtPr>
                              <w:alias w:val="CC_Noformat_Partinummer"/>
                              <w:tag w:val="CC_Noformat_Partinummer"/>
                              <w:id w:val="-1709555926"/>
                              <w:placeholder>
                                <w:docPart w:val="81F8C34C547F45BCB49214393C00F72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2D030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358F8" w14:paraId="262D030C" w14:textId="77777777">
                    <w:pPr>
                      <w:jc w:val="right"/>
                    </w:pPr>
                    <w:sdt>
                      <w:sdtPr>
                        <w:alias w:val="CC_Noformat_Partikod"/>
                        <w:tag w:val="CC_Noformat_Partikod"/>
                        <w:id w:val="-53464382"/>
                        <w:placeholder>
                          <w:docPart w:val="1B077B3140D64EDF8A9467D98A8690EF"/>
                        </w:placeholder>
                        <w:text/>
                      </w:sdtPr>
                      <w:sdtEndPr/>
                      <w:sdtContent>
                        <w:r w:rsidR="00272A65">
                          <w:t>-</w:t>
                        </w:r>
                      </w:sdtContent>
                    </w:sdt>
                    <w:sdt>
                      <w:sdtPr>
                        <w:alias w:val="CC_Noformat_Partinummer"/>
                        <w:tag w:val="CC_Noformat_Partinummer"/>
                        <w:id w:val="-1709555926"/>
                        <w:placeholder>
                          <w:docPart w:val="81F8C34C547F45BCB49214393C00F72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62D02F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62D02FC" w14:textId="77777777">
    <w:pPr>
      <w:jc w:val="right"/>
    </w:pPr>
  </w:p>
  <w:p w:rsidR="00262EA3" w:rsidP="00776B74" w:rsidRDefault="00262EA3" w14:paraId="262D02F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358F8" w14:paraId="262D030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62D030B" wp14:anchorId="262D03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358F8" w14:paraId="262D030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272A65">
          <w:t>-</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358F8" w14:paraId="262D030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358F8" w14:paraId="262D030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:983</w:t>
        </w:r>
      </w:sdtContent>
    </w:sdt>
  </w:p>
  <w:p w:rsidR="00262EA3" w:rsidP="00E03A3D" w:rsidRDefault="00D358F8" w14:paraId="262D0304" w14:textId="77777777">
    <w:pPr>
      <w:pStyle w:val="Motionr"/>
    </w:pPr>
    <w:sdt>
      <w:sdtPr>
        <w:alias w:val="CC_Noformat_Avtext"/>
        <w:tag w:val="CC_Noformat_Avtext"/>
        <w:id w:val="-2020768203"/>
        <w:lock w:val="sdtContentLocked"/>
        <w15:appearance w15:val="hidden"/>
        <w:text/>
      </w:sdtPr>
      <w:sdtEndPr/>
      <w:sdtContent>
        <w:r>
          <w:t>av Pål Jonson m.fl. (M, KD)</w:t>
        </w:r>
      </w:sdtContent>
    </w:sdt>
  </w:p>
  <w:sdt>
    <w:sdtPr>
      <w:alias w:val="CC_Noformat_Rubtext"/>
      <w:tag w:val="CC_Noformat_Rubtext"/>
      <w:id w:val="-218060500"/>
      <w:lock w:val="sdtLocked"/>
      <w:text/>
    </w:sdtPr>
    <w:sdtEndPr/>
    <w:sdtContent>
      <w:p w:rsidR="00262EA3" w:rsidP="00283E0F" w:rsidRDefault="0064306B" w14:paraId="262D0305" w14:textId="77777777">
        <w:pPr>
          <w:pStyle w:val="FSHRub2"/>
        </w:pPr>
        <w:r>
          <w:t>med anledning av prop. 2020/21:224 Behandling av personuppgifter vid Försvarsmakten och Försvarets radioanstalt</w:t>
        </w:r>
      </w:p>
    </w:sdtContent>
  </w:sdt>
  <w:sdt>
    <w:sdtPr>
      <w:alias w:val="CC_Boilerplate_3"/>
      <w:tag w:val="CC_Boilerplate_3"/>
      <w:id w:val="1606463544"/>
      <w:lock w:val="sdtContentLocked"/>
      <w15:appearance w15:val="hidden"/>
      <w:text w:multiLine="1"/>
    </w:sdtPr>
    <w:sdtEndPr/>
    <w:sdtContent>
      <w:p w:rsidR="00262EA3" w:rsidP="00283E0F" w:rsidRDefault="00262EA3" w14:paraId="262D030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4306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4E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C8E"/>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2FC"/>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A6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7C2"/>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884"/>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B97"/>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06B"/>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27F"/>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5DCC"/>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5B7C"/>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8F8"/>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25A"/>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62D02D2"/>
  <w15:chartTrackingRefBased/>
  <w15:docId w15:val="{75C0F0FC-9F22-4FA6-9DB9-41166FDAF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60B442EA5DD4A39930A629541972525"/>
        <w:category>
          <w:name w:val="Allmänt"/>
          <w:gallery w:val="placeholder"/>
        </w:category>
        <w:types>
          <w:type w:val="bbPlcHdr"/>
        </w:types>
        <w:behaviors>
          <w:behavior w:val="content"/>
        </w:behaviors>
        <w:guid w:val="{EE632BE4-B979-4DE7-9DE8-0A278266E604}"/>
      </w:docPartPr>
      <w:docPartBody>
        <w:p w:rsidR="00AB47BD" w:rsidRDefault="00AB47BD">
          <w:pPr>
            <w:pStyle w:val="860B442EA5DD4A39930A629541972525"/>
          </w:pPr>
          <w:r w:rsidRPr="005A0A93">
            <w:rPr>
              <w:rStyle w:val="Platshllartext"/>
            </w:rPr>
            <w:t>Förslag till riksdagsbeslut</w:t>
          </w:r>
        </w:p>
      </w:docPartBody>
    </w:docPart>
    <w:docPart>
      <w:docPartPr>
        <w:name w:val="AB42DBF37C5F44CBA5337509D1A3D0DD"/>
        <w:category>
          <w:name w:val="Allmänt"/>
          <w:gallery w:val="placeholder"/>
        </w:category>
        <w:types>
          <w:type w:val="bbPlcHdr"/>
        </w:types>
        <w:behaviors>
          <w:behavior w:val="content"/>
        </w:behaviors>
        <w:guid w:val="{66135CA9-74BE-4AE3-8BAC-42B9181637BD}"/>
      </w:docPartPr>
      <w:docPartBody>
        <w:p w:rsidR="00AB47BD" w:rsidRDefault="00AB47BD">
          <w:pPr>
            <w:pStyle w:val="AB42DBF37C5F44CBA5337509D1A3D0DD"/>
          </w:pPr>
          <w:r w:rsidRPr="005A0A93">
            <w:rPr>
              <w:rStyle w:val="Platshllartext"/>
            </w:rPr>
            <w:t>Motivering</w:t>
          </w:r>
        </w:p>
      </w:docPartBody>
    </w:docPart>
    <w:docPart>
      <w:docPartPr>
        <w:name w:val="1B077B3140D64EDF8A9467D98A8690EF"/>
        <w:category>
          <w:name w:val="Allmänt"/>
          <w:gallery w:val="placeholder"/>
        </w:category>
        <w:types>
          <w:type w:val="bbPlcHdr"/>
        </w:types>
        <w:behaviors>
          <w:behavior w:val="content"/>
        </w:behaviors>
        <w:guid w:val="{495B7311-2263-433E-8499-CA4D3D7763CF}"/>
      </w:docPartPr>
      <w:docPartBody>
        <w:p w:rsidR="00AB47BD" w:rsidRDefault="00AB47BD">
          <w:pPr>
            <w:pStyle w:val="1B077B3140D64EDF8A9467D98A8690EF"/>
          </w:pPr>
          <w:r>
            <w:rPr>
              <w:rStyle w:val="Platshllartext"/>
            </w:rPr>
            <w:t xml:space="preserve"> </w:t>
          </w:r>
        </w:p>
      </w:docPartBody>
    </w:docPart>
    <w:docPart>
      <w:docPartPr>
        <w:name w:val="81F8C34C547F45BCB49214393C00F720"/>
        <w:category>
          <w:name w:val="Allmänt"/>
          <w:gallery w:val="placeholder"/>
        </w:category>
        <w:types>
          <w:type w:val="bbPlcHdr"/>
        </w:types>
        <w:behaviors>
          <w:behavior w:val="content"/>
        </w:behaviors>
        <w:guid w:val="{D59D1C4A-FF49-4FAD-93C6-724AAE789D53}"/>
      </w:docPartPr>
      <w:docPartBody>
        <w:p w:rsidR="00AB47BD" w:rsidRDefault="00AB47BD">
          <w:pPr>
            <w:pStyle w:val="81F8C34C547F45BCB49214393C00F720"/>
          </w:pPr>
          <w:r>
            <w:t xml:space="preserve"> </w:t>
          </w:r>
        </w:p>
      </w:docPartBody>
    </w:docPart>
    <w:docPart>
      <w:docPartPr>
        <w:name w:val="114067C3FF124D1C85E9559F27C70F14"/>
        <w:category>
          <w:name w:val="Allmänt"/>
          <w:gallery w:val="placeholder"/>
        </w:category>
        <w:types>
          <w:type w:val="bbPlcHdr"/>
        </w:types>
        <w:behaviors>
          <w:behavior w:val="content"/>
        </w:behaviors>
        <w:guid w:val="{C79BD26A-E2F9-47F5-93BD-7DEFE3ABF6E1}"/>
      </w:docPartPr>
      <w:docPartBody>
        <w:p w:rsidR="00244737" w:rsidRDefault="002447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7BD"/>
    <w:rsid w:val="00244737"/>
    <w:rsid w:val="00AB47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0B442EA5DD4A39930A629541972525">
    <w:name w:val="860B442EA5DD4A39930A629541972525"/>
  </w:style>
  <w:style w:type="paragraph" w:customStyle="1" w:styleId="1C119CEAA6354647B6A829ECBB33F92F">
    <w:name w:val="1C119CEAA6354647B6A829ECBB33F92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93AAB989B0949889D7E18B57172F768">
    <w:name w:val="993AAB989B0949889D7E18B57172F768"/>
  </w:style>
  <w:style w:type="paragraph" w:customStyle="1" w:styleId="AB42DBF37C5F44CBA5337509D1A3D0DD">
    <w:name w:val="AB42DBF37C5F44CBA5337509D1A3D0DD"/>
  </w:style>
  <w:style w:type="paragraph" w:customStyle="1" w:styleId="4B697BF973FF4AF98007CDD2AE70835D">
    <w:name w:val="4B697BF973FF4AF98007CDD2AE70835D"/>
  </w:style>
  <w:style w:type="paragraph" w:customStyle="1" w:styleId="02B659FF6AF64F47B9AF341ED70C0127">
    <w:name w:val="02B659FF6AF64F47B9AF341ED70C0127"/>
  </w:style>
  <w:style w:type="paragraph" w:customStyle="1" w:styleId="1B077B3140D64EDF8A9467D98A8690EF">
    <w:name w:val="1B077B3140D64EDF8A9467D98A8690EF"/>
  </w:style>
  <w:style w:type="paragraph" w:customStyle="1" w:styleId="81F8C34C547F45BCB49214393C00F720">
    <w:name w:val="81F8C34C547F45BCB49214393C00F7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A42393-4A7B-4C6E-8A9C-097E04E0D99B}"/>
</file>

<file path=customXml/itemProps2.xml><?xml version="1.0" encoding="utf-8"?>
<ds:datastoreItem xmlns:ds="http://schemas.openxmlformats.org/officeDocument/2006/customXml" ds:itemID="{84E6B343-BDDB-46B2-92F6-1BA4A738DC7E}"/>
</file>

<file path=customXml/itemProps3.xml><?xml version="1.0" encoding="utf-8"?>
<ds:datastoreItem xmlns:ds="http://schemas.openxmlformats.org/officeDocument/2006/customXml" ds:itemID="{8361C622-F02F-4201-9E5A-8AA1B0BC465B}"/>
</file>

<file path=docProps/app.xml><?xml version="1.0" encoding="utf-8"?>
<Properties xmlns="http://schemas.openxmlformats.org/officeDocument/2006/extended-properties" xmlns:vt="http://schemas.openxmlformats.org/officeDocument/2006/docPropsVTypes">
  <Template>Normal</Template>
  <TotalTime>16</TotalTime>
  <Pages>3</Pages>
  <Words>856</Words>
  <Characters>5800</Characters>
  <Application>Microsoft Office Word</Application>
  <DocSecurity>0</DocSecurity>
  <Lines>100</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2020 21 224 Behandling av personuppgifter vid Försvarsmakten och Försvarets radioanstalt</vt:lpstr>
      <vt:lpstr>
      </vt:lpstr>
    </vt:vector>
  </TitlesOfParts>
  <Company>Sveriges riksdag</Company>
  <LinksUpToDate>false</LinksUpToDate>
  <CharactersWithSpaces>6624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