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00074" w:rsidTr="00B57C0E">
        <w:tblPrEx>
          <w:tblCellMar>
            <w:top w:w="0" w:type="dxa"/>
            <w:bottom w:w="0" w:type="dxa"/>
          </w:tblCellMar>
        </w:tblPrEx>
        <w:tc>
          <w:tcPr>
            <w:tcW w:w="2268" w:type="dxa"/>
          </w:tcPr>
          <w:p w:rsidR="006E4E11" w:rsidRPr="0060007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00074" w:rsidRDefault="006E4E11" w:rsidP="007242A3">
            <w:pPr>
              <w:framePr w:w="5035" w:h="1644" w:wrap="notBeside" w:vAnchor="page" w:hAnchor="page" w:x="6573" w:y="721"/>
              <w:rPr>
                <w:rFonts w:ascii="TradeGothic" w:hAnsi="TradeGothic"/>
                <w:i/>
                <w:sz w:val="18"/>
              </w:rPr>
            </w:pPr>
          </w:p>
        </w:tc>
      </w:tr>
      <w:tr w:rsidR="00B57C0E" w:rsidRPr="00600074" w:rsidTr="00B57C0E">
        <w:tblPrEx>
          <w:tblCellMar>
            <w:top w:w="0" w:type="dxa"/>
            <w:bottom w:w="0" w:type="dxa"/>
          </w:tblCellMar>
        </w:tblPrEx>
        <w:tc>
          <w:tcPr>
            <w:tcW w:w="5267" w:type="dxa"/>
            <w:gridSpan w:val="3"/>
          </w:tcPr>
          <w:p w:rsidR="00B57C0E" w:rsidRPr="00600074" w:rsidRDefault="00B57C0E" w:rsidP="007242A3">
            <w:pPr>
              <w:framePr w:w="5035" w:h="1644" w:wrap="notBeside" w:vAnchor="page" w:hAnchor="page" w:x="6573" w:y="721"/>
              <w:rPr>
                <w:rFonts w:ascii="TradeGothic" w:hAnsi="TradeGothic"/>
                <w:b/>
                <w:sz w:val="22"/>
              </w:rPr>
            </w:pPr>
            <w:r w:rsidRPr="00600074">
              <w:rPr>
                <w:rFonts w:ascii="TradeGothic" w:hAnsi="TradeGothic"/>
                <w:b/>
                <w:sz w:val="22"/>
              </w:rPr>
              <w:t>Kommenterad dagordning</w:t>
            </w:r>
          </w:p>
        </w:tc>
      </w:tr>
      <w:tr w:rsidR="006E4E11" w:rsidRPr="00600074" w:rsidTr="00B57C0E">
        <w:tblPrEx>
          <w:tblCellMar>
            <w:top w:w="0" w:type="dxa"/>
            <w:bottom w:w="0" w:type="dxa"/>
          </w:tblCellMar>
        </w:tblPrEx>
        <w:tc>
          <w:tcPr>
            <w:tcW w:w="3402" w:type="dxa"/>
            <w:gridSpan w:val="2"/>
          </w:tcPr>
          <w:p w:rsidR="006E4E11" w:rsidRPr="00600074" w:rsidRDefault="00B57C0E" w:rsidP="007242A3">
            <w:pPr>
              <w:framePr w:w="5035" w:h="1644" w:wrap="notBeside" w:vAnchor="page" w:hAnchor="page" w:x="6573" w:y="721"/>
              <w:rPr>
                <w:rFonts w:ascii="TradeGothic" w:hAnsi="TradeGothic"/>
                <w:b/>
                <w:sz w:val="22"/>
              </w:rPr>
            </w:pPr>
            <w:r w:rsidRPr="00600074">
              <w:rPr>
                <w:rFonts w:ascii="TradeGothic" w:hAnsi="TradeGothic"/>
                <w:b/>
                <w:sz w:val="22"/>
              </w:rPr>
              <w:t>rådet</w:t>
            </w:r>
          </w:p>
        </w:tc>
        <w:tc>
          <w:tcPr>
            <w:tcW w:w="1865" w:type="dxa"/>
          </w:tcPr>
          <w:p w:rsidR="006E4E11" w:rsidRPr="00600074" w:rsidRDefault="006E4E11" w:rsidP="007242A3">
            <w:pPr>
              <w:framePr w:w="5035" w:h="1644" w:wrap="notBeside" w:vAnchor="page" w:hAnchor="page" w:x="6573" w:y="721"/>
            </w:pPr>
          </w:p>
        </w:tc>
      </w:tr>
      <w:tr w:rsidR="006E4E11" w:rsidRPr="00600074" w:rsidTr="00B57C0E">
        <w:tblPrEx>
          <w:tblCellMar>
            <w:top w:w="0" w:type="dxa"/>
            <w:bottom w:w="0" w:type="dxa"/>
          </w:tblCellMar>
        </w:tblPrEx>
        <w:tc>
          <w:tcPr>
            <w:tcW w:w="2268" w:type="dxa"/>
          </w:tcPr>
          <w:p w:rsidR="006E4E11" w:rsidRPr="00600074" w:rsidRDefault="00B57C0E" w:rsidP="007242A3">
            <w:pPr>
              <w:framePr w:w="5035" w:h="1644" w:wrap="notBeside" w:vAnchor="page" w:hAnchor="page" w:x="6573" w:y="721"/>
            </w:pPr>
            <w:r w:rsidRPr="00600074">
              <w:t>2010-11-1</w:t>
            </w:r>
            <w:r w:rsidR="006B081E" w:rsidRPr="00600074">
              <w:t>7</w:t>
            </w:r>
          </w:p>
        </w:tc>
        <w:tc>
          <w:tcPr>
            <w:tcW w:w="2999" w:type="dxa"/>
            <w:gridSpan w:val="2"/>
          </w:tcPr>
          <w:p w:rsidR="006E4E11" w:rsidRPr="00600074" w:rsidRDefault="006E4E11" w:rsidP="007242A3">
            <w:pPr>
              <w:framePr w:w="5035" w:h="1644" w:wrap="notBeside" w:vAnchor="page" w:hAnchor="page" w:x="6573" w:y="721"/>
            </w:pPr>
          </w:p>
        </w:tc>
      </w:tr>
      <w:tr w:rsidR="006E4E11" w:rsidRPr="00600074" w:rsidTr="00B57C0E">
        <w:tblPrEx>
          <w:tblCellMar>
            <w:top w:w="0" w:type="dxa"/>
            <w:bottom w:w="0" w:type="dxa"/>
          </w:tblCellMar>
        </w:tblPrEx>
        <w:tc>
          <w:tcPr>
            <w:tcW w:w="2268" w:type="dxa"/>
          </w:tcPr>
          <w:p w:rsidR="006E4E11" w:rsidRPr="00600074" w:rsidRDefault="006E4E11" w:rsidP="007242A3">
            <w:pPr>
              <w:framePr w:w="5035" w:h="1644" w:wrap="notBeside" w:vAnchor="page" w:hAnchor="page" w:x="6573" w:y="721"/>
            </w:pPr>
          </w:p>
        </w:tc>
        <w:tc>
          <w:tcPr>
            <w:tcW w:w="2999" w:type="dxa"/>
            <w:gridSpan w:val="2"/>
          </w:tcPr>
          <w:p w:rsidR="006E4E11" w:rsidRPr="0060007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00074">
        <w:tblPrEx>
          <w:tblCellMar>
            <w:top w:w="0" w:type="dxa"/>
            <w:bottom w:w="0" w:type="dxa"/>
          </w:tblCellMar>
        </w:tblPrEx>
        <w:trPr>
          <w:trHeight w:val="284"/>
        </w:trPr>
        <w:tc>
          <w:tcPr>
            <w:tcW w:w="4911" w:type="dxa"/>
          </w:tcPr>
          <w:p w:rsidR="006E4E11" w:rsidRPr="00600074" w:rsidRDefault="00B57C0E">
            <w:pPr>
              <w:pStyle w:val="Avsndare"/>
              <w:framePr w:h="2483" w:wrap="notBeside" w:x="1504"/>
              <w:rPr>
                <w:b/>
                <w:i w:val="0"/>
                <w:sz w:val="22"/>
              </w:rPr>
            </w:pPr>
            <w:r w:rsidRPr="00600074">
              <w:rPr>
                <w:b/>
                <w:i w:val="0"/>
                <w:sz w:val="22"/>
              </w:rPr>
              <w:t>Jordbruksdepartementet</w:t>
            </w:r>
          </w:p>
        </w:tc>
      </w:tr>
      <w:tr w:rsidR="006E4E11" w:rsidRPr="00600074">
        <w:tblPrEx>
          <w:tblCellMar>
            <w:top w:w="0" w:type="dxa"/>
            <w:bottom w:w="0" w:type="dxa"/>
          </w:tblCellMar>
        </w:tblPrEx>
        <w:trPr>
          <w:trHeight w:val="284"/>
        </w:trPr>
        <w:tc>
          <w:tcPr>
            <w:tcW w:w="4911" w:type="dxa"/>
          </w:tcPr>
          <w:p w:rsidR="006E4E11" w:rsidRPr="00600074" w:rsidRDefault="006E4E11">
            <w:pPr>
              <w:pStyle w:val="Avsndare"/>
              <w:framePr w:h="2483" w:wrap="notBeside" w:x="1504"/>
              <w:rPr>
                <w:bCs/>
                <w:iCs/>
              </w:rPr>
            </w:pPr>
          </w:p>
        </w:tc>
      </w:tr>
      <w:tr w:rsidR="006E4E11" w:rsidRPr="00600074">
        <w:tblPrEx>
          <w:tblCellMar>
            <w:top w:w="0" w:type="dxa"/>
            <w:bottom w:w="0" w:type="dxa"/>
          </w:tblCellMar>
        </w:tblPrEx>
        <w:trPr>
          <w:trHeight w:val="284"/>
        </w:trPr>
        <w:tc>
          <w:tcPr>
            <w:tcW w:w="4911" w:type="dxa"/>
          </w:tcPr>
          <w:p w:rsidR="006E4E11" w:rsidRPr="00600074" w:rsidRDefault="00B57C0E">
            <w:pPr>
              <w:pStyle w:val="Avsndare"/>
              <w:framePr w:h="2483" w:wrap="notBeside" w:x="1504"/>
              <w:rPr>
                <w:bCs/>
                <w:iCs/>
              </w:rPr>
            </w:pPr>
            <w:r w:rsidRPr="00600074">
              <w:rPr>
                <w:bCs/>
                <w:iCs/>
              </w:rPr>
              <w:t>EUI-sekretariatet</w:t>
            </w:r>
          </w:p>
        </w:tc>
      </w:tr>
      <w:tr w:rsidR="006E4E11" w:rsidRPr="00600074">
        <w:tblPrEx>
          <w:tblCellMar>
            <w:top w:w="0" w:type="dxa"/>
            <w:bottom w:w="0" w:type="dxa"/>
          </w:tblCellMar>
        </w:tblPrEx>
        <w:trPr>
          <w:trHeight w:val="284"/>
        </w:trPr>
        <w:tc>
          <w:tcPr>
            <w:tcW w:w="4911" w:type="dxa"/>
          </w:tcPr>
          <w:p w:rsidR="006E4E11" w:rsidRPr="00600074" w:rsidRDefault="006E4E11">
            <w:pPr>
              <w:pStyle w:val="Avsndare"/>
              <w:framePr w:h="2483" w:wrap="notBeside" w:x="1504"/>
              <w:rPr>
                <w:bCs/>
                <w:iCs/>
              </w:rPr>
            </w:pPr>
          </w:p>
        </w:tc>
      </w:tr>
      <w:tr w:rsidR="006E4E11" w:rsidRPr="00600074">
        <w:tblPrEx>
          <w:tblCellMar>
            <w:top w:w="0" w:type="dxa"/>
            <w:bottom w:w="0" w:type="dxa"/>
          </w:tblCellMar>
        </w:tblPrEx>
        <w:trPr>
          <w:trHeight w:val="284"/>
        </w:trPr>
        <w:tc>
          <w:tcPr>
            <w:tcW w:w="4911" w:type="dxa"/>
          </w:tcPr>
          <w:p w:rsidR="006E4E11" w:rsidRPr="00600074" w:rsidRDefault="006E4E11">
            <w:pPr>
              <w:pStyle w:val="Avsndare"/>
              <w:framePr w:h="2483" w:wrap="notBeside" w:x="1504"/>
              <w:rPr>
                <w:bCs/>
                <w:iCs/>
              </w:rPr>
            </w:pPr>
          </w:p>
        </w:tc>
      </w:tr>
      <w:tr w:rsidR="006E4E11" w:rsidRPr="00600074">
        <w:tblPrEx>
          <w:tblCellMar>
            <w:top w:w="0" w:type="dxa"/>
            <w:bottom w:w="0" w:type="dxa"/>
          </w:tblCellMar>
        </w:tblPrEx>
        <w:trPr>
          <w:trHeight w:val="284"/>
        </w:trPr>
        <w:tc>
          <w:tcPr>
            <w:tcW w:w="4911" w:type="dxa"/>
          </w:tcPr>
          <w:p w:rsidR="006E4E11" w:rsidRPr="00600074" w:rsidRDefault="006E4E11">
            <w:pPr>
              <w:pStyle w:val="Avsndare"/>
              <w:framePr w:h="2483" w:wrap="notBeside" w:x="1504"/>
              <w:rPr>
                <w:bCs/>
                <w:iCs/>
              </w:rPr>
            </w:pPr>
          </w:p>
        </w:tc>
      </w:tr>
      <w:tr w:rsidR="006E4E11" w:rsidRPr="00600074">
        <w:tblPrEx>
          <w:tblCellMar>
            <w:top w:w="0" w:type="dxa"/>
            <w:bottom w:w="0" w:type="dxa"/>
          </w:tblCellMar>
        </w:tblPrEx>
        <w:trPr>
          <w:trHeight w:val="284"/>
        </w:trPr>
        <w:tc>
          <w:tcPr>
            <w:tcW w:w="4911" w:type="dxa"/>
          </w:tcPr>
          <w:p w:rsidR="006E4E11" w:rsidRPr="00600074" w:rsidRDefault="006E4E11">
            <w:pPr>
              <w:pStyle w:val="Avsndare"/>
              <w:framePr w:h="2483" w:wrap="notBeside" w:x="1504"/>
              <w:rPr>
                <w:bCs/>
                <w:iCs/>
              </w:rPr>
            </w:pPr>
          </w:p>
        </w:tc>
      </w:tr>
      <w:tr w:rsidR="006E4E11" w:rsidRPr="00600074">
        <w:tblPrEx>
          <w:tblCellMar>
            <w:top w:w="0" w:type="dxa"/>
            <w:bottom w:w="0" w:type="dxa"/>
          </w:tblCellMar>
        </w:tblPrEx>
        <w:trPr>
          <w:trHeight w:val="284"/>
        </w:trPr>
        <w:tc>
          <w:tcPr>
            <w:tcW w:w="4911" w:type="dxa"/>
          </w:tcPr>
          <w:p w:rsidR="006E4E11" w:rsidRPr="00600074" w:rsidRDefault="006E4E11">
            <w:pPr>
              <w:pStyle w:val="Avsndare"/>
              <w:framePr w:h="2483" w:wrap="notBeside" w:x="1504"/>
              <w:rPr>
                <w:bCs/>
                <w:iCs/>
              </w:rPr>
            </w:pPr>
          </w:p>
        </w:tc>
      </w:tr>
      <w:tr w:rsidR="006E4E11" w:rsidRPr="00600074">
        <w:tblPrEx>
          <w:tblCellMar>
            <w:top w:w="0" w:type="dxa"/>
            <w:bottom w:w="0" w:type="dxa"/>
          </w:tblCellMar>
        </w:tblPrEx>
        <w:trPr>
          <w:trHeight w:val="284"/>
        </w:trPr>
        <w:tc>
          <w:tcPr>
            <w:tcW w:w="4911" w:type="dxa"/>
          </w:tcPr>
          <w:p w:rsidR="006E4E11" w:rsidRPr="00600074" w:rsidRDefault="006E4E11">
            <w:pPr>
              <w:pStyle w:val="Avsndare"/>
              <w:framePr w:h="2483" w:wrap="notBeside" w:x="1504"/>
              <w:rPr>
                <w:bCs/>
                <w:iCs/>
              </w:rPr>
            </w:pPr>
          </w:p>
        </w:tc>
      </w:tr>
    </w:tbl>
    <w:p w:rsidR="006E4E11" w:rsidRPr="00600074" w:rsidRDefault="006E4E11">
      <w:pPr>
        <w:framePr w:w="4400" w:h="2523" w:wrap="notBeside" w:vAnchor="page" w:hAnchor="page" w:x="6453" w:y="2445"/>
        <w:ind w:left="142"/>
        <w:rPr>
          <w:b/>
        </w:rPr>
      </w:pPr>
    </w:p>
    <w:p w:rsidR="00B57C0E" w:rsidRPr="00600074" w:rsidRDefault="00B57C0E">
      <w:pPr>
        <w:pStyle w:val="RKrubrik"/>
        <w:pBdr>
          <w:bottom w:val="single" w:sz="6" w:space="1" w:color="auto"/>
        </w:pBdr>
      </w:pPr>
      <w:bookmarkStart w:id="0" w:name="bRubrik"/>
      <w:bookmarkEnd w:id="0"/>
      <w:r w:rsidRPr="00600074">
        <w:t>Rådets möte (jordbruks- och fiskeministrarna) den 29-30 november 2010</w:t>
      </w:r>
    </w:p>
    <w:p w:rsidR="00B57C0E" w:rsidRPr="00600074" w:rsidRDefault="00B57C0E" w:rsidP="00D60C0E">
      <w:pPr>
        <w:pStyle w:val="RKrubrik"/>
      </w:pPr>
      <w:r w:rsidRPr="00600074">
        <w:t>Kommenterad dagordning</w:t>
      </w:r>
    </w:p>
    <w:p w:rsidR="00B57C0E" w:rsidRPr="00600074" w:rsidRDefault="00067611" w:rsidP="00D60C0E">
      <w:pPr>
        <w:pStyle w:val="Rubrik1"/>
      </w:pPr>
      <w:r w:rsidRPr="00600074">
        <w:t xml:space="preserve">1. </w:t>
      </w:r>
      <w:r w:rsidR="00B57C0E" w:rsidRPr="00600074">
        <w:t>Godkännande av dagordningen</w:t>
      </w:r>
    </w:p>
    <w:p w:rsidR="00B57C0E" w:rsidRPr="00600074" w:rsidRDefault="00B57C0E" w:rsidP="00D60C0E">
      <w:pPr>
        <w:pStyle w:val="Rubrik1"/>
      </w:pPr>
      <w:r w:rsidRPr="00600074">
        <w:t>Lagstiftningsöverläggningar</w:t>
      </w:r>
    </w:p>
    <w:p w:rsidR="00B57C0E" w:rsidRPr="00600074" w:rsidRDefault="00B57C0E" w:rsidP="00B57C0E">
      <w:pPr>
        <w:spacing w:line="240" w:lineRule="auto"/>
      </w:pPr>
    </w:p>
    <w:p w:rsidR="00B57C0E" w:rsidRPr="00600074" w:rsidRDefault="00067611" w:rsidP="00B57C0E">
      <w:pPr>
        <w:spacing w:line="240" w:lineRule="auto"/>
        <w:rPr>
          <w:rFonts w:ascii="TradeGothic" w:hAnsi="TradeGothic"/>
          <w:b/>
          <w:sz w:val="22"/>
        </w:rPr>
      </w:pPr>
      <w:r w:rsidRPr="00600074">
        <w:rPr>
          <w:rFonts w:ascii="TradeGothic" w:hAnsi="TradeGothic"/>
          <w:b/>
          <w:sz w:val="22"/>
        </w:rPr>
        <w:t xml:space="preserve">2. </w:t>
      </w:r>
      <w:r w:rsidR="00B57C0E" w:rsidRPr="00600074">
        <w:rPr>
          <w:rFonts w:ascii="TradeGothic" w:hAnsi="TradeGothic"/>
          <w:b/>
          <w:sz w:val="22"/>
        </w:rPr>
        <w:t>Godkännande av A-punktslistan</w:t>
      </w:r>
    </w:p>
    <w:p w:rsidR="00B57C0E" w:rsidRPr="00600074" w:rsidRDefault="00B57C0E" w:rsidP="00B57C0E">
      <w:pPr>
        <w:spacing w:line="240" w:lineRule="auto"/>
      </w:pPr>
    </w:p>
    <w:p w:rsidR="00B57C0E" w:rsidRPr="00600074" w:rsidRDefault="00B57C0E" w:rsidP="00B57C0E">
      <w:pPr>
        <w:spacing w:line="240" w:lineRule="auto"/>
        <w:outlineLvl w:val="0"/>
        <w:rPr>
          <w:rFonts w:ascii="TimesNewRomanPSMT" w:hAnsi="TimesNewRomanPSMT" w:cs="TimesNewRomanPSMT"/>
          <w:b/>
          <w:szCs w:val="24"/>
          <w:u w:val="single"/>
        </w:rPr>
      </w:pPr>
    </w:p>
    <w:p w:rsidR="00B57C0E" w:rsidRPr="00600074" w:rsidRDefault="00B57C0E" w:rsidP="00D60C0E">
      <w:pPr>
        <w:pStyle w:val="Rubrik1"/>
      </w:pPr>
      <w:r w:rsidRPr="00600074">
        <w:t>Icke lagstiftande verksamhet</w:t>
      </w:r>
    </w:p>
    <w:p w:rsidR="00B57C0E" w:rsidRPr="00600074" w:rsidRDefault="00B57C0E" w:rsidP="00B57C0E">
      <w:pPr>
        <w:spacing w:line="240" w:lineRule="auto"/>
      </w:pPr>
    </w:p>
    <w:p w:rsidR="00B57C0E" w:rsidRPr="00600074" w:rsidRDefault="00067611" w:rsidP="00B57C0E">
      <w:pPr>
        <w:spacing w:line="240" w:lineRule="auto"/>
        <w:rPr>
          <w:rFonts w:ascii="TradeGothic" w:hAnsi="TradeGothic"/>
          <w:b/>
          <w:sz w:val="22"/>
        </w:rPr>
      </w:pPr>
      <w:r w:rsidRPr="00600074">
        <w:rPr>
          <w:rFonts w:ascii="TradeGothic" w:hAnsi="TradeGothic"/>
          <w:b/>
          <w:sz w:val="22"/>
        </w:rPr>
        <w:t xml:space="preserve">3. </w:t>
      </w:r>
      <w:r w:rsidR="00B57C0E" w:rsidRPr="00600074">
        <w:rPr>
          <w:rFonts w:ascii="TradeGothic" w:hAnsi="TradeGothic"/>
          <w:b/>
          <w:sz w:val="22"/>
        </w:rPr>
        <w:t>Godkännande av A-punktslistan</w:t>
      </w:r>
    </w:p>
    <w:p w:rsidR="00B57C0E" w:rsidRPr="00600074" w:rsidRDefault="00B57C0E" w:rsidP="00B57C0E">
      <w:pPr>
        <w:spacing w:line="240" w:lineRule="auto"/>
      </w:pPr>
    </w:p>
    <w:p w:rsidR="00B57C0E" w:rsidRPr="00600074" w:rsidRDefault="00B57C0E" w:rsidP="00B57C0E">
      <w:pPr>
        <w:pStyle w:val="RKnormal"/>
      </w:pPr>
    </w:p>
    <w:p w:rsidR="00D60C0E" w:rsidRPr="00600074" w:rsidRDefault="00D60C0E" w:rsidP="00D60C0E">
      <w:pPr>
        <w:pStyle w:val="Rubrik1"/>
      </w:pPr>
    </w:p>
    <w:p w:rsidR="00D60C0E" w:rsidRPr="00600074" w:rsidRDefault="00D60C0E" w:rsidP="00D60C0E">
      <w:pPr>
        <w:pStyle w:val="Rubrik1"/>
      </w:pPr>
    </w:p>
    <w:p w:rsidR="00B57C0E" w:rsidRPr="00600074" w:rsidRDefault="00B57C0E" w:rsidP="00D60C0E">
      <w:pPr>
        <w:pStyle w:val="Rubrik1"/>
      </w:pPr>
      <w:r w:rsidRPr="00600074">
        <w:t>Coreper-punkter</w:t>
      </w:r>
    </w:p>
    <w:p w:rsidR="00B57C0E" w:rsidRPr="00600074" w:rsidRDefault="00B57C0E" w:rsidP="00B57C0E">
      <w:pPr>
        <w:spacing w:line="240" w:lineRule="auto"/>
        <w:rPr>
          <w:b/>
          <w:u w:val="single"/>
        </w:rPr>
      </w:pPr>
    </w:p>
    <w:p w:rsidR="00B57C0E" w:rsidRPr="00600074" w:rsidRDefault="00B57C0E" w:rsidP="00D60C0E">
      <w:pPr>
        <w:pStyle w:val="RKrubrik"/>
      </w:pPr>
      <w:r w:rsidRPr="00600074">
        <w:t>FISKE</w:t>
      </w:r>
    </w:p>
    <w:p w:rsidR="00B57C0E" w:rsidRPr="00600074" w:rsidRDefault="00B57C0E" w:rsidP="00D60C0E">
      <w:pPr>
        <w:pStyle w:val="Rubrik1"/>
      </w:pPr>
      <w:r w:rsidRPr="00600074">
        <w:t>Icke lagstiftande verksamhet</w:t>
      </w:r>
    </w:p>
    <w:p w:rsidR="00B57C0E" w:rsidRPr="00600074" w:rsidRDefault="00B57C0E">
      <w:pPr>
        <w:pStyle w:val="RKnormal"/>
      </w:pPr>
    </w:p>
    <w:p w:rsidR="00B57C0E" w:rsidRPr="00600074" w:rsidRDefault="00B57C0E" w:rsidP="00067611">
      <w:pPr>
        <w:pStyle w:val="RKrubrik"/>
      </w:pPr>
      <w:r w:rsidRPr="00600074">
        <w:t>4</w:t>
      </w:r>
      <w:r w:rsidR="00D60C0E" w:rsidRPr="00600074">
        <w:t xml:space="preserve">) </w:t>
      </w:r>
      <w:r w:rsidRPr="00600074">
        <w:t>Förslag till rådets förordning om fastställande av fiskemöjligheterna för EU-fartyg för vissa djuphavsbestånd för 2011 och 2012 (*)</w:t>
      </w:r>
      <w:r w:rsidRPr="00600074">
        <w:tab/>
        <w:t>(Rättslig grund föreslagen av kommissionen: artikel 43 i EUF-fördraget)</w:t>
      </w:r>
    </w:p>
    <w:p w:rsidR="00067611" w:rsidRPr="00600074" w:rsidRDefault="00B57C0E" w:rsidP="00067611">
      <w:pPr>
        <w:pStyle w:val="Par-dash"/>
        <w:numPr>
          <w:ilvl w:val="0"/>
          <w:numId w:val="0"/>
        </w:numPr>
        <w:spacing w:line="240" w:lineRule="auto"/>
        <w:ind w:firstLine="567"/>
        <w:rPr>
          <w:rFonts w:ascii="OrigGarmnd BT" w:hAnsi="OrigGarmnd BT"/>
          <w:b/>
          <w:i/>
        </w:rPr>
      </w:pPr>
      <w:r w:rsidRPr="00600074">
        <w:rPr>
          <w:rFonts w:ascii="OrigGarmnd BT" w:hAnsi="OrigGarmnd BT"/>
          <w:b/>
          <w:i/>
        </w:rPr>
        <w:t>–</w:t>
      </w:r>
      <w:r w:rsidRPr="00600074">
        <w:rPr>
          <w:rFonts w:ascii="OrigGarmnd BT" w:hAnsi="OrigGarmnd BT"/>
          <w:b/>
          <w:i/>
        </w:rPr>
        <w:tab/>
        <w:t>Politisk överenskommelse</w:t>
      </w:r>
    </w:p>
    <w:p w:rsidR="008765AF" w:rsidRPr="00600074" w:rsidRDefault="008765AF" w:rsidP="008765AF">
      <w:pPr>
        <w:pStyle w:val="RKnormal"/>
        <w:rPr>
          <w:i/>
          <w:iCs/>
        </w:rPr>
      </w:pPr>
      <w:r w:rsidRPr="00600074">
        <w:rPr>
          <w:i/>
          <w:iCs/>
        </w:rPr>
        <w:t>Dokumentbeteckning</w:t>
      </w:r>
    </w:p>
    <w:p w:rsidR="008765AF" w:rsidRPr="00600074" w:rsidRDefault="008765AF" w:rsidP="00067611">
      <w:pPr>
        <w:pStyle w:val="Par-dash"/>
        <w:numPr>
          <w:ilvl w:val="0"/>
          <w:numId w:val="0"/>
        </w:numPr>
        <w:spacing w:line="240" w:lineRule="auto"/>
        <w:ind w:firstLine="567"/>
      </w:pPr>
    </w:p>
    <w:p w:rsidR="00067611" w:rsidRPr="00600074" w:rsidRDefault="00067611" w:rsidP="008765AF">
      <w:pPr>
        <w:pStyle w:val="Par-dash"/>
        <w:numPr>
          <w:ilvl w:val="0"/>
          <w:numId w:val="0"/>
        </w:numPr>
        <w:spacing w:line="240" w:lineRule="auto"/>
      </w:pPr>
      <w:r w:rsidRPr="00600074">
        <w:t>14628/10 PE</w:t>
      </w:r>
      <w:r w:rsidR="00B57C0E" w:rsidRPr="00600074">
        <w:t>CHE 226</w:t>
      </w:r>
    </w:p>
    <w:p w:rsidR="00B57C0E" w:rsidRPr="00600074" w:rsidRDefault="00067611" w:rsidP="008765AF">
      <w:pPr>
        <w:pStyle w:val="Par-dash"/>
        <w:numPr>
          <w:ilvl w:val="0"/>
          <w:numId w:val="0"/>
        </w:numPr>
        <w:spacing w:line="240" w:lineRule="auto"/>
      </w:pPr>
      <w:r w:rsidRPr="00600074">
        <w:t>15994/10 PE</w:t>
      </w:r>
      <w:r w:rsidR="00B57C0E" w:rsidRPr="00600074">
        <w:t>CHE 274 + ADD 1</w:t>
      </w:r>
    </w:p>
    <w:p w:rsidR="009E134B" w:rsidRPr="00600074" w:rsidRDefault="009E134B" w:rsidP="009E134B">
      <w:pPr>
        <w:pStyle w:val="RKnormal"/>
        <w:rPr>
          <w:i/>
          <w:iCs/>
        </w:rPr>
      </w:pPr>
    </w:p>
    <w:p w:rsidR="00B138A5" w:rsidRPr="00600074" w:rsidRDefault="00B138A5" w:rsidP="00B138A5">
      <w:pPr>
        <w:pStyle w:val="RKnormal"/>
        <w:rPr>
          <w:i/>
          <w:iCs/>
        </w:rPr>
      </w:pPr>
      <w:r w:rsidRPr="00600074">
        <w:rPr>
          <w:i/>
          <w:iCs/>
        </w:rPr>
        <w:t>Rättslig grund</w:t>
      </w:r>
    </w:p>
    <w:p w:rsidR="00B138A5" w:rsidRPr="00600074" w:rsidRDefault="00B138A5" w:rsidP="00B138A5">
      <w:pPr>
        <w:pStyle w:val="RKnormal"/>
        <w:rPr>
          <w:i/>
          <w:iCs/>
        </w:rPr>
      </w:pPr>
    </w:p>
    <w:p w:rsidR="00B138A5" w:rsidRPr="00600074" w:rsidRDefault="00B138A5" w:rsidP="00B138A5">
      <w:r w:rsidRPr="00600074">
        <w:t>Artikel 43.3 i Fördraget om Europeiska unionens funktionssätt. Rådet fattar beslut med kvalificerad majoritet. Förslaget omfattas av unionens exklusiva befogenhet i enlighet med artikel 3.1 d i Fördraget om Europeiska unionens funktionssätt.</w:t>
      </w:r>
    </w:p>
    <w:p w:rsidR="00B138A5" w:rsidRPr="00600074" w:rsidRDefault="00B138A5" w:rsidP="00B138A5">
      <w:pPr>
        <w:pStyle w:val="RKnormal"/>
        <w:rPr>
          <w:i/>
          <w:iCs/>
        </w:rPr>
      </w:pPr>
    </w:p>
    <w:p w:rsidR="00B138A5" w:rsidRPr="00600074" w:rsidRDefault="00B138A5" w:rsidP="00B138A5">
      <w:pPr>
        <w:pStyle w:val="RKnormal"/>
        <w:rPr>
          <w:i/>
          <w:iCs/>
        </w:rPr>
      </w:pPr>
    </w:p>
    <w:p w:rsidR="00B138A5" w:rsidRPr="00600074" w:rsidRDefault="00B138A5" w:rsidP="00B138A5">
      <w:pPr>
        <w:pStyle w:val="RKnormal"/>
        <w:rPr>
          <w:i/>
          <w:iCs/>
        </w:rPr>
      </w:pPr>
      <w:r w:rsidRPr="00600074">
        <w:rPr>
          <w:i/>
          <w:iCs/>
        </w:rPr>
        <w:t>Bakgrund</w:t>
      </w:r>
    </w:p>
    <w:p w:rsidR="00B138A5" w:rsidRPr="00600074" w:rsidRDefault="00B138A5" w:rsidP="00B138A5">
      <w:pPr>
        <w:pStyle w:val="RKnormal"/>
        <w:rPr>
          <w:i/>
          <w:iCs/>
        </w:rPr>
      </w:pPr>
      <w:r w:rsidRPr="00600074">
        <w:rPr>
          <w:szCs w:val="24"/>
        </w:rPr>
        <w:t xml:space="preserve">Förslaget gäller fastställande av fiskemöjligheter för de kommersiellt viktigaste djuphavsbestånden i Nordostatlantens östra del. Detta regleras sedan 2003 i form av totala tillåtna fångstmängder per art och område och i form av maximal fiskeansträngning. Besluten fattas vartannat år och det nu aktuella förslaget avser således perioden 2011 och 2012. </w:t>
      </w:r>
    </w:p>
    <w:p w:rsidR="00B138A5" w:rsidRPr="00600074" w:rsidRDefault="00B138A5" w:rsidP="00B138A5">
      <w:pPr>
        <w:pStyle w:val="RKnormal"/>
        <w:rPr>
          <w:i/>
          <w:iCs/>
        </w:rPr>
      </w:pPr>
    </w:p>
    <w:p w:rsidR="00B138A5" w:rsidRPr="00600074" w:rsidRDefault="00B138A5" w:rsidP="00B138A5">
      <w:pPr>
        <w:pStyle w:val="RKnormal"/>
        <w:rPr>
          <w:i/>
          <w:iCs/>
        </w:rPr>
      </w:pPr>
    </w:p>
    <w:p w:rsidR="00B138A5" w:rsidRPr="00600074" w:rsidRDefault="00B138A5" w:rsidP="00B138A5">
      <w:pPr>
        <w:pStyle w:val="RKnormal"/>
        <w:rPr>
          <w:i/>
          <w:iCs/>
        </w:rPr>
      </w:pPr>
      <w:r w:rsidRPr="00600074">
        <w:rPr>
          <w:i/>
          <w:iCs/>
        </w:rPr>
        <w:t>Förslag till svensk ståndpunkt</w:t>
      </w:r>
    </w:p>
    <w:p w:rsidR="00B138A5" w:rsidRPr="00600074" w:rsidRDefault="00B138A5" w:rsidP="00B138A5">
      <w:pPr>
        <w:pStyle w:val="RKnormal"/>
        <w:rPr>
          <w:szCs w:val="24"/>
        </w:rPr>
      </w:pPr>
      <w:r w:rsidRPr="00600074">
        <w:rPr>
          <w:szCs w:val="24"/>
        </w:rPr>
        <w:t xml:space="preserve">Regeringen uppskattar att föreliggande förslag motsvarar principerna i FN-avtalet om gränsöverskridande fiskbestånd och de internationella riktlinjerna för djuphavsfiske från 2008. Regeringen anser dock att djuphavsarter, hajar, rockor och andra långlivade arter bör förvaltas på ett mer enhetligt sätt. Kommissionens policymeddelande bör därför innehålla en egen kategori som styr fiskemöjligheterna för långlivade arter. Denna kategori bör möjliggöra ett fiskeförbud för särskilt känsliga arter och innehålla tydligare mekanismer för att fasa ut fiskemöjligheter om fisket inte bedrivs på ett hållbart sätt. I de fall TAC:erna (TAC står för Total Allowed Catch; dvs total tillåten fångst) gäller blandfisken bör TAC-nivån beslutas med hänsyn till det svagaste beståndet. TAC:er och effort (fiskeriansträngning; beräknas enligt formeln båtens storlek gånger fisketiden) bör vidare vara harmoniserade för att minska utkasten. </w:t>
      </w:r>
    </w:p>
    <w:p w:rsidR="00B138A5" w:rsidRPr="00600074" w:rsidRDefault="00B138A5" w:rsidP="00B138A5">
      <w:pPr>
        <w:pStyle w:val="RKnormal"/>
        <w:rPr>
          <w:i/>
          <w:iCs/>
          <w:szCs w:val="24"/>
        </w:rPr>
      </w:pPr>
    </w:p>
    <w:p w:rsidR="00B138A5" w:rsidRPr="00600074" w:rsidRDefault="00B138A5" w:rsidP="00B138A5">
      <w:pPr>
        <w:pStyle w:val="RKnormal"/>
        <w:rPr>
          <w:i/>
          <w:iCs/>
        </w:rPr>
      </w:pPr>
    </w:p>
    <w:p w:rsidR="00B138A5" w:rsidRPr="00600074" w:rsidRDefault="00B138A5" w:rsidP="00B138A5">
      <w:pPr>
        <w:pStyle w:val="RKnormal"/>
        <w:rPr>
          <w:i/>
          <w:iCs/>
        </w:rPr>
      </w:pPr>
      <w:r w:rsidRPr="00600074">
        <w:rPr>
          <w:i/>
          <w:iCs/>
        </w:rPr>
        <w:t>EU</w:t>
      </w:r>
      <w:r w:rsidR="00067611" w:rsidRPr="00600074">
        <w:rPr>
          <w:i/>
          <w:iCs/>
        </w:rPr>
        <w:t>-nämnden och</w:t>
      </w:r>
      <w:r w:rsidRPr="00600074">
        <w:rPr>
          <w:i/>
          <w:iCs/>
        </w:rPr>
        <w:t xml:space="preserve"> MJU</w:t>
      </w:r>
    </w:p>
    <w:p w:rsidR="00B138A5" w:rsidRPr="00600074" w:rsidRDefault="00B138A5" w:rsidP="00B138A5">
      <w:pPr>
        <w:pStyle w:val="RKnormal"/>
      </w:pPr>
    </w:p>
    <w:p w:rsidR="00B138A5" w:rsidRPr="00600074" w:rsidRDefault="00B138A5" w:rsidP="00B138A5">
      <w:pPr>
        <w:pStyle w:val="RKnormal"/>
      </w:pPr>
      <w:r w:rsidRPr="00600074">
        <w:t xml:space="preserve">Frågan var senast föremål för information i MJU och samråd med EU-nämnden inför Jordbruks- och fiskerådet i oktober 2010. </w:t>
      </w:r>
    </w:p>
    <w:p w:rsidR="00B57C0E" w:rsidRPr="00600074" w:rsidRDefault="00B57C0E" w:rsidP="00B57C0E">
      <w:pPr>
        <w:pStyle w:val="RKnormal"/>
      </w:pPr>
    </w:p>
    <w:p w:rsidR="008765AF" w:rsidRPr="00600074" w:rsidRDefault="008765AF" w:rsidP="00B57C0E">
      <w:pPr>
        <w:pStyle w:val="Par-number1"/>
        <w:numPr>
          <w:ilvl w:val="0"/>
          <w:numId w:val="0"/>
        </w:numPr>
        <w:spacing w:line="240" w:lineRule="auto"/>
        <w:rPr>
          <w:rFonts w:ascii="TradeGothic" w:hAnsi="TradeGothic"/>
          <w:b/>
          <w:sz w:val="22"/>
          <w:lang w:eastAsia="en-US"/>
        </w:rPr>
      </w:pPr>
    </w:p>
    <w:p w:rsidR="00B57C0E" w:rsidRPr="00600074" w:rsidRDefault="00D60C0E" w:rsidP="00B57C0E">
      <w:pPr>
        <w:pStyle w:val="Par-number1"/>
        <w:numPr>
          <w:ilvl w:val="0"/>
          <w:numId w:val="0"/>
        </w:numPr>
        <w:spacing w:line="240" w:lineRule="auto"/>
        <w:rPr>
          <w:rFonts w:ascii="TradeGothic" w:hAnsi="TradeGothic"/>
          <w:b/>
          <w:sz w:val="22"/>
          <w:lang w:eastAsia="en-US"/>
        </w:rPr>
      </w:pPr>
      <w:r w:rsidRPr="00600074">
        <w:rPr>
          <w:rFonts w:ascii="TradeGothic" w:hAnsi="TradeGothic"/>
          <w:b/>
          <w:sz w:val="22"/>
          <w:lang w:eastAsia="en-US"/>
        </w:rPr>
        <w:t>5)</w:t>
      </w:r>
      <w:r w:rsidR="006612A9" w:rsidRPr="00600074">
        <w:rPr>
          <w:rFonts w:ascii="TradeGothic" w:hAnsi="TradeGothic"/>
          <w:b/>
          <w:sz w:val="22"/>
          <w:lang w:eastAsia="en-US"/>
        </w:rPr>
        <w:t xml:space="preserve"> </w:t>
      </w:r>
      <w:r w:rsidR="00B57C0E" w:rsidRPr="00600074">
        <w:rPr>
          <w:rFonts w:ascii="TradeGothic" w:hAnsi="TradeGothic"/>
          <w:b/>
          <w:sz w:val="22"/>
          <w:lang w:eastAsia="en-US"/>
        </w:rPr>
        <w:t>EU/Norge: Årlig konsultation för 2011</w:t>
      </w:r>
    </w:p>
    <w:p w:rsidR="006612A9" w:rsidRPr="00600074" w:rsidRDefault="006612A9" w:rsidP="006612A9"/>
    <w:p w:rsidR="00B57C0E" w:rsidRPr="00600074" w:rsidRDefault="006612A9" w:rsidP="00B57C0E">
      <w:pPr>
        <w:pStyle w:val="Par-number1"/>
        <w:numPr>
          <w:ilvl w:val="0"/>
          <w:numId w:val="0"/>
        </w:numPr>
        <w:spacing w:line="240" w:lineRule="auto"/>
        <w:rPr>
          <w:rFonts w:ascii="OrigGarmnd BT" w:hAnsi="OrigGarmnd BT"/>
          <w:b/>
          <w:i/>
          <w:szCs w:val="24"/>
          <w:lang w:eastAsia="en-US"/>
        </w:rPr>
      </w:pPr>
      <w:r w:rsidRPr="00600074">
        <w:rPr>
          <w:rFonts w:ascii="OrigGarmnd BT" w:hAnsi="OrigGarmnd BT"/>
          <w:b/>
          <w:i/>
          <w:szCs w:val="24"/>
          <w:lang w:eastAsia="en-US"/>
        </w:rPr>
        <w:t>–</w:t>
      </w:r>
      <w:r w:rsidR="00B57C0E" w:rsidRPr="00600074">
        <w:rPr>
          <w:rFonts w:ascii="OrigGarmnd BT" w:hAnsi="OrigGarmnd BT"/>
          <w:b/>
          <w:i/>
          <w:szCs w:val="24"/>
          <w:lang w:eastAsia="en-US"/>
        </w:rPr>
        <w:t>Lägesrapport från kommissionen</w:t>
      </w:r>
    </w:p>
    <w:p w:rsidR="00B57C0E" w:rsidRPr="00600074" w:rsidRDefault="006612A9" w:rsidP="00B57C0E">
      <w:pPr>
        <w:pStyle w:val="Par-number1"/>
        <w:numPr>
          <w:ilvl w:val="0"/>
          <w:numId w:val="0"/>
        </w:numPr>
        <w:spacing w:line="240" w:lineRule="auto"/>
        <w:rPr>
          <w:rFonts w:ascii="TradeGothic" w:hAnsi="TradeGothic"/>
          <w:b/>
          <w:sz w:val="22"/>
          <w:lang w:eastAsia="en-US"/>
        </w:rPr>
      </w:pPr>
      <w:r w:rsidRPr="00600074">
        <w:rPr>
          <w:rFonts w:ascii="OrigGarmnd BT" w:hAnsi="OrigGarmnd BT"/>
          <w:b/>
          <w:i/>
          <w:szCs w:val="24"/>
          <w:lang w:eastAsia="en-US"/>
        </w:rPr>
        <w:t>–</w:t>
      </w:r>
      <w:r w:rsidR="00B57C0E" w:rsidRPr="00600074">
        <w:rPr>
          <w:rFonts w:ascii="OrigGarmnd BT" w:hAnsi="OrigGarmnd BT"/>
          <w:b/>
          <w:i/>
          <w:szCs w:val="24"/>
          <w:lang w:eastAsia="en-US"/>
        </w:rPr>
        <w:t>Diskussion</w:t>
      </w:r>
    </w:p>
    <w:p w:rsidR="008765AF" w:rsidRPr="00600074" w:rsidRDefault="008765AF" w:rsidP="007E5C3A">
      <w:pPr>
        <w:pStyle w:val="RKnormal"/>
        <w:rPr>
          <w:i/>
          <w:iCs/>
        </w:rPr>
      </w:pPr>
    </w:p>
    <w:p w:rsidR="008765AF" w:rsidRPr="00600074" w:rsidRDefault="008765AF" w:rsidP="007E5C3A">
      <w:pPr>
        <w:pStyle w:val="RKnormal"/>
        <w:rPr>
          <w:i/>
          <w:iCs/>
        </w:rPr>
      </w:pPr>
    </w:p>
    <w:p w:rsidR="007E5C3A" w:rsidRPr="00600074" w:rsidRDefault="007E5C3A" w:rsidP="007E5C3A">
      <w:pPr>
        <w:pStyle w:val="RKnormal"/>
        <w:rPr>
          <w:i/>
          <w:iCs/>
        </w:rPr>
      </w:pPr>
      <w:r w:rsidRPr="00600074">
        <w:rPr>
          <w:i/>
          <w:iCs/>
        </w:rPr>
        <w:t>Dokumentbeteckning</w:t>
      </w:r>
    </w:p>
    <w:p w:rsidR="007E5C3A" w:rsidRPr="00600074" w:rsidRDefault="008765AF" w:rsidP="007E5C3A">
      <w:pPr>
        <w:pStyle w:val="RKnormal"/>
        <w:rPr>
          <w:iCs/>
        </w:rPr>
      </w:pPr>
      <w:r w:rsidRPr="00600074">
        <w:rPr>
          <w:iCs/>
        </w:rPr>
        <w:t xml:space="preserve">16027/10 PECHE 274 N 27 </w:t>
      </w:r>
    </w:p>
    <w:p w:rsidR="007E5C3A" w:rsidRPr="00600074" w:rsidRDefault="007E5C3A" w:rsidP="007E5C3A">
      <w:pPr>
        <w:pStyle w:val="RKnormal"/>
        <w:rPr>
          <w:i/>
          <w:iCs/>
        </w:rPr>
      </w:pPr>
    </w:p>
    <w:p w:rsidR="007E5C3A" w:rsidRPr="00600074" w:rsidRDefault="007E5C3A" w:rsidP="007E5C3A">
      <w:pPr>
        <w:pStyle w:val="RKnormal"/>
        <w:rPr>
          <w:i/>
          <w:iCs/>
        </w:rPr>
      </w:pPr>
      <w:r w:rsidRPr="00600074">
        <w:rPr>
          <w:i/>
          <w:iCs/>
        </w:rPr>
        <w:t>Rättslig grund</w:t>
      </w:r>
    </w:p>
    <w:p w:rsidR="007E5C3A" w:rsidRPr="00600074" w:rsidRDefault="007E5C3A" w:rsidP="007E5C3A">
      <w:pPr>
        <w:pStyle w:val="RKnormal"/>
        <w:rPr>
          <w:bCs/>
          <w:szCs w:val="24"/>
        </w:rPr>
      </w:pPr>
      <w:r w:rsidRPr="00600074">
        <w:rPr>
          <w:bCs/>
          <w:szCs w:val="24"/>
        </w:rPr>
        <w:t xml:space="preserve">Artikel 43.3 EUF samt rådets förordning (EG) nr 2371/2002 av den 20 december 2002 om bevarande och särskilt utnyttjande av fiskeresurserna inom ramen för den gemensamma fiskeripolitiken, särskilt artikel 20. </w:t>
      </w:r>
      <w:r w:rsidRPr="00600074">
        <w:rPr>
          <w:szCs w:val="24"/>
        </w:rPr>
        <w:t>Beslut fattas av rådet med kvalificerad majoritet på förslag av kommissionen.</w:t>
      </w:r>
    </w:p>
    <w:p w:rsidR="007E5C3A" w:rsidRPr="00600074" w:rsidRDefault="007E5C3A" w:rsidP="007E5C3A">
      <w:pPr>
        <w:pStyle w:val="RKnormal"/>
        <w:rPr>
          <w:i/>
          <w:iCs/>
        </w:rPr>
      </w:pPr>
    </w:p>
    <w:p w:rsidR="007E5C3A" w:rsidRPr="00600074" w:rsidRDefault="007E5C3A" w:rsidP="007E5C3A">
      <w:pPr>
        <w:pStyle w:val="RKnormal"/>
        <w:rPr>
          <w:i/>
          <w:iCs/>
        </w:rPr>
      </w:pPr>
      <w:r w:rsidRPr="00600074">
        <w:rPr>
          <w:i/>
          <w:iCs/>
        </w:rPr>
        <w:t>Bakgrund</w:t>
      </w:r>
    </w:p>
    <w:p w:rsidR="007E5C3A" w:rsidRPr="00600074" w:rsidRDefault="007E5C3A" w:rsidP="007E5C3A">
      <w:r w:rsidRPr="00600074">
        <w:t>Inom ramen för den gemensamm</w:t>
      </w:r>
      <w:r w:rsidR="00067611" w:rsidRPr="00600074">
        <w:t>a fiskeripolitiken förhandlar EU</w:t>
      </w:r>
      <w:r w:rsidRPr="00600074">
        <w:t xml:space="preserve"> årligen med Norge om fiskekvoter och övriga regler för fisket för kommande år på gemensamma och gemensamt förvaltade bestånd i Nordsjön, Skagerack och Kattegatt. Årsförhandlingarna baseras på långsiktiga fiskeavtal mel</w:t>
      </w:r>
      <w:r w:rsidR="00067611" w:rsidRPr="00600074">
        <w:t>lan EU</w:t>
      </w:r>
      <w:r w:rsidRPr="00600074">
        <w:t xml:space="preserve"> och Norge. Förhandlingsresultaten förs in i EU:s TAC- och kvotförordning</w:t>
      </w:r>
      <w:r w:rsidRPr="00600074">
        <w:rPr>
          <w:rStyle w:val="Fotnotsreferens"/>
        </w:rPr>
        <w:footnoteReference w:id="1"/>
      </w:r>
      <w:r w:rsidRPr="00600074">
        <w:t xml:space="preserve"> som fastställs vid jordbruks- och fiskerådet i december. </w:t>
      </w:r>
      <w:r w:rsidRPr="00600074">
        <w:rPr>
          <w:lang w:eastAsia="sv-SE"/>
        </w:rPr>
        <w:t xml:space="preserve">I år äger </w:t>
      </w:r>
      <w:r w:rsidRPr="00600074">
        <w:t>förhandlingarna med Norge rum vid två tillfällen, i Bryssel 15-19 november samt i Bergen den 29 november – 3 december. Dagordningspunkten avser en avstämning inför den sista förhandlingsrundan om eventuella utestående frågor,</w:t>
      </w:r>
      <w:r w:rsidRPr="00600074">
        <w:rPr>
          <w:lang w:eastAsia="sv-SE"/>
        </w:rPr>
        <w:t xml:space="preserve"> exempelvis avseende lämpliga fångstmängder; förhandlingsupplägg för att balansera utbyten av fiskemöjligheter osv.</w:t>
      </w:r>
      <w:r w:rsidRPr="00600074">
        <w:t xml:space="preserve"> Då avtalet med Norge rör fisket på viktiga gemensamma bestånd i Nordsjön med omgivande vatten är det väsentligt att det kan slutföras i god tid innan beslutet i rådet i december om 2011 års TAC:er och kvoter.</w:t>
      </w:r>
    </w:p>
    <w:p w:rsidR="007E5C3A" w:rsidRPr="00600074" w:rsidRDefault="007E5C3A" w:rsidP="007E5C3A">
      <w:pPr>
        <w:pStyle w:val="RKnormal"/>
      </w:pPr>
    </w:p>
    <w:p w:rsidR="007E5C3A" w:rsidRPr="00600074" w:rsidRDefault="007E5C3A" w:rsidP="007E5C3A">
      <w:pPr>
        <w:pStyle w:val="RKnormal"/>
        <w:rPr>
          <w:i/>
          <w:iCs/>
        </w:rPr>
      </w:pPr>
      <w:r w:rsidRPr="00600074">
        <w:rPr>
          <w:i/>
          <w:iCs/>
        </w:rPr>
        <w:t>Förslag till svensk ståndpunkt</w:t>
      </w:r>
    </w:p>
    <w:p w:rsidR="00067611" w:rsidRPr="00600074" w:rsidRDefault="008E2CFA" w:rsidP="007E5C3A">
      <w:pPr>
        <w:pStyle w:val="RKnormal"/>
      </w:pPr>
      <w:r w:rsidRPr="00600074">
        <w:t xml:space="preserve">Regeringen </w:t>
      </w:r>
      <w:r w:rsidR="007E5C3A" w:rsidRPr="00600074">
        <w:t>anser att det är viktigt att komma överens med Norge om en gemensam hållbar förvaltning av bestånden i Nordsjön eftersom man delar ansvaret</w:t>
      </w:r>
      <w:r w:rsidR="00067611" w:rsidRPr="00600074">
        <w:t xml:space="preserve"> för dessa bestånd</w:t>
      </w:r>
      <w:r w:rsidR="007E5C3A" w:rsidRPr="00600074">
        <w:t xml:space="preserve">. Vidare är </w:t>
      </w:r>
      <w:r w:rsidRPr="00600074">
        <w:t xml:space="preserve">regeingens </w:t>
      </w:r>
      <w:r w:rsidR="007E5C3A" w:rsidRPr="00600074">
        <w:t xml:space="preserve">övergripande målsättning att tillse att den gemensamma fiskeripolitikens regelverk följs. Det gäller inte minst grundförordningens målsättning och principer om försiktighetsansatsens tillämpning, baserat på välgrundade vetenskapliga råd och gradvist införande av ekosystemansatsen. Internationella Havsforskningsrådets (ICES) rådgivning ska </w:t>
      </w:r>
      <w:r w:rsidR="00144CDA" w:rsidRPr="00600074">
        <w:t xml:space="preserve">således utgöra en grund för förvaltningsbesluten. </w:t>
      </w:r>
    </w:p>
    <w:p w:rsidR="00B12960" w:rsidRPr="00600074" w:rsidRDefault="00B12960" w:rsidP="007E5C3A">
      <w:pPr>
        <w:pStyle w:val="RKnormal"/>
      </w:pPr>
    </w:p>
    <w:p w:rsidR="007E5C3A" w:rsidRPr="00600074" w:rsidRDefault="007E5C3A" w:rsidP="007E5C3A">
      <w:pPr>
        <w:pStyle w:val="RKnormal"/>
      </w:pPr>
      <w:r w:rsidRPr="00600074">
        <w:t xml:space="preserve">Långsiktiga förvaltnings- och återuppbyggnadsplaner bör noga följas, alternativt snarast upprättas, i enlighet med försiktighetsprincipen. Bedömningar av kommissionen och i förekommande fall de regionala rådgivande nämnderna ska noga beaktas. </w:t>
      </w:r>
    </w:p>
    <w:p w:rsidR="007E5C3A" w:rsidRPr="00600074" w:rsidRDefault="007E5C3A" w:rsidP="007E5C3A">
      <w:pPr>
        <w:pStyle w:val="RKnormal"/>
        <w:rPr>
          <w:i/>
          <w:iCs/>
        </w:rPr>
      </w:pPr>
    </w:p>
    <w:p w:rsidR="00067611" w:rsidRPr="00600074" w:rsidRDefault="00067611" w:rsidP="007E5C3A">
      <w:pPr>
        <w:pStyle w:val="RKnormal"/>
        <w:rPr>
          <w:i/>
          <w:iCs/>
        </w:rPr>
      </w:pPr>
    </w:p>
    <w:p w:rsidR="007E5C3A" w:rsidRPr="00600074" w:rsidRDefault="007E5C3A" w:rsidP="007E5C3A">
      <w:pPr>
        <w:pStyle w:val="RKnormal"/>
        <w:rPr>
          <w:i/>
          <w:iCs/>
        </w:rPr>
      </w:pPr>
      <w:r w:rsidRPr="00600074">
        <w:rPr>
          <w:i/>
          <w:iCs/>
        </w:rPr>
        <w:t>EU-nämnden</w:t>
      </w:r>
      <w:r w:rsidR="00067611" w:rsidRPr="00600074">
        <w:rPr>
          <w:i/>
          <w:iCs/>
        </w:rPr>
        <w:t xml:space="preserve"> och MJU</w:t>
      </w:r>
    </w:p>
    <w:p w:rsidR="00067611" w:rsidRPr="00600074" w:rsidRDefault="00067611" w:rsidP="00067611">
      <w:pPr>
        <w:pStyle w:val="RKnormal"/>
      </w:pPr>
      <w:r w:rsidRPr="00600074">
        <w:t>Frågan var senast föremål för information i MJU och samråd med EU-nämnden inför Jordbruks- och fiskerådet i oktober 2010. Då hölls även en särskild överläggning med MJU om denna fråga.</w:t>
      </w:r>
    </w:p>
    <w:p w:rsidR="00B57C0E" w:rsidRPr="00600074" w:rsidRDefault="00B57C0E">
      <w:pPr>
        <w:pStyle w:val="RKnormal"/>
      </w:pPr>
    </w:p>
    <w:p w:rsidR="00067611" w:rsidRPr="00600074" w:rsidRDefault="00067611">
      <w:pPr>
        <w:pStyle w:val="RKnormal"/>
      </w:pPr>
    </w:p>
    <w:p w:rsidR="00B57C0E" w:rsidRPr="00600074" w:rsidRDefault="00B57C0E" w:rsidP="00D60C0E">
      <w:pPr>
        <w:pStyle w:val="RKrubrik"/>
      </w:pPr>
      <w:r w:rsidRPr="00600074">
        <w:t>JORDBRUK</w:t>
      </w:r>
    </w:p>
    <w:p w:rsidR="00B57C0E" w:rsidRPr="00600074" w:rsidRDefault="00B57C0E">
      <w:pPr>
        <w:pStyle w:val="RKnormal"/>
      </w:pPr>
    </w:p>
    <w:p w:rsidR="008765AF" w:rsidRPr="00600074" w:rsidRDefault="008765AF" w:rsidP="008765AF">
      <w:pPr>
        <w:pStyle w:val="RKnormal"/>
      </w:pPr>
    </w:p>
    <w:p w:rsidR="008765AF" w:rsidRPr="00600074" w:rsidRDefault="008765AF" w:rsidP="007F4ED5">
      <w:pPr>
        <w:pStyle w:val="RKrubrik"/>
      </w:pPr>
      <w:r w:rsidRPr="00600074">
        <w:t>6</w:t>
      </w:r>
      <w:r w:rsidR="007F4ED5" w:rsidRPr="00600074">
        <w:t>)</w:t>
      </w:r>
      <w:r w:rsidRPr="00600074">
        <w:t xml:space="preserve"> Förslag till rådets beslut om att inte ta upp 1,3-diklorpropen i bilaga I till rådets direktiv</w:t>
      </w:r>
      <w:r w:rsidRPr="00600074">
        <w:rPr>
          <w:rFonts w:ascii="Times New Roman" w:hAnsi="Times New Roman"/>
        </w:rPr>
        <w:t> </w:t>
      </w:r>
      <w:r w:rsidRPr="00600074">
        <w:rPr>
          <w:rFonts w:cs="TradeGothic"/>
        </w:rPr>
        <w:t>91/414/EEG</w:t>
      </w:r>
    </w:p>
    <w:p w:rsidR="008765AF" w:rsidRPr="00600074" w:rsidRDefault="008765AF" w:rsidP="008765AF">
      <w:pPr>
        <w:pStyle w:val="Par-number1"/>
        <w:numPr>
          <w:ilvl w:val="0"/>
          <w:numId w:val="0"/>
        </w:numPr>
        <w:spacing w:line="240" w:lineRule="auto"/>
        <w:rPr>
          <w:rFonts w:ascii="OrigGarmnd BT" w:hAnsi="OrigGarmnd BT"/>
          <w:b/>
          <w:i/>
          <w:sz w:val="22"/>
          <w:lang w:eastAsia="en-US"/>
        </w:rPr>
      </w:pPr>
      <w:r w:rsidRPr="00600074">
        <w:rPr>
          <w:rFonts w:ascii="OrigGarmnd BT" w:hAnsi="OrigGarmnd BT"/>
          <w:b/>
          <w:bCs/>
          <w:i/>
          <w:iCs/>
        </w:rPr>
        <w:t>-</w:t>
      </w:r>
      <w:r w:rsidRPr="00600074">
        <w:rPr>
          <w:rFonts w:ascii="OrigGarmnd BT" w:hAnsi="OrigGarmnd BT"/>
          <w:b/>
          <w:i/>
          <w:sz w:val="22"/>
          <w:lang w:eastAsia="en-US"/>
        </w:rPr>
        <w:t xml:space="preserve"> Antagande</w:t>
      </w:r>
    </w:p>
    <w:p w:rsidR="008765AF" w:rsidRPr="00600074" w:rsidRDefault="008765AF" w:rsidP="008765AF">
      <w:pPr>
        <w:pStyle w:val="RKnormal"/>
        <w:rPr>
          <w:i/>
          <w:iCs/>
        </w:rPr>
      </w:pPr>
    </w:p>
    <w:p w:rsidR="008765AF" w:rsidRPr="00600074" w:rsidRDefault="008765AF" w:rsidP="008765AF">
      <w:pPr>
        <w:pStyle w:val="RKnormal"/>
        <w:rPr>
          <w:i/>
          <w:iCs/>
        </w:rPr>
      </w:pPr>
      <w:r w:rsidRPr="00600074">
        <w:rPr>
          <w:i/>
          <w:iCs/>
        </w:rPr>
        <w:t>Dokumentbeteckning</w:t>
      </w:r>
    </w:p>
    <w:p w:rsidR="008765AF" w:rsidRPr="00600074" w:rsidRDefault="008765AF" w:rsidP="008765AF">
      <w:pPr>
        <w:pStyle w:val="RKnormal"/>
        <w:rPr>
          <w:szCs w:val="24"/>
        </w:rPr>
      </w:pPr>
      <w:r w:rsidRPr="00600074">
        <w:rPr>
          <w:szCs w:val="24"/>
        </w:rPr>
        <w:t>13450/10 AGRILEG 115</w:t>
      </w:r>
    </w:p>
    <w:p w:rsidR="008765AF" w:rsidRPr="00600074" w:rsidRDefault="008765AF" w:rsidP="008765AF">
      <w:pPr>
        <w:pStyle w:val="RKnormal"/>
        <w:rPr>
          <w:i/>
          <w:iCs/>
        </w:rPr>
      </w:pPr>
    </w:p>
    <w:p w:rsidR="008765AF" w:rsidRPr="00600074" w:rsidRDefault="008765AF" w:rsidP="008765AF">
      <w:pPr>
        <w:pStyle w:val="RKnormal"/>
        <w:rPr>
          <w:i/>
          <w:iCs/>
        </w:rPr>
      </w:pPr>
      <w:r w:rsidRPr="00600074">
        <w:rPr>
          <w:i/>
          <w:iCs/>
        </w:rPr>
        <w:t>Rättslig grund</w:t>
      </w:r>
    </w:p>
    <w:p w:rsidR="008765AF" w:rsidRPr="00600074" w:rsidRDefault="008765AF" w:rsidP="008765AF">
      <w:pPr>
        <w:pStyle w:val="RKnormal"/>
        <w:rPr>
          <w:iCs/>
        </w:rPr>
      </w:pPr>
      <w:r w:rsidRPr="00600074">
        <w:t>Art. 8 §2  r</w:t>
      </w:r>
      <w:r w:rsidRPr="00600074">
        <w:rPr>
          <w:iCs/>
        </w:rPr>
        <w:t>ådets direktiv 91/414/EEG om utsläppande av växtskyddsmedel på marknaden. Direktivet är baserat på artikel 43 i EG-fördraget.</w:t>
      </w:r>
    </w:p>
    <w:p w:rsidR="008765AF" w:rsidRPr="00600074" w:rsidRDefault="008765AF" w:rsidP="008765AF">
      <w:pPr>
        <w:pStyle w:val="RKnormal"/>
        <w:rPr>
          <w:i/>
          <w:iCs/>
        </w:rPr>
      </w:pPr>
    </w:p>
    <w:p w:rsidR="008765AF" w:rsidRPr="00600074" w:rsidRDefault="008765AF" w:rsidP="008765AF">
      <w:pPr>
        <w:pStyle w:val="RKnormal"/>
        <w:rPr>
          <w:i/>
          <w:iCs/>
        </w:rPr>
      </w:pPr>
      <w:r w:rsidRPr="00600074">
        <w:rPr>
          <w:i/>
          <w:iCs/>
        </w:rPr>
        <w:t>Bakgrund</w:t>
      </w:r>
    </w:p>
    <w:p w:rsidR="008765AF" w:rsidRPr="00600074" w:rsidRDefault="008765AF" w:rsidP="008765AF">
      <w:pPr>
        <w:pStyle w:val="RKnormal"/>
      </w:pPr>
      <w:r w:rsidRPr="00600074">
        <w:t xml:space="preserve">Det har tidigare beslutats om att inte uppta 1,3-diklorpropen (1,3-D) i </w:t>
      </w:r>
      <w:r w:rsidR="00DD363C" w:rsidRPr="00600074">
        <w:t xml:space="preserve">bilaga </w:t>
      </w:r>
      <w:r w:rsidRPr="00600074">
        <w:t xml:space="preserve">I till växtskyddsmedelsdirektivet. </w:t>
      </w:r>
      <w:r w:rsidR="00DD363C" w:rsidRPr="00600074">
        <w:t>Ett upptag i bilagan innebär att produkter som innehåller ämnet kan godkännas av medlemsstaterna. Om man beslutar att inte ta upp ett ämne ska produkter som innehåller det fasas ut över en period som fastställs i beslutet</w:t>
      </w:r>
      <w:r w:rsidRPr="00600074">
        <w:t>Beslutet, som togs år 2007 (2007/619/EG), gäller fortfarande och innebär att 1,3-D inte längre får användas i gemenskapen. Därefter har två företag ansökt om att ompröva beslutet för att få till stånd ett upptag (resubmission). Den Ständiga kommittén för Livsmedelskedjan och Djurhälsa, SKLD  röstade den 9 juli 2010 återigen om ett förslag från kommissionenatt inte uppta ämnet i Annex I. Kommittén uppnådde denna gång inte  kvalificerad majoritet (QMV) för förslaget (150 röster för förslaget, 154 emot och 41 avstod). Kommissionen går därför vidare med ärendet till rådet.</w:t>
      </w:r>
    </w:p>
    <w:p w:rsidR="008765AF" w:rsidRPr="00600074" w:rsidRDefault="008765AF" w:rsidP="008765AF">
      <w:pPr>
        <w:pStyle w:val="RKnormal"/>
      </w:pPr>
    </w:p>
    <w:p w:rsidR="008765AF" w:rsidRPr="00600074" w:rsidRDefault="008765AF" w:rsidP="008765AF">
      <w:pPr>
        <w:pStyle w:val="RKnormal"/>
        <w:rPr>
          <w:i/>
          <w:iCs/>
        </w:rPr>
      </w:pPr>
      <w:r w:rsidRPr="00600074">
        <w:t>En rad medlemsstater har lagt hård press på kommissionen att ändra i sitt beslut och göra ett restriktivt upptag, vilket kommissionen har avböjt. Vid ett attachémöte den 15 november fanns inte en QMV mot kommissionens förslag.</w:t>
      </w:r>
    </w:p>
    <w:p w:rsidR="008765AF" w:rsidRPr="00600074" w:rsidRDefault="008765AF" w:rsidP="008765AF">
      <w:pPr>
        <w:pStyle w:val="RKnormal"/>
        <w:rPr>
          <w:i/>
          <w:iCs/>
        </w:rPr>
      </w:pPr>
    </w:p>
    <w:p w:rsidR="008765AF" w:rsidRPr="00600074" w:rsidRDefault="008765AF" w:rsidP="008765AF">
      <w:pPr>
        <w:pStyle w:val="RKnormal"/>
        <w:rPr>
          <w:bCs/>
        </w:rPr>
      </w:pPr>
      <w:r w:rsidRPr="00600074">
        <w:t xml:space="preserve">1,3-dikloropropen är ett medel mot främst nematoder i jord, ett s.k. jorddesinfektionsmedel. Ämnet förbjöds </w:t>
      </w:r>
      <w:r w:rsidRPr="00600074">
        <w:rPr>
          <w:bCs/>
        </w:rPr>
        <w:t xml:space="preserve">1988 i Sverige p.g.a. misstänkt cancerogena egenskaper och hög rörlighet i jord. </w:t>
      </w:r>
    </w:p>
    <w:p w:rsidR="008765AF" w:rsidRPr="00600074" w:rsidRDefault="008765AF" w:rsidP="008765AF">
      <w:pPr>
        <w:pStyle w:val="RKnormal"/>
        <w:rPr>
          <w:bCs/>
        </w:rPr>
      </w:pPr>
    </w:p>
    <w:p w:rsidR="008765AF" w:rsidRPr="00600074" w:rsidRDefault="008765AF" w:rsidP="008765AF">
      <w:pPr>
        <w:pStyle w:val="RKnormal"/>
      </w:pPr>
      <w:r w:rsidRPr="00600074">
        <w:rPr>
          <w:bCs/>
        </w:rPr>
        <w:t>Kommissionen anser att användningen av 1,3-D inte är förenligt med kraven i direktivet och stödjer sig på den bedömning som gjorts av Europeiska myndigheten för livsmedelssäkerhet, EFSA. Denna bedömning pekar på oacceptabla risker med 1,3-D och ett flertal (kända och okända) polyklorerade föroreningar som är farliga för fåglar, däggdjur, vattenlevande organismer och andra icke målorganismer. För tio föroreningar finns även en oro kring långväga atmosfärisk transport. Vidare finns risk för förorening av grundvatten. EFSA säger också att underlaget var otillräckligt för att kunna slutföra konsumentriskbedöm</w:t>
      </w:r>
      <w:r w:rsidRPr="00600074">
        <w:rPr>
          <w:bCs/>
        </w:rPr>
        <w:softHyphen/>
        <w:t xml:space="preserve">ningen. Det handlar bl.a. om bedömningen av ett tiotal föroreningar (varav flera klorerade) som inte kunnat slutföras. Föroreningar i verksamt ämne brukar handla om mycket små mängder. Men eftersom rekommenderad hektardos med 1.3-D är extremt hög (upp till 283 kg verksamt ämne/ha) innebär det att även föroreningarna hamnar på en extremt hög nivå (3-5 kg/ha). </w:t>
      </w:r>
      <w:r w:rsidR="00DD363C" w:rsidRPr="00600074">
        <w:rPr>
          <w:bCs/>
        </w:rPr>
        <w:t xml:space="preserve">Det kan därför inte uteslutas att det blir en påverkan på människors hälsa. </w:t>
      </w:r>
    </w:p>
    <w:p w:rsidR="008765AF" w:rsidRPr="00600074" w:rsidRDefault="008765AF" w:rsidP="008765AF">
      <w:pPr>
        <w:pStyle w:val="RKnormal"/>
      </w:pPr>
      <w:r w:rsidRPr="00600074">
        <w:t xml:space="preserve">Det har sedan föregående prövning 2007 inte framkommit några nya uppgifter som skulle kunna ändra beslutet om att inte uppta 1,3-diklorpropen (1,3-D) i </w:t>
      </w:r>
      <w:r w:rsidR="00DD363C" w:rsidRPr="00600074">
        <w:t xml:space="preserve">bilaga </w:t>
      </w:r>
      <w:r w:rsidRPr="00600074">
        <w:t>I till växtskyddsmedelsdirektivet.</w:t>
      </w:r>
    </w:p>
    <w:p w:rsidR="008765AF" w:rsidRPr="00600074" w:rsidRDefault="008765AF" w:rsidP="008765AF">
      <w:pPr>
        <w:pStyle w:val="RKnormal"/>
      </w:pPr>
    </w:p>
    <w:p w:rsidR="008765AF" w:rsidRPr="00600074" w:rsidRDefault="008765AF" w:rsidP="008765AF">
      <w:pPr>
        <w:pStyle w:val="RKnormal"/>
        <w:rPr>
          <w:i/>
          <w:iCs/>
        </w:rPr>
      </w:pPr>
      <w:r w:rsidRPr="00600074">
        <w:rPr>
          <w:i/>
          <w:iCs/>
        </w:rPr>
        <w:t>Förslag till svensk ståndpunkt</w:t>
      </w:r>
    </w:p>
    <w:p w:rsidR="008765AF" w:rsidRPr="00600074" w:rsidRDefault="008765AF" w:rsidP="008765AF">
      <w:pPr>
        <w:pStyle w:val="RKnormal"/>
        <w:rPr>
          <w:iCs/>
        </w:rPr>
      </w:pPr>
      <w:r w:rsidRPr="00600074">
        <w:rPr>
          <w:iCs/>
        </w:rPr>
        <w:t>Sverige bör rösta för kommissionens förslag att inte ta upp ämnet i annex I till direktiv 91/414/EG.</w:t>
      </w:r>
    </w:p>
    <w:p w:rsidR="008765AF" w:rsidRPr="00600074" w:rsidRDefault="008765AF" w:rsidP="008765AF">
      <w:pPr>
        <w:pStyle w:val="RKnormal"/>
        <w:rPr>
          <w:i/>
          <w:iCs/>
        </w:rPr>
      </w:pPr>
    </w:p>
    <w:p w:rsidR="008765AF" w:rsidRPr="00600074" w:rsidRDefault="008765AF" w:rsidP="008765AF">
      <w:pPr>
        <w:pStyle w:val="RKnormal"/>
        <w:rPr>
          <w:i/>
          <w:iCs/>
        </w:rPr>
      </w:pPr>
      <w:r w:rsidRPr="00600074">
        <w:rPr>
          <w:i/>
          <w:iCs/>
        </w:rPr>
        <w:t>EU-nämnden och MJU</w:t>
      </w:r>
    </w:p>
    <w:p w:rsidR="008765AF" w:rsidRPr="00600074" w:rsidRDefault="008765AF" w:rsidP="008765AF">
      <w:pPr>
        <w:pStyle w:val="RKnormal"/>
      </w:pPr>
      <w:r w:rsidRPr="00600074">
        <w:t xml:space="preserve">Frågan har inte tidigare varit föremål för information i MJU eller samråd med EU-nämnden. </w:t>
      </w:r>
    </w:p>
    <w:p w:rsidR="008765AF" w:rsidRPr="00600074" w:rsidRDefault="008765AF" w:rsidP="008765AF">
      <w:pPr>
        <w:pStyle w:val="RKnormal"/>
      </w:pPr>
    </w:p>
    <w:p w:rsidR="00B57C0E" w:rsidRPr="00600074" w:rsidRDefault="00B57C0E" w:rsidP="00B57C0E"/>
    <w:p w:rsidR="00B57C0E" w:rsidRPr="00600074" w:rsidRDefault="007F4ED5" w:rsidP="006612A9">
      <w:pPr>
        <w:pStyle w:val="RKrubrik"/>
      </w:pPr>
      <w:r w:rsidRPr="00600074">
        <w:t xml:space="preserve">7) </w:t>
      </w:r>
      <w:r w:rsidR="00B57C0E" w:rsidRPr="00600074">
        <w:t>Rapport om huruvida det är möjligt och lämpligt att lägga fram ett lagstiftningsförslag som gör det möjligt för Efsa att ta ut avgifter</w:t>
      </w:r>
    </w:p>
    <w:p w:rsidR="00B57C0E" w:rsidRPr="00600074" w:rsidRDefault="006612A9" w:rsidP="006612A9">
      <w:pPr>
        <w:pStyle w:val="RKnormal"/>
        <w:rPr>
          <w:b/>
          <w:i/>
        </w:rPr>
      </w:pPr>
      <w:r w:rsidRPr="00600074">
        <w:rPr>
          <w:b/>
          <w:i/>
        </w:rPr>
        <w:t xml:space="preserve">– </w:t>
      </w:r>
      <w:r w:rsidR="00B57C0E" w:rsidRPr="00600074">
        <w:rPr>
          <w:b/>
          <w:i/>
        </w:rPr>
        <w:t>Föredragning av kommissionen</w:t>
      </w:r>
    </w:p>
    <w:p w:rsidR="00B57C0E" w:rsidRPr="00600074" w:rsidRDefault="006612A9" w:rsidP="006612A9">
      <w:pPr>
        <w:pStyle w:val="RKnormal"/>
        <w:rPr>
          <w:b/>
          <w:i/>
        </w:rPr>
      </w:pPr>
      <w:r w:rsidRPr="00600074">
        <w:rPr>
          <w:b/>
          <w:i/>
        </w:rPr>
        <w:t xml:space="preserve">– </w:t>
      </w:r>
      <w:r w:rsidR="00B57C0E" w:rsidRPr="00600074">
        <w:rPr>
          <w:b/>
          <w:i/>
        </w:rPr>
        <w:t>Diskussion</w:t>
      </w:r>
    </w:p>
    <w:p w:rsidR="006612A9" w:rsidRPr="00600074" w:rsidRDefault="006612A9" w:rsidP="006612A9">
      <w:pPr>
        <w:pStyle w:val="RKnormal"/>
        <w:rPr>
          <w:i/>
          <w:iCs/>
        </w:rPr>
      </w:pPr>
    </w:p>
    <w:p w:rsidR="006612A9" w:rsidRPr="00600074" w:rsidRDefault="006612A9" w:rsidP="006612A9">
      <w:pPr>
        <w:pStyle w:val="RKnormal"/>
        <w:rPr>
          <w:i/>
          <w:iCs/>
        </w:rPr>
      </w:pPr>
      <w:r w:rsidRPr="00600074">
        <w:rPr>
          <w:i/>
          <w:iCs/>
        </w:rPr>
        <w:t>Dokumentbeteckning</w:t>
      </w:r>
    </w:p>
    <w:p w:rsidR="00B57C0E" w:rsidRPr="00600074" w:rsidRDefault="00B57C0E" w:rsidP="006612A9">
      <w:pPr>
        <w:pStyle w:val="RKnormal"/>
      </w:pPr>
      <w:r w:rsidRPr="00600074">
        <w:t>14198/10 AGRILEG 125 MI 335 DENLEG 96 SAN 194 CONSOM 82 RECH</w:t>
      </w:r>
      <w:r w:rsidRPr="00600074">
        <w:rPr>
          <w:rFonts w:ascii="Times New Roman" w:hAnsi="Times New Roman"/>
        </w:rPr>
        <w:t> </w:t>
      </w:r>
      <w:r w:rsidRPr="00600074">
        <w:rPr>
          <w:rFonts w:ascii="TradeGothic" w:hAnsi="TradeGothic" w:cs="TradeGothic"/>
        </w:rPr>
        <w:t xml:space="preserve">311 </w:t>
      </w:r>
      <w:r w:rsidRPr="00600074">
        <w:rPr>
          <w:rFonts w:cs="TradeGothic"/>
        </w:rPr>
        <w:t>AGRIFIN 27</w:t>
      </w:r>
    </w:p>
    <w:p w:rsidR="008B44B6" w:rsidRPr="00600074" w:rsidRDefault="008B44B6" w:rsidP="00F870EF">
      <w:pPr>
        <w:pStyle w:val="RKnormal"/>
        <w:rPr>
          <w:i/>
          <w:iCs/>
        </w:rPr>
      </w:pPr>
    </w:p>
    <w:p w:rsidR="00F870EF" w:rsidRPr="00600074" w:rsidRDefault="00F870EF" w:rsidP="00F870EF">
      <w:pPr>
        <w:pStyle w:val="RKnormal"/>
        <w:rPr>
          <w:i/>
          <w:iCs/>
        </w:rPr>
      </w:pPr>
      <w:r w:rsidRPr="00600074">
        <w:rPr>
          <w:i/>
          <w:iCs/>
        </w:rPr>
        <w:t>Rättslig grund</w:t>
      </w:r>
    </w:p>
    <w:p w:rsidR="00F870EF" w:rsidRPr="00600074" w:rsidRDefault="00F870EF" w:rsidP="00F870EF">
      <w:pPr>
        <w:pStyle w:val="RKnormal"/>
        <w:rPr>
          <w:iCs/>
        </w:rPr>
      </w:pPr>
      <w:r w:rsidRPr="00600074">
        <w:rPr>
          <w:iCs/>
        </w:rPr>
        <w:t>-</w:t>
      </w:r>
    </w:p>
    <w:p w:rsidR="00F870EF" w:rsidRPr="00600074" w:rsidRDefault="00F870EF" w:rsidP="00F870EF">
      <w:pPr>
        <w:pStyle w:val="RKnormal"/>
        <w:rPr>
          <w:i/>
          <w:iCs/>
        </w:rPr>
      </w:pPr>
    </w:p>
    <w:p w:rsidR="00F870EF" w:rsidRPr="00600074" w:rsidRDefault="00F870EF" w:rsidP="00F870EF">
      <w:pPr>
        <w:pStyle w:val="RKnormal"/>
        <w:rPr>
          <w:i/>
          <w:iCs/>
        </w:rPr>
      </w:pPr>
      <w:r w:rsidRPr="00600074">
        <w:rPr>
          <w:i/>
          <w:iCs/>
        </w:rPr>
        <w:t>Bakgrund</w:t>
      </w:r>
    </w:p>
    <w:p w:rsidR="00F870EF" w:rsidRPr="00600074" w:rsidRDefault="00F870EF" w:rsidP="00F870EF">
      <w:pPr>
        <w:pStyle w:val="RKnormal"/>
        <w:rPr>
          <w:i/>
          <w:iCs/>
        </w:rPr>
      </w:pPr>
      <w:r w:rsidRPr="00600074">
        <w:rPr>
          <w:lang w:eastAsia="sv-SE"/>
        </w:rPr>
        <w:t>Enligt förordning (EG) nr 178/2002, den s.k. allmänna livsmedelslagen, ska kommissionen efter samråd med Europeiska myndigheten för liv</w:t>
      </w:r>
      <w:r w:rsidRPr="00600074">
        <w:rPr>
          <w:lang w:eastAsia="sv-SE"/>
        </w:rPr>
        <w:t>s</w:t>
      </w:r>
      <w:r w:rsidRPr="00600074">
        <w:rPr>
          <w:lang w:eastAsia="sv-SE"/>
        </w:rPr>
        <w:t>medelssäkerhet (EFSA), medlemsstaterna och berörda parter, offentli</w:t>
      </w:r>
      <w:r w:rsidRPr="00600074">
        <w:rPr>
          <w:lang w:eastAsia="sv-SE"/>
        </w:rPr>
        <w:t>g</w:t>
      </w:r>
      <w:r w:rsidRPr="00600074">
        <w:rPr>
          <w:lang w:eastAsia="sv-SE"/>
        </w:rPr>
        <w:t>göra en rapport med sin ståndpunkt om huruvida det är möjligt och lämpligt att lägga fram ett förslag om att införa avgifter för EFSA tre år efter myndighetens inrätta</w:t>
      </w:r>
      <w:r w:rsidRPr="00600074">
        <w:rPr>
          <w:lang w:eastAsia="sv-SE"/>
        </w:rPr>
        <w:t>n</w:t>
      </w:r>
      <w:r w:rsidRPr="00600074">
        <w:rPr>
          <w:lang w:eastAsia="sv-SE"/>
        </w:rPr>
        <w:t>de.</w:t>
      </w:r>
    </w:p>
    <w:p w:rsidR="00F870EF" w:rsidRPr="00600074" w:rsidRDefault="00F870EF" w:rsidP="00F870EF">
      <w:pPr>
        <w:pStyle w:val="RKnormal"/>
        <w:rPr>
          <w:iCs/>
        </w:rPr>
      </w:pPr>
      <w:r w:rsidRPr="00600074">
        <w:rPr>
          <w:iCs/>
        </w:rPr>
        <w:t>I ett samrådsdokument, som 2006 lades ut på kommissionens hemsida, identifierades de uppgifter som skulle kunna avgiftsbeläggas, dvs. vete</w:t>
      </w:r>
      <w:r w:rsidRPr="00600074">
        <w:rPr>
          <w:iCs/>
        </w:rPr>
        <w:t>n</w:t>
      </w:r>
      <w:r w:rsidRPr="00600074">
        <w:rPr>
          <w:iCs/>
        </w:rPr>
        <w:t>skaplig bedömning av ansökningar om marknadsgodkännande av t.ex. livsmedels- och fode</w:t>
      </w:r>
      <w:r w:rsidRPr="00600074">
        <w:rPr>
          <w:iCs/>
        </w:rPr>
        <w:t>r</w:t>
      </w:r>
      <w:r w:rsidRPr="00600074">
        <w:rPr>
          <w:iCs/>
        </w:rPr>
        <w:t>tillsater.</w:t>
      </w:r>
    </w:p>
    <w:p w:rsidR="00F870EF" w:rsidRPr="00600074" w:rsidRDefault="00F870EF" w:rsidP="00F870EF">
      <w:pPr>
        <w:pStyle w:val="RKnormal"/>
        <w:rPr>
          <w:iCs/>
        </w:rPr>
      </w:pPr>
      <w:r w:rsidRPr="00600074">
        <w:rPr>
          <w:iCs/>
        </w:rPr>
        <w:t>Mot bakgrund av de synpunkter som inkommit under samrådet konst</w:t>
      </w:r>
      <w:r w:rsidRPr="00600074">
        <w:rPr>
          <w:iCs/>
        </w:rPr>
        <w:t>a</w:t>
      </w:r>
      <w:r w:rsidRPr="00600074">
        <w:rPr>
          <w:iCs/>
        </w:rPr>
        <w:t>terar kommissionen i sin rapport att ytterligare reflexion behövs kring de ol</w:t>
      </w:r>
      <w:r w:rsidRPr="00600074">
        <w:rPr>
          <w:iCs/>
        </w:rPr>
        <w:t>i</w:t>
      </w:r>
      <w:r w:rsidRPr="00600074">
        <w:rPr>
          <w:iCs/>
        </w:rPr>
        <w:t>ka alternativ som kan övervägas, t.ex. schablonavgifter, olika former av graderade avgifter eller inga avgifter alls. Kommissionen anser alltså att det i detta skede inte går att dra några definitiva slutsatser och att en kons</w:t>
      </w:r>
      <w:r w:rsidRPr="00600074">
        <w:rPr>
          <w:iCs/>
        </w:rPr>
        <w:t>e</w:t>
      </w:r>
      <w:r w:rsidRPr="00600074">
        <w:rPr>
          <w:iCs/>
        </w:rPr>
        <w:t>kvensbedömning först måste genomföras.</w:t>
      </w:r>
    </w:p>
    <w:p w:rsidR="00F870EF" w:rsidRPr="00600074" w:rsidRDefault="00F870EF" w:rsidP="00F870EF">
      <w:pPr>
        <w:pStyle w:val="RKnormal"/>
        <w:rPr>
          <w:i/>
          <w:iCs/>
        </w:rPr>
      </w:pPr>
    </w:p>
    <w:p w:rsidR="00F870EF" w:rsidRPr="00600074" w:rsidRDefault="00F870EF" w:rsidP="00F870EF">
      <w:pPr>
        <w:pStyle w:val="RKnormal"/>
        <w:rPr>
          <w:i/>
          <w:iCs/>
        </w:rPr>
      </w:pPr>
      <w:r w:rsidRPr="00600074">
        <w:rPr>
          <w:i/>
          <w:iCs/>
        </w:rPr>
        <w:t>Förslag till svensk ståndpunkt</w:t>
      </w:r>
    </w:p>
    <w:p w:rsidR="00F870EF" w:rsidRPr="00600074" w:rsidRDefault="002F3460" w:rsidP="00F870EF">
      <w:pPr>
        <w:ind w:right="-29"/>
        <w:rPr>
          <w:bCs/>
        </w:rPr>
      </w:pPr>
      <w:r w:rsidRPr="00600074">
        <w:rPr>
          <w:bCs/>
        </w:rPr>
        <w:t xml:space="preserve">Den svenska regeringen </w:t>
      </w:r>
      <w:r w:rsidR="00F870EF" w:rsidRPr="00600074">
        <w:rPr>
          <w:bCs/>
        </w:rPr>
        <w:t>anser det viktigt att den gemensamma finansieringen av EFSA:s ver</w:t>
      </w:r>
      <w:r w:rsidR="00F870EF" w:rsidRPr="00600074">
        <w:rPr>
          <w:bCs/>
        </w:rPr>
        <w:t>k</w:t>
      </w:r>
      <w:r w:rsidR="00F870EF" w:rsidRPr="00600074">
        <w:rPr>
          <w:bCs/>
        </w:rPr>
        <w:t>samhet säkerställs.</w:t>
      </w:r>
    </w:p>
    <w:p w:rsidR="00F870EF" w:rsidRPr="00600074" w:rsidRDefault="002F3460" w:rsidP="00F870EF">
      <w:pPr>
        <w:pStyle w:val="RKnormal"/>
      </w:pPr>
      <w:r w:rsidRPr="00600074">
        <w:t xml:space="preserve">Regeringen </w:t>
      </w:r>
      <w:r w:rsidR="00F870EF" w:rsidRPr="00600074">
        <w:t xml:space="preserve">stöder principen att EFSA ska kunna ta ut avgifter i vissa fall, men att det är en komplex fråga som ytterligare måste studeras noggrant. </w:t>
      </w:r>
      <w:r w:rsidRPr="00600074">
        <w:t xml:space="preserve">Regeringen </w:t>
      </w:r>
      <w:r w:rsidR="00F870EF" w:rsidRPr="00600074">
        <w:t>kan se en viss risk med att avgifter på sikt kan gynna stora mult</w:t>
      </w:r>
      <w:r w:rsidR="00F870EF" w:rsidRPr="00600074">
        <w:t>i</w:t>
      </w:r>
      <w:r w:rsidR="00F870EF" w:rsidRPr="00600074">
        <w:t>nationella företag och verka dämpande på innovationen. Kostnaderna och den administrativa bördan för företagen måste också hållas på en miniminivå med särskild hänsyn till små och mellanstora f</w:t>
      </w:r>
      <w:r w:rsidR="00F870EF" w:rsidRPr="00600074">
        <w:t>ö</w:t>
      </w:r>
      <w:r w:rsidR="00F870EF" w:rsidRPr="00600074">
        <w:t>retag.</w:t>
      </w:r>
    </w:p>
    <w:p w:rsidR="00F870EF" w:rsidRPr="00600074" w:rsidRDefault="002F3460" w:rsidP="00F870EF">
      <w:pPr>
        <w:ind w:right="-29"/>
        <w:rPr>
          <w:bCs/>
        </w:rPr>
      </w:pPr>
      <w:r w:rsidRPr="00600074">
        <w:rPr>
          <w:bCs/>
        </w:rPr>
        <w:t xml:space="preserve">Regeringen </w:t>
      </w:r>
      <w:r w:rsidR="00F870EF" w:rsidRPr="00600074">
        <w:rPr>
          <w:bCs/>
        </w:rPr>
        <w:t>stöder kommissionens förslag om att en konsekvensutredning ska geno</w:t>
      </w:r>
      <w:r w:rsidR="00F870EF" w:rsidRPr="00600074">
        <w:rPr>
          <w:bCs/>
        </w:rPr>
        <w:t>m</w:t>
      </w:r>
      <w:r w:rsidR="00F870EF" w:rsidRPr="00600074">
        <w:rPr>
          <w:bCs/>
        </w:rPr>
        <w:t>föras innan slutgiltigt beslut tas i frågan.</w:t>
      </w:r>
    </w:p>
    <w:p w:rsidR="00F870EF" w:rsidRPr="00600074" w:rsidRDefault="00F870EF" w:rsidP="00F870EF">
      <w:pPr>
        <w:pStyle w:val="RKnormal"/>
        <w:rPr>
          <w:i/>
          <w:iCs/>
        </w:rPr>
      </w:pPr>
    </w:p>
    <w:p w:rsidR="00F870EF" w:rsidRPr="00600074" w:rsidRDefault="00F870EF" w:rsidP="00F870EF">
      <w:pPr>
        <w:pStyle w:val="RKnormal"/>
        <w:rPr>
          <w:i/>
          <w:iCs/>
        </w:rPr>
      </w:pPr>
      <w:r w:rsidRPr="00600074">
        <w:rPr>
          <w:i/>
          <w:iCs/>
        </w:rPr>
        <w:t>EU-nämnden</w:t>
      </w:r>
      <w:r w:rsidR="007F4ED5" w:rsidRPr="00600074">
        <w:rPr>
          <w:i/>
          <w:iCs/>
        </w:rPr>
        <w:t xml:space="preserve"> och MJU</w:t>
      </w:r>
    </w:p>
    <w:p w:rsidR="00F870EF" w:rsidRPr="00600074" w:rsidRDefault="00F870EF" w:rsidP="00F870EF">
      <w:pPr>
        <w:pStyle w:val="RKnormal"/>
      </w:pPr>
      <w:r w:rsidRPr="00600074">
        <w:t xml:space="preserve">Frågan har inte tidigare varit föremål för </w:t>
      </w:r>
      <w:r w:rsidR="007F4ED5" w:rsidRPr="00600074">
        <w:t xml:space="preserve">information i MJU eller </w:t>
      </w:r>
      <w:r w:rsidRPr="00600074">
        <w:t xml:space="preserve">samråd med EU-nämnden. </w:t>
      </w:r>
    </w:p>
    <w:p w:rsidR="00B57C0E" w:rsidRPr="00600074" w:rsidRDefault="00B57C0E" w:rsidP="00B57C0E">
      <w:pPr>
        <w:pStyle w:val="EntRefer"/>
        <w:tabs>
          <w:tab w:val="left" w:pos="1418"/>
        </w:tabs>
        <w:ind w:left="1418" w:hanging="851"/>
        <w:rPr>
          <w:rFonts w:ascii="TradeGothic" w:hAnsi="TradeGothic"/>
          <w:sz w:val="22"/>
          <w:lang w:eastAsia="en-US"/>
        </w:rPr>
      </w:pPr>
    </w:p>
    <w:p w:rsidR="00F870EF" w:rsidRPr="00600074" w:rsidRDefault="00F870EF" w:rsidP="00B57C0E">
      <w:pPr>
        <w:pStyle w:val="EntRefer"/>
        <w:tabs>
          <w:tab w:val="left" w:pos="1418"/>
        </w:tabs>
        <w:ind w:left="1418" w:hanging="851"/>
        <w:rPr>
          <w:rFonts w:ascii="TradeGothic" w:hAnsi="TradeGothic"/>
          <w:sz w:val="22"/>
          <w:lang w:eastAsia="en-US"/>
        </w:rPr>
      </w:pPr>
    </w:p>
    <w:p w:rsidR="00B57C0E" w:rsidRPr="00600074" w:rsidRDefault="00B57C0E" w:rsidP="003D31CB">
      <w:pPr>
        <w:pStyle w:val="RKrubrik"/>
      </w:pPr>
      <w:r w:rsidRPr="00600074">
        <w:t>SJK-PUNKTER</w:t>
      </w:r>
    </w:p>
    <w:p w:rsidR="00B57C0E" w:rsidRPr="00600074" w:rsidRDefault="00B57C0E" w:rsidP="003D31CB">
      <w:pPr>
        <w:pStyle w:val="Rubrik1"/>
      </w:pPr>
      <w:r w:rsidRPr="00600074">
        <w:t>Lagstiftningsöverläggningar</w:t>
      </w:r>
    </w:p>
    <w:p w:rsidR="00B57C0E" w:rsidRPr="00600074" w:rsidRDefault="00B57C0E" w:rsidP="00B57C0E">
      <w:pPr>
        <w:spacing w:line="240" w:lineRule="auto"/>
        <w:outlineLvl w:val="0"/>
        <w:rPr>
          <w:b/>
          <w:u w:val="single"/>
        </w:rPr>
      </w:pPr>
    </w:p>
    <w:p w:rsidR="003D31CB" w:rsidRPr="00600074" w:rsidRDefault="007F4ED5" w:rsidP="003D31CB">
      <w:pPr>
        <w:pStyle w:val="RKrubrik"/>
      </w:pPr>
      <w:r w:rsidRPr="00600074">
        <w:t xml:space="preserve">8) </w:t>
      </w:r>
      <w:r w:rsidR="00B57C0E" w:rsidRPr="00600074">
        <w:t>(ev.) Ändrat förslag till Europaparlamentets och rådets förordning om ändring av rådets förordningar (EG) nr 1234/2007 när det gäller utdelning av livsmedel till de sämst ställda i unionen</w:t>
      </w:r>
    </w:p>
    <w:p w:rsidR="00B57C0E" w:rsidRPr="00600074" w:rsidRDefault="008B44B6" w:rsidP="003D31CB">
      <w:pPr>
        <w:pStyle w:val="RKrubrik"/>
      </w:pPr>
      <w:r w:rsidRPr="00600074">
        <w:rPr>
          <w:rFonts w:ascii="OrigGarmnd BT" w:hAnsi="OrigGarmnd BT"/>
          <w:i/>
          <w:szCs w:val="24"/>
        </w:rPr>
        <w:t xml:space="preserve">– </w:t>
      </w:r>
      <w:r w:rsidR="003621CF" w:rsidRPr="00600074">
        <w:rPr>
          <w:rFonts w:ascii="OrigGarmnd BT" w:hAnsi="OrigGarmnd BT"/>
          <w:i/>
          <w:szCs w:val="24"/>
        </w:rPr>
        <w:t>Utgår</w:t>
      </w:r>
    </w:p>
    <w:p w:rsidR="007E60F6" w:rsidRPr="00600074" w:rsidRDefault="007E60F6" w:rsidP="007E60F6">
      <w:pPr>
        <w:pStyle w:val="RKnormal"/>
        <w:rPr>
          <w:i/>
          <w:iCs/>
        </w:rPr>
      </w:pPr>
    </w:p>
    <w:p w:rsidR="00B57C0E" w:rsidRPr="00600074" w:rsidRDefault="00B57C0E" w:rsidP="00B57C0E">
      <w:pPr>
        <w:pStyle w:val="EntRefer"/>
        <w:tabs>
          <w:tab w:val="left" w:pos="1418"/>
        </w:tabs>
        <w:ind w:left="1418" w:hanging="851"/>
        <w:rPr>
          <w:rFonts w:ascii="TradeGothic" w:hAnsi="TradeGothic"/>
          <w:sz w:val="22"/>
          <w:lang w:eastAsia="en-US"/>
        </w:rPr>
      </w:pPr>
    </w:p>
    <w:p w:rsidR="003D31CB" w:rsidRPr="00600074" w:rsidRDefault="003D31CB" w:rsidP="00B57C0E">
      <w:pPr>
        <w:spacing w:line="240" w:lineRule="auto"/>
        <w:outlineLvl w:val="0"/>
        <w:rPr>
          <w:rFonts w:ascii="TimesNewRomanPSMT" w:hAnsi="TimesNewRomanPSMT" w:cs="TimesNewRomanPSMT"/>
          <w:b/>
          <w:szCs w:val="24"/>
          <w:u w:val="single"/>
        </w:rPr>
      </w:pPr>
    </w:p>
    <w:p w:rsidR="007F4ED5" w:rsidRPr="00600074" w:rsidRDefault="007F4ED5" w:rsidP="003D31CB">
      <w:pPr>
        <w:pStyle w:val="RKrubrik"/>
      </w:pPr>
    </w:p>
    <w:p w:rsidR="00B57C0E" w:rsidRPr="00600074" w:rsidRDefault="00B57C0E" w:rsidP="003D31CB">
      <w:pPr>
        <w:pStyle w:val="RKrubrik"/>
      </w:pPr>
      <w:r w:rsidRPr="00600074">
        <w:t>Icke lagstiftande verksamhet</w:t>
      </w:r>
    </w:p>
    <w:p w:rsidR="00B57C0E" w:rsidRPr="00600074" w:rsidRDefault="00B57C0E" w:rsidP="00B57C0E"/>
    <w:p w:rsidR="0072472D" w:rsidRPr="00600074" w:rsidRDefault="0072472D" w:rsidP="0072472D">
      <w:pPr>
        <w:pStyle w:val="RKrubrik"/>
      </w:pPr>
      <w:r w:rsidRPr="00600074">
        <w:t>9) Meddelande från kommissionen om framtiden för den gemensamma jordbrukspolitiken efter 2013</w:t>
      </w:r>
    </w:p>
    <w:p w:rsidR="0072472D" w:rsidRPr="00600074" w:rsidRDefault="0072472D" w:rsidP="0072472D">
      <w:pPr>
        <w:pStyle w:val="RKrubrik"/>
      </w:pPr>
      <w:r w:rsidRPr="00600074">
        <w:rPr>
          <w:rFonts w:ascii="OrigGarmnd BT" w:hAnsi="OrigGarmnd BT"/>
          <w:i/>
          <w:sz w:val="24"/>
          <w:szCs w:val="24"/>
        </w:rPr>
        <w:t>– Föredragning av kommissionen</w:t>
      </w:r>
    </w:p>
    <w:p w:rsidR="0072472D" w:rsidRPr="00600074" w:rsidRDefault="0072472D" w:rsidP="0072472D">
      <w:pPr>
        <w:pStyle w:val="Par-number1"/>
        <w:numPr>
          <w:ilvl w:val="0"/>
          <w:numId w:val="0"/>
        </w:numPr>
        <w:spacing w:line="240" w:lineRule="auto"/>
        <w:rPr>
          <w:rFonts w:ascii="OrigGarmnd BT" w:hAnsi="OrigGarmnd BT"/>
          <w:b/>
          <w:i/>
          <w:szCs w:val="24"/>
          <w:lang w:eastAsia="en-US"/>
        </w:rPr>
      </w:pPr>
      <w:r w:rsidRPr="00600074">
        <w:rPr>
          <w:rFonts w:ascii="OrigGarmnd BT" w:hAnsi="OrigGarmnd BT"/>
          <w:b/>
          <w:i/>
          <w:szCs w:val="24"/>
          <w:lang w:eastAsia="en-US"/>
        </w:rPr>
        <w:t>– Diskussion</w:t>
      </w:r>
    </w:p>
    <w:p w:rsidR="0072472D" w:rsidRPr="00600074" w:rsidRDefault="0072472D" w:rsidP="0072472D">
      <w:pPr>
        <w:pStyle w:val="RKnormal"/>
        <w:rPr>
          <w:i/>
          <w:iCs/>
          <w:szCs w:val="24"/>
        </w:rPr>
      </w:pPr>
    </w:p>
    <w:p w:rsidR="0072472D" w:rsidRPr="00600074" w:rsidRDefault="0072472D" w:rsidP="0072472D">
      <w:pPr>
        <w:pStyle w:val="RKnormal"/>
        <w:rPr>
          <w:i/>
          <w:iCs/>
        </w:rPr>
      </w:pPr>
      <w:r w:rsidRPr="00600074">
        <w:rPr>
          <w:i/>
          <w:iCs/>
        </w:rPr>
        <w:t>Dokumentbeteckning</w:t>
      </w:r>
    </w:p>
    <w:p w:rsidR="0072472D" w:rsidRPr="00600074" w:rsidRDefault="0072472D" w:rsidP="0072472D">
      <w:pPr>
        <w:pStyle w:val="RKnormal"/>
        <w:rPr>
          <w:i/>
          <w:iCs/>
        </w:rPr>
      </w:pPr>
      <w:r w:rsidRPr="00600074">
        <w:rPr>
          <w:i/>
          <w:iCs/>
        </w:rPr>
        <w:t>-</w:t>
      </w:r>
    </w:p>
    <w:p w:rsidR="0072472D" w:rsidRPr="00600074" w:rsidRDefault="0072472D" w:rsidP="0072472D">
      <w:pPr>
        <w:pStyle w:val="RKnormal"/>
        <w:rPr>
          <w:i/>
          <w:iCs/>
        </w:rPr>
      </w:pPr>
    </w:p>
    <w:p w:rsidR="0072472D" w:rsidRPr="00600074" w:rsidRDefault="0072472D" w:rsidP="0072472D">
      <w:pPr>
        <w:pStyle w:val="RKnormal"/>
        <w:rPr>
          <w:i/>
          <w:iCs/>
        </w:rPr>
      </w:pPr>
      <w:r w:rsidRPr="00600074">
        <w:rPr>
          <w:i/>
          <w:iCs/>
        </w:rPr>
        <w:t>Rättslig grund</w:t>
      </w:r>
    </w:p>
    <w:p w:rsidR="0072472D" w:rsidRPr="00600074" w:rsidRDefault="0072472D" w:rsidP="0072472D">
      <w:pPr>
        <w:pStyle w:val="RKnormal"/>
        <w:rPr>
          <w:i/>
          <w:iCs/>
        </w:rPr>
      </w:pPr>
      <w:r w:rsidRPr="00600074">
        <w:rPr>
          <w:i/>
          <w:iCs/>
        </w:rPr>
        <w:t>-</w:t>
      </w:r>
    </w:p>
    <w:p w:rsidR="0072472D" w:rsidRPr="00600074" w:rsidRDefault="0072472D" w:rsidP="0072472D">
      <w:pPr>
        <w:pStyle w:val="RKnormal"/>
        <w:rPr>
          <w:i/>
          <w:iCs/>
        </w:rPr>
      </w:pPr>
    </w:p>
    <w:p w:rsidR="0072472D" w:rsidRPr="00600074" w:rsidRDefault="0072472D" w:rsidP="0072472D">
      <w:pPr>
        <w:pStyle w:val="RKnormal"/>
        <w:rPr>
          <w:i/>
          <w:iCs/>
        </w:rPr>
      </w:pPr>
      <w:r w:rsidRPr="00600074">
        <w:rPr>
          <w:i/>
          <w:iCs/>
        </w:rPr>
        <w:t>Bakgrund</w:t>
      </w:r>
    </w:p>
    <w:p w:rsidR="0072472D" w:rsidRPr="00600074" w:rsidRDefault="0072472D" w:rsidP="0072472D">
      <w:pPr>
        <w:pStyle w:val="RKnormal"/>
        <w:rPr>
          <w:iCs/>
        </w:rPr>
      </w:pPr>
      <w:r w:rsidRPr="00600074">
        <w:rPr>
          <w:iCs/>
        </w:rPr>
        <w:t xml:space="preserve">Den 18 november presenterade Kommissionen sitt meddelande om jordbrukspolitiken. Meddelandet kommer att diskuteras i rådet och särskilda jordbrukskommittén under slutet av 2010 och våren 2011. Det ungerska ordförandeskapet planerar rådsslutsatser senast i april. Parallellt med detta kommer Europaparlamentet att yttra sig i frågan. Rapportör är tyska kristdemokraten Albert Dess. Kommissionen kommer att presentera lagförslag till sommaren 2011 som sannolikt antas under 2012. I oktober 2010 presenterades budgetöversynsmeddelandet i vilket det finns ett avsnitt om CAP som stämmer väl överens med innehållet i CAP-meddelandet. </w:t>
      </w:r>
    </w:p>
    <w:p w:rsidR="0072472D" w:rsidRPr="00600074" w:rsidRDefault="0072472D" w:rsidP="0072472D">
      <w:pPr>
        <w:pStyle w:val="RKnormal"/>
        <w:rPr>
          <w:iCs/>
        </w:rPr>
      </w:pPr>
    </w:p>
    <w:p w:rsidR="0072472D" w:rsidRPr="00600074" w:rsidRDefault="0072472D" w:rsidP="0072472D">
      <w:pPr>
        <w:pStyle w:val="RKnormal"/>
        <w:rPr>
          <w:rFonts w:cs="OrigGarmnd BT"/>
          <w:iCs/>
        </w:rPr>
      </w:pPr>
      <w:r w:rsidRPr="00600074">
        <w:rPr>
          <w:iCs/>
        </w:rPr>
        <w:t>I det nu aktuella meddelandet argumenterar kommissionen för att CAP även fortsättningsvis ska bestå av en stark gemensam politik som är uppbyggd av två pelare. Den första pelaren ska bli grönare med en mer rättvis fördelning av medlen. Den andra pelaren ska fokusera på konkurrenskraft, innovation, miljö och klimat. Övergripande målsättningar för CAP är t</w:t>
      </w:r>
      <w:r w:rsidRPr="00600074">
        <w:rPr>
          <w:rFonts w:cs="OrigGarmnd BT"/>
          <w:iCs/>
        </w:rPr>
        <w:t>ryggad livsmedelsförsörjning inom EU och globalt, hållbart nyttjande av naturresurser samt dessutom bibehållandet av levande landsbygder, där jordbruket utgör kärnverksamheten och som skapar lokal sysselsättning.</w:t>
      </w:r>
    </w:p>
    <w:p w:rsidR="0072472D" w:rsidRPr="00600074" w:rsidRDefault="0072472D" w:rsidP="0072472D">
      <w:pPr>
        <w:pStyle w:val="RKnormal"/>
        <w:rPr>
          <w:rFonts w:cs="OrigGarmnd BT"/>
          <w:iCs/>
        </w:rPr>
      </w:pPr>
    </w:p>
    <w:p w:rsidR="0072472D" w:rsidRPr="00600074" w:rsidRDefault="0072472D" w:rsidP="0072472D">
      <w:pPr>
        <w:pStyle w:val="RKnormal"/>
        <w:rPr>
          <w:iCs/>
        </w:rPr>
      </w:pPr>
      <w:r w:rsidRPr="00600074">
        <w:rPr>
          <w:rFonts w:cs="OrigGarmnd BT"/>
          <w:iCs/>
        </w:rPr>
        <w:t>Direktstödet föreslås bestå av tre delar, en b</w:t>
      </w:r>
      <w:r w:rsidRPr="00600074">
        <w:rPr>
          <w:iCs/>
        </w:rPr>
        <w:t>asnivå med frikopplade stöd, en grön nivå med enkla, ettåriga och generella miljöersättningar samt en regional nivå med inkomststöd riktat till jordbruk i särskilt utsatta områden. Stöd ska även riktas till ”aktiva brukare”. Tak för att begränsa de högsta stödnivåerna (”capping”) föreslås införas. Därtill föreslås frivilligt kopplade stöd till specifika regioner eller sektorer.</w:t>
      </w:r>
    </w:p>
    <w:p w:rsidR="0072472D" w:rsidRPr="00600074" w:rsidRDefault="0072472D" w:rsidP="0072472D">
      <w:pPr>
        <w:pStyle w:val="RKnormal"/>
        <w:rPr>
          <w:iCs/>
        </w:rPr>
      </w:pPr>
    </w:p>
    <w:p w:rsidR="0072472D" w:rsidRPr="00600074" w:rsidRDefault="0072472D" w:rsidP="0072472D">
      <w:pPr>
        <w:pStyle w:val="RKnormal"/>
        <w:rPr>
          <w:iCs/>
        </w:rPr>
      </w:pPr>
      <w:r w:rsidRPr="00600074">
        <w:rPr>
          <w:rFonts w:cs="OrigGarmnd BT"/>
          <w:iCs/>
        </w:rPr>
        <w:t>Betydelsen av marknadsstöd tonas ner ytterligare. Kommissionen föreslår doc</w:t>
      </w:r>
      <w:r w:rsidRPr="00600074">
        <w:rPr>
          <w:iCs/>
        </w:rPr>
        <w:t xml:space="preserve">k att det även i framtiden kommer att behövas ett s.k. säkerhetsnät och att sådana åtgärder kan behövas i ännu flera sektorer. </w:t>
      </w:r>
    </w:p>
    <w:p w:rsidR="0072472D" w:rsidRPr="00600074" w:rsidRDefault="0072472D" w:rsidP="0072472D">
      <w:pPr>
        <w:pStyle w:val="RKnormal"/>
        <w:rPr>
          <w:iCs/>
        </w:rPr>
      </w:pPr>
    </w:p>
    <w:p w:rsidR="0072472D" w:rsidRPr="00600074" w:rsidRDefault="0072472D" w:rsidP="0072472D">
      <w:pPr>
        <w:pStyle w:val="RKnormal"/>
        <w:rPr>
          <w:iCs/>
        </w:rPr>
      </w:pPr>
      <w:r w:rsidRPr="00600074">
        <w:rPr>
          <w:iCs/>
        </w:rPr>
        <w:t xml:space="preserve">Tre övergripande mål föreslås för landsbygdsprogrammet; konkurrenskraft inom jordbruket, hållbart nyttjande av naturresurser och territoriell balans. Dessa motsvarar ungefär dagens axlar inom landsbygdsprogrammet. </w:t>
      </w:r>
      <w:r w:rsidRPr="00600074">
        <w:rPr>
          <w:rFonts w:cs="OrigGarmnd BT"/>
          <w:iCs/>
        </w:rPr>
        <w:t>Miljö, klimat och innovation ska vara ”vägledande” teman under dessa tre övergripande målsättningar. Kommissionen föreslår också en gemensam EU-strategi för struktur, sammanhållnings-, landsbygdsutvecklings och fiskefonderna samt införandet av ett riskhanteringsinstrument inom landsbygdsprogrammet som syftar till att h</w:t>
      </w:r>
      <w:r w:rsidRPr="00600074">
        <w:rPr>
          <w:iCs/>
        </w:rPr>
        <w:t>antera inkomstrisker och prisvolatilitet. Därtill ska b</w:t>
      </w:r>
      <w:r w:rsidRPr="00600074">
        <w:rPr>
          <w:rFonts w:cs="OrigGarmnd BT"/>
          <w:iCs/>
        </w:rPr>
        <w:t>udgetfördelningen av landsbygdsfondens medel i större utsträckning baseras på objektiva kriterier, dock utan alltför stora förändringar i jämförelse med dagens</w:t>
      </w:r>
      <w:r w:rsidRPr="00600074">
        <w:rPr>
          <w:iCs/>
        </w:rPr>
        <w:t xml:space="preserve"> system.</w:t>
      </w:r>
    </w:p>
    <w:p w:rsidR="0072472D" w:rsidRPr="00600074" w:rsidRDefault="0072472D" w:rsidP="0072472D">
      <w:pPr>
        <w:pStyle w:val="RKnormal"/>
        <w:rPr>
          <w:i/>
          <w:iCs/>
        </w:rPr>
      </w:pPr>
    </w:p>
    <w:p w:rsidR="0072472D" w:rsidRPr="00600074" w:rsidRDefault="0072472D" w:rsidP="0072472D">
      <w:pPr>
        <w:pStyle w:val="RKnormal"/>
        <w:rPr>
          <w:i/>
          <w:iCs/>
        </w:rPr>
      </w:pPr>
      <w:r w:rsidRPr="00600074">
        <w:rPr>
          <w:i/>
          <w:iCs/>
        </w:rPr>
        <w:t>Förslag till svensk ståndpunkt</w:t>
      </w:r>
    </w:p>
    <w:p w:rsidR="00144CDA" w:rsidRPr="00600074" w:rsidRDefault="0072472D" w:rsidP="00144CDA">
      <w:pPr>
        <w:pStyle w:val="RKnormal"/>
        <w:rPr>
          <w:iCs/>
        </w:rPr>
      </w:pPr>
      <w:r w:rsidRPr="00600074">
        <w:rPr>
          <w:iCs/>
        </w:rPr>
        <w:t xml:space="preserve">Den allmänna svenska linjen är att det krävs fortsatt kraftfulla reformer av den gemensamma jordbrukspolitiken som leder till väsentligt lägre utgifter och ökad marknadsorientering. Sverige ska vara en konstruktiv förhandlingspart i syfte att få så stort inflytande som möjligt över slutresultatet. Direktstöden ska frikopplas helt, utjämnas genom att de högsta stöden sänks och fasas ut. </w:t>
      </w:r>
      <w:r w:rsidR="00144CDA" w:rsidRPr="00600074">
        <w:rPr>
          <w:iCs/>
        </w:rPr>
        <w:t>Sveriges målsättning är att marknadsstöden bör avskaffas senast 2013.</w:t>
      </w:r>
    </w:p>
    <w:p w:rsidR="0072472D" w:rsidRPr="00600074" w:rsidRDefault="0072472D" w:rsidP="0072472D">
      <w:pPr>
        <w:pStyle w:val="RKnormal"/>
        <w:rPr>
          <w:iCs/>
        </w:rPr>
      </w:pPr>
    </w:p>
    <w:p w:rsidR="0072472D" w:rsidRPr="00600074" w:rsidRDefault="0072472D" w:rsidP="0072472D">
      <w:pPr>
        <w:pStyle w:val="RKnormal"/>
        <w:rPr>
          <w:iCs/>
        </w:rPr>
      </w:pPr>
      <w:r w:rsidRPr="00600074">
        <w:rPr>
          <w:iCs/>
        </w:rPr>
        <w:t xml:space="preserve">Tillhandahållandet av gränsöverskridande kollektiva nyttigheter genom riktade åtgärder kommer även i fortsättningen att vara ett viktigt mål för EU och medlemsstaterna. Inom ramen för en minskning av jordbruksbudgeten förespråkar Sverige åtgärder för landsbygdsutveckling som bidrar till att tillhandahålla kollektiva nyttigheter.  </w:t>
      </w:r>
    </w:p>
    <w:p w:rsidR="0072472D" w:rsidRPr="00600074" w:rsidRDefault="0072472D" w:rsidP="0072472D">
      <w:pPr>
        <w:pStyle w:val="RKnormal"/>
        <w:rPr>
          <w:iCs/>
        </w:rPr>
      </w:pPr>
    </w:p>
    <w:p w:rsidR="0072472D" w:rsidRPr="00600074" w:rsidRDefault="0072472D" w:rsidP="0072472D">
      <w:pPr>
        <w:pStyle w:val="RKnormal"/>
        <w:rPr>
          <w:iCs/>
        </w:rPr>
      </w:pPr>
      <w:r w:rsidRPr="00600074">
        <w:rPr>
          <w:iCs/>
        </w:rPr>
        <w:t xml:space="preserve">Sverige beklagar att kommissionens meddelande inte är mer ambitiöst vad gäller fortsatta reformer och ökad marknadsorientering. Såväl marknadsstöden som de kopplade direktstöden föreslås fortsätta, vilket inte är i linje med svensk ståndpunkt. Sverige välkomnar dock förslaget att jämna ut stödnivåerna mellan medlemsstaterna. </w:t>
      </w:r>
    </w:p>
    <w:p w:rsidR="0072472D" w:rsidRPr="00600074" w:rsidRDefault="0072472D" w:rsidP="0072472D">
      <w:pPr>
        <w:pStyle w:val="RKnormal"/>
        <w:rPr>
          <w:iCs/>
        </w:rPr>
      </w:pPr>
    </w:p>
    <w:p w:rsidR="0072472D" w:rsidRPr="00600074" w:rsidRDefault="0072472D" w:rsidP="0072472D">
      <w:pPr>
        <w:pStyle w:val="RKnormal"/>
        <w:rPr>
          <w:iCs/>
        </w:rPr>
      </w:pPr>
      <w:r w:rsidRPr="00600074">
        <w:rPr>
          <w:iCs/>
        </w:rPr>
        <w:t>Sverige anser också att det är nödvändigt med viss styrning av medel inom landsbygdsprogrammet, i synnerhet till miljöinsatser.</w:t>
      </w:r>
    </w:p>
    <w:p w:rsidR="0072472D" w:rsidRPr="00600074" w:rsidRDefault="0072472D" w:rsidP="0072472D">
      <w:pPr>
        <w:pStyle w:val="RKnormal"/>
        <w:rPr>
          <w:iCs/>
        </w:rPr>
      </w:pPr>
      <w:r w:rsidRPr="00600074">
        <w:rPr>
          <w:iCs/>
        </w:rPr>
        <w:t xml:space="preserve"> </w:t>
      </w:r>
    </w:p>
    <w:p w:rsidR="0072472D" w:rsidRPr="00600074" w:rsidRDefault="0072472D" w:rsidP="0072472D">
      <w:pPr>
        <w:pStyle w:val="RKnormal"/>
        <w:rPr>
          <w:iCs/>
        </w:rPr>
      </w:pPr>
      <w:r w:rsidRPr="00600074">
        <w:rPr>
          <w:iCs/>
        </w:rPr>
        <w:t xml:space="preserve">Sverige saknar också kraftfulla förenklingsförslag. </w:t>
      </w:r>
    </w:p>
    <w:p w:rsidR="0072472D" w:rsidRPr="00600074" w:rsidRDefault="0072472D" w:rsidP="0072472D">
      <w:pPr>
        <w:pStyle w:val="RKnormal"/>
        <w:rPr>
          <w:i/>
          <w:iCs/>
        </w:rPr>
      </w:pPr>
      <w:r w:rsidRPr="00600074">
        <w:rPr>
          <w:i/>
          <w:iCs/>
        </w:rPr>
        <w:t>EU-nämnden och MJU</w:t>
      </w:r>
    </w:p>
    <w:p w:rsidR="0072472D" w:rsidRPr="00600074" w:rsidRDefault="0072472D" w:rsidP="0072472D">
      <w:pPr>
        <w:pStyle w:val="RKnormal"/>
      </w:pPr>
      <w:r w:rsidRPr="00600074">
        <w:t xml:space="preserve">Den framtida utformningen av den gemensamma jordbrukspolitiken har varit föremål för en rad diskussioner på såväl formella som informella rådsmöten, senast i samband med informella ministermötet i La Hulpe 21 september. Kommissionens meddelande om CAP presenterades 18 november och har inte tidigare varit föremål för information i MJU eller samråd med EU-nämnden. </w:t>
      </w:r>
    </w:p>
    <w:p w:rsidR="00B57C0E" w:rsidRPr="00600074" w:rsidRDefault="00B57C0E" w:rsidP="00B57C0E">
      <w:pPr>
        <w:rPr>
          <w:rFonts w:ascii="TradeGothic" w:hAnsi="TradeGothic"/>
          <w:b/>
          <w:sz w:val="22"/>
        </w:rPr>
      </w:pPr>
    </w:p>
    <w:p w:rsidR="00B57C0E" w:rsidRPr="00600074" w:rsidRDefault="003D31CB" w:rsidP="008B44B6">
      <w:pPr>
        <w:pStyle w:val="RKrubrik"/>
      </w:pPr>
      <w:r w:rsidRPr="00600074">
        <w:t>10)</w:t>
      </w:r>
      <w:r w:rsidR="008B44B6" w:rsidRPr="00600074">
        <w:t xml:space="preserve"> </w:t>
      </w:r>
      <w:r w:rsidR="00B57C0E" w:rsidRPr="00600074">
        <w:t>Rapport från kommissionen om systemet för jordbruksrådgivning (FAS)</w:t>
      </w:r>
    </w:p>
    <w:p w:rsidR="00B57C0E" w:rsidRPr="00600074" w:rsidRDefault="00B57C0E" w:rsidP="00B57C0E">
      <w:pPr>
        <w:spacing w:line="240" w:lineRule="auto"/>
        <w:ind w:left="567"/>
        <w:rPr>
          <w:b/>
          <w:i/>
          <w:szCs w:val="24"/>
        </w:rPr>
      </w:pPr>
      <w:r w:rsidRPr="00600074">
        <w:rPr>
          <w:b/>
          <w:i/>
          <w:szCs w:val="24"/>
        </w:rPr>
        <w:t>–</w:t>
      </w:r>
      <w:r w:rsidRPr="00600074">
        <w:rPr>
          <w:b/>
          <w:i/>
          <w:szCs w:val="24"/>
        </w:rPr>
        <w:tab/>
        <w:t>Föredragning av kommissionen</w:t>
      </w:r>
    </w:p>
    <w:p w:rsidR="00B57C0E" w:rsidRPr="00600074" w:rsidRDefault="00B57C0E" w:rsidP="00B57C0E">
      <w:pPr>
        <w:rPr>
          <w:rFonts w:ascii="TradeGothic" w:hAnsi="TradeGothic"/>
          <w:b/>
          <w:sz w:val="22"/>
        </w:rPr>
      </w:pPr>
    </w:p>
    <w:p w:rsidR="000A52CA" w:rsidRPr="00600074" w:rsidRDefault="000A52CA" w:rsidP="000A52CA">
      <w:pPr>
        <w:pStyle w:val="RKnormal"/>
        <w:rPr>
          <w:i/>
          <w:iCs/>
        </w:rPr>
      </w:pPr>
      <w:r w:rsidRPr="00600074">
        <w:rPr>
          <w:i/>
          <w:iCs/>
        </w:rPr>
        <w:t>Dokumentbeteckning</w:t>
      </w:r>
    </w:p>
    <w:p w:rsidR="000A52CA" w:rsidRPr="00600074" w:rsidRDefault="000A52CA" w:rsidP="000A52CA">
      <w:pPr>
        <w:pStyle w:val="RKnormal"/>
        <w:rPr>
          <w:iCs/>
        </w:rPr>
      </w:pPr>
      <w:r w:rsidRPr="00600074">
        <w:rPr>
          <w:iCs/>
        </w:rPr>
        <w:t xml:space="preserve">Inga dokument är tillgängliga. </w:t>
      </w:r>
    </w:p>
    <w:p w:rsidR="000A52CA" w:rsidRPr="00600074" w:rsidRDefault="000A52CA" w:rsidP="000A52CA">
      <w:pPr>
        <w:pStyle w:val="RKnormal"/>
        <w:rPr>
          <w:i/>
          <w:iCs/>
        </w:rPr>
      </w:pPr>
    </w:p>
    <w:p w:rsidR="000A52CA" w:rsidRPr="00600074" w:rsidRDefault="000A52CA" w:rsidP="000A52CA">
      <w:pPr>
        <w:pStyle w:val="RKnormal"/>
        <w:rPr>
          <w:i/>
          <w:iCs/>
        </w:rPr>
      </w:pPr>
      <w:r w:rsidRPr="00600074">
        <w:rPr>
          <w:i/>
          <w:iCs/>
        </w:rPr>
        <w:t>Rättslig grund</w:t>
      </w:r>
    </w:p>
    <w:p w:rsidR="000A52CA" w:rsidRPr="00600074" w:rsidRDefault="000A52CA" w:rsidP="000A52CA">
      <w:pPr>
        <w:pStyle w:val="RKnormal"/>
        <w:rPr>
          <w:i/>
          <w:iCs/>
        </w:rPr>
      </w:pPr>
    </w:p>
    <w:p w:rsidR="000A52CA" w:rsidRPr="00600074" w:rsidRDefault="000A52CA" w:rsidP="000A52CA">
      <w:pPr>
        <w:pStyle w:val="RKnormal"/>
        <w:rPr>
          <w:i/>
          <w:iCs/>
        </w:rPr>
      </w:pPr>
      <w:r w:rsidRPr="00600074">
        <w:rPr>
          <w:i/>
          <w:iCs/>
        </w:rPr>
        <w:t>Bakgrund</w:t>
      </w:r>
    </w:p>
    <w:p w:rsidR="000A52CA" w:rsidRPr="00600074" w:rsidRDefault="000A52CA" w:rsidP="000A52CA">
      <w:pPr>
        <w:pStyle w:val="RKnormal"/>
        <w:rPr>
          <w:iCs/>
        </w:rPr>
      </w:pPr>
      <w:r w:rsidRPr="00600074">
        <w:rPr>
          <w:iCs/>
        </w:rPr>
        <w:t xml:space="preserve">Systemet för jordbruksrådgivning regleras i rådets förordning (EG) nr 73/2009 om direktstöd. Rådgivningssystemet infördes vid reformen av jordbrukspolitiken 2005 och har till syfte att hjälpa jordbrukarna att uppfylla de bestämmelser inom miljö, livsmedelssäkerhet, djurhälsa och djurskydd som utgör tvärvillkor. Jordbrukare som vid en kontroll inte efterlever tvärvillkoren får avdrag på jordbrukarstöden. Medlemsstaterna är skyldiga att tillhandahålla rådgivningen men den är frivillig för jordbrukarna. </w:t>
      </w:r>
    </w:p>
    <w:p w:rsidR="000A52CA" w:rsidRPr="00600074" w:rsidRDefault="000A52CA" w:rsidP="000A52CA">
      <w:pPr>
        <w:pStyle w:val="RKnormal"/>
        <w:rPr>
          <w:iCs/>
        </w:rPr>
      </w:pPr>
    </w:p>
    <w:p w:rsidR="000A52CA" w:rsidRPr="00600074" w:rsidRDefault="000A52CA" w:rsidP="000A52CA">
      <w:pPr>
        <w:pStyle w:val="RKnormal"/>
        <w:rPr>
          <w:iCs/>
        </w:rPr>
      </w:pPr>
      <w:r w:rsidRPr="00600074">
        <w:rPr>
          <w:iCs/>
        </w:rPr>
        <w:t>Enligt rådets förordning (EG) nr 73/2009 ska kommissionen senast den 31 december 2010 lägga fram en rapport om tillämpningen av rådgivningen, vilken vid behov ska åtföljas av lämpliga förslag.</w:t>
      </w:r>
    </w:p>
    <w:p w:rsidR="000A52CA" w:rsidRPr="00600074" w:rsidRDefault="000A52CA" w:rsidP="000A52CA">
      <w:pPr>
        <w:pStyle w:val="RKnormal"/>
        <w:rPr>
          <w:i/>
          <w:iCs/>
        </w:rPr>
      </w:pPr>
    </w:p>
    <w:p w:rsidR="000A52CA" w:rsidRPr="00600074" w:rsidRDefault="000A52CA" w:rsidP="000A52CA">
      <w:pPr>
        <w:pStyle w:val="RKnormal"/>
        <w:rPr>
          <w:i/>
          <w:iCs/>
        </w:rPr>
      </w:pPr>
      <w:r w:rsidRPr="00600074">
        <w:rPr>
          <w:i/>
          <w:iCs/>
        </w:rPr>
        <w:t>Förslag till svensk ståndpunkt</w:t>
      </w:r>
    </w:p>
    <w:p w:rsidR="000A52CA" w:rsidRPr="00600074" w:rsidRDefault="002F3460" w:rsidP="000A52CA">
      <w:pPr>
        <w:pStyle w:val="RKnormal"/>
        <w:rPr>
          <w:iCs/>
        </w:rPr>
      </w:pPr>
      <w:r w:rsidRPr="00600074">
        <w:rPr>
          <w:iCs/>
        </w:rPr>
        <w:t xml:space="preserve">Regeringen </w:t>
      </w:r>
      <w:r w:rsidR="000A52CA" w:rsidRPr="00600074">
        <w:rPr>
          <w:iCs/>
        </w:rPr>
        <w:t xml:space="preserve">välkomnar kommissionens rapport. </w:t>
      </w:r>
    </w:p>
    <w:p w:rsidR="000A52CA" w:rsidRPr="00600074" w:rsidRDefault="000A52CA" w:rsidP="000A52CA">
      <w:pPr>
        <w:pStyle w:val="RKnormal"/>
        <w:rPr>
          <w:i/>
          <w:iCs/>
        </w:rPr>
      </w:pPr>
    </w:p>
    <w:p w:rsidR="000A52CA" w:rsidRPr="00600074" w:rsidRDefault="000A52CA" w:rsidP="000A52CA">
      <w:pPr>
        <w:pStyle w:val="RKnormal"/>
        <w:rPr>
          <w:i/>
          <w:iCs/>
        </w:rPr>
      </w:pPr>
      <w:r w:rsidRPr="00600074">
        <w:rPr>
          <w:i/>
          <w:iCs/>
        </w:rPr>
        <w:t>EU-nämnden</w:t>
      </w:r>
      <w:r w:rsidR="007F4ED5" w:rsidRPr="00600074">
        <w:rPr>
          <w:i/>
          <w:iCs/>
        </w:rPr>
        <w:t xml:space="preserve"> och MJU</w:t>
      </w:r>
    </w:p>
    <w:p w:rsidR="000A52CA" w:rsidRPr="00600074" w:rsidRDefault="000A52CA" w:rsidP="000A52CA">
      <w:pPr>
        <w:pStyle w:val="RKnormal"/>
      </w:pPr>
      <w:r w:rsidRPr="00600074">
        <w:t>Frågan har inte tidigare varit för</w:t>
      </w:r>
      <w:r w:rsidR="007F4ED5" w:rsidRPr="00600074">
        <w:t>emål för information i MJU eller samråd med EU-nämnden.</w:t>
      </w:r>
    </w:p>
    <w:p w:rsidR="000A52CA" w:rsidRPr="00600074" w:rsidRDefault="000A52CA" w:rsidP="00B57C0E">
      <w:pPr>
        <w:rPr>
          <w:rFonts w:ascii="TradeGothic" w:hAnsi="TradeGothic"/>
          <w:b/>
          <w:sz w:val="22"/>
        </w:rPr>
      </w:pPr>
    </w:p>
    <w:p w:rsidR="00B57C0E" w:rsidRPr="00600074" w:rsidRDefault="003D31CB" w:rsidP="008B44B6">
      <w:pPr>
        <w:pStyle w:val="RKrubrik"/>
      </w:pPr>
      <w:r w:rsidRPr="00600074">
        <w:t>11)</w:t>
      </w:r>
      <w:r w:rsidR="008B44B6" w:rsidRPr="00600074">
        <w:t xml:space="preserve"> </w:t>
      </w:r>
      <w:r w:rsidR="003C4FB4" w:rsidRPr="00600074">
        <w:t>Övriga frågor</w:t>
      </w:r>
    </w:p>
    <w:p w:rsidR="00B57C0E" w:rsidRPr="00600074" w:rsidRDefault="00B57C0E" w:rsidP="00B57C0E">
      <w:pPr>
        <w:spacing w:line="240" w:lineRule="auto"/>
        <w:ind w:left="567"/>
        <w:rPr>
          <w:rFonts w:ascii="TradeGothic" w:hAnsi="TradeGothic"/>
          <w:b/>
          <w:sz w:val="22"/>
        </w:rPr>
      </w:pPr>
    </w:p>
    <w:p w:rsidR="003D31CB" w:rsidRPr="00600074" w:rsidRDefault="00B57C0E" w:rsidP="003D31CB">
      <w:pPr>
        <w:pStyle w:val="RKrubrik"/>
      </w:pPr>
      <w:r w:rsidRPr="00600074">
        <w:t>a)</w:t>
      </w:r>
      <w:r w:rsidR="003C4FB4" w:rsidRPr="00600074">
        <w:t xml:space="preserve"> </w:t>
      </w:r>
      <w:r w:rsidRPr="00600074">
        <w:t>Konferens om översyn av systemet för växters hälsa</w:t>
      </w:r>
      <w:r w:rsidR="008B44B6" w:rsidRPr="00600074">
        <w:t xml:space="preserve"> </w:t>
      </w:r>
      <w:r w:rsidRPr="00600074">
        <w:t>(Bryssel den 28 september 2010)</w:t>
      </w:r>
    </w:p>
    <w:p w:rsidR="00B57C0E" w:rsidRPr="00600074" w:rsidRDefault="003D31CB" w:rsidP="003D31CB">
      <w:pPr>
        <w:pStyle w:val="RKrubrik"/>
      </w:pPr>
      <w:r w:rsidRPr="00600074">
        <w:rPr>
          <w:rFonts w:ascii="OrigGarmnd BT" w:hAnsi="OrigGarmnd BT"/>
          <w:i/>
          <w:sz w:val="24"/>
          <w:szCs w:val="24"/>
        </w:rPr>
        <w:t>–</w:t>
      </w:r>
      <w:r w:rsidR="00B57C0E" w:rsidRPr="00600074">
        <w:rPr>
          <w:rFonts w:ascii="OrigGarmnd BT" w:hAnsi="OrigGarmnd BT"/>
          <w:i/>
          <w:sz w:val="24"/>
          <w:szCs w:val="24"/>
        </w:rPr>
        <w:t>Information som ordförandeskapet lämnat</w:t>
      </w:r>
    </w:p>
    <w:p w:rsidR="007A5B59" w:rsidRPr="00600074" w:rsidRDefault="007A5B59" w:rsidP="00B57C0E">
      <w:pPr>
        <w:tabs>
          <w:tab w:val="left" w:pos="1560"/>
        </w:tabs>
        <w:spacing w:line="240" w:lineRule="auto"/>
        <w:ind w:left="1418" w:hanging="284"/>
        <w:rPr>
          <w:rFonts w:ascii="TradeGothic" w:hAnsi="TradeGothic"/>
          <w:b/>
          <w:sz w:val="22"/>
        </w:rPr>
      </w:pPr>
    </w:p>
    <w:p w:rsidR="007A5B59" w:rsidRPr="00600074" w:rsidRDefault="007A5B59" w:rsidP="007A5B59">
      <w:pPr>
        <w:pStyle w:val="RKnormal"/>
        <w:rPr>
          <w:i/>
          <w:iCs/>
        </w:rPr>
      </w:pPr>
      <w:r w:rsidRPr="00600074">
        <w:rPr>
          <w:i/>
          <w:iCs/>
        </w:rPr>
        <w:t>Dokumentbeteckning</w:t>
      </w:r>
    </w:p>
    <w:p w:rsidR="003D31CB" w:rsidRPr="00600074" w:rsidRDefault="003D31CB" w:rsidP="003D31CB">
      <w:pPr>
        <w:pStyle w:val="RKnormal"/>
        <w:rPr>
          <w:iCs/>
        </w:rPr>
      </w:pPr>
      <w:r w:rsidRPr="00600074">
        <w:rPr>
          <w:iCs/>
        </w:rPr>
        <w:t>Dokument saknas</w:t>
      </w:r>
    </w:p>
    <w:p w:rsidR="007A5B59" w:rsidRPr="00600074" w:rsidRDefault="007A5B59" w:rsidP="007A5B59">
      <w:pPr>
        <w:pStyle w:val="RKnormal"/>
        <w:rPr>
          <w:i/>
          <w:iCs/>
        </w:rPr>
      </w:pPr>
    </w:p>
    <w:p w:rsidR="007A5B59" w:rsidRPr="00600074" w:rsidRDefault="007A5B59" w:rsidP="007A5B59">
      <w:pPr>
        <w:pStyle w:val="RKnormal"/>
        <w:rPr>
          <w:i/>
          <w:iCs/>
        </w:rPr>
      </w:pPr>
      <w:r w:rsidRPr="00600074">
        <w:rPr>
          <w:i/>
          <w:iCs/>
        </w:rPr>
        <w:t>Rättslig grund</w:t>
      </w:r>
    </w:p>
    <w:p w:rsidR="007A5B59" w:rsidRPr="00600074" w:rsidRDefault="007A5B59" w:rsidP="007A5B59">
      <w:pPr>
        <w:tabs>
          <w:tab w:val="left" w:pos="2835"/>
        </w:tabs>
        <w:overflowPunct/>
        <w:spacing w:line="240" w:lineRule="auto"/>
        <w:textAlignment w:val="auto"/>
        <w:rPr>
          <w:rFonts w:cs="OrigGarmnd BT"/>
          <w:szCs w:val="24"/>
          <w:lang w:eastAsia="sv-SE"/>
        </w:rPr>
      </w:pPr>
      <w:r w:rsidRPr="00600074">
        <w:rPr>
          <w:rFonts w:cs="OrigGarmnd BT"/>
          <w:szCs w:val="24"/>
          <w:lang w:eastAsia="sv-SE"/>
        </w:rPr>
        <w:t>Ej tillämpligt.</w:t>
      </w:r>
    </w:p>
    <w:p w:rsidR="007A5B59" w:rsidRPr="00600074" w:rsidRDefault="007A5B59" w:rsidP="007A5B59">
      <w:pPr>
        <w:pStyle w:val="RKnormal"/>
        <w:rPr>
          <w:i/>
          <w:iCs/>
        </w:rPr>
      </w:pPr>
    </w:p>
    <w:p w:rsidR="007A5B59" w:rsidRPr="00600074" w:rsidRDefault="007A5B59" w:rsidP="007A5B59">
      <w:pPr>
        <w:pStyle w:val="RKnormal"/>
        <w:rPr>
          <w:i/>
          <w:iCs/>
        </w:rPr>
      </w:pPr>
      <w:r w:rsidRPr="00600074">
        <w:rPr>
          <w:i/>
          <w:iCs/>
        </w:rPr>
        <w:t xml:space="preserve">Bakgrund </w:t>
      </w:r>
    </w:p>
    <w:p w:rsidR="007A5B59" w:rsidRPr="00600074" w:rsidRDefault="007A5B59" w:rsidP="007A5B59">
      <w:pPr>
        <w:pStyle w:val="RKnormal"/>
        <w:rPr>
          <w:iCs/>
        </w:rPr>
      </w:pPr>
      <w:r w:rsidRPr="00600074">
        <w:rPr>
          <w:iCs/>
        </w:rPr>
        <w:t>EU:s lagstiftning inom växtskyddsområdet (skydd mot allvarliga växtskadegörare) härstammar från 1970-talet. Efter ett antal revisioner har nu en process inletts, vars syfte är att göra en genomgripande över</w:t>
      </w:r>
      <w:r w:rsidRPr="00600074">
        <w:rPr>
          <w:iCs/>
        </w:rPr>
        <w:softHyphen/>
        <w:t>syn av lagstiftningen. Ett konsultföretag har på kommissionens uppdrag inventerat såväl medlemsstaternas som branschorganisationers syn på den nuvarande lagstiftningen och lämnat ett antal förslag till åtgär</w:t>
      </w:r>
      <w:r w:rsidRPr="00600074">
        <w:rPr>
          <w:iCs/>
        </w:rPr>
        <w:softHyphen/>
        <w:t>der som bör utredas närmare av kommissionen. Ordförandeskapet arranger</w:t>
      </w:r>
      <w:r w:rsidRPr="00600074">
        <w:rPr>
          <w:iCs/>
        </w:rPr>
        <w:softHyphen/>
        <w:t>ade den 28 september 2010 i samverkan med kommissionen en konfe</w:t>
      </w:r>
      <w:r w:rsidRPr="00600074">
        <w:rPr>
          <w:iCs/>
        </w:rPr>
        <w:softHyphen/>
        <w:t>r</w:t>
      </w:r>
      <w:r w:rsidRPr="00600074">
        <w:rPr>
          <w:iCs/>
        </w:rPr>
        <w:softHyphen/>
        <w:t>ens för att presentera konsultföretagets slutsatser för aktörer med in</w:t>
      </w:r>
      <w:r w:rsidRPr="00600074">
        <w:rPr>
          <w:iCs/>
        </w:rPr>
        <w:softHyphen/>
        <w:t>tressen i växtskyddslagstiftningen. De olika synpunkter som fram</w:t>
      </w:r>
      <w:r w:rsidRPr="00600074">
        <w:rPr>
          <w:iCs/>
        </w:rPr>
        <w:softHyphen/>
        <w:t>förd</w:t>
      </w:r>
      <w:r w:rsidRPr="00600074">
        <w:rPr>
          <w:iCs/>
        </w:rPr>
        <w:softHyphen/>
        <w:t>es från konferensdeltagarna kommer nu att tjäna som ett underlag för ko</w:t>
      </w:r>
      <w:r w:rsidRPr="00600074">
        <w:rPr>
          <w:iCs/>
        </w:rPr>
        <w:softHyphen/>
        <w:t>mm</w:t>
      </w:r>
      <w:r w:rsidRPr="00600074">
        <w:rPr>
          <w:iCs/>
        </w:rPr>
        <w:softHyphen/>
        <w:t>i</w:t>
      </w:r>
      <w:r w:rsidRPr="00600074">
        <w:rPr>
          <w:iCs/>
        </w:rPr>
        <w:softHyphen/>
        <w:t>ssionen i den konsekvensanalys över olika handlingsalternativ som ska genomföras innan en förslag till ny lagstiftning utarbetas. Exempel på frågor som ska analyseras närmare är tillämpningen av det s.k. växt</w:t>
      </w:r>
      <w:r w:rsidRPr="00600074">
        <w:rPr>
          <w:iCs/>
        </w:rPr>
        <w:softHyphen/>
        <w:t>passet, eventuella krav på övervakning av förekomsten av allvarliga växt</w:t>
      </w:r>
      <w:r w:rsidRPr="00600074">
        <w:rPr>
          <w:iCs/>
        </w:rPr>
        <w:softHyphen/>
        <w:t>skadegörare, om lagstifningen på området även ska omfatta invasiva frä</w:t>
      </w:r>
      <w:r w:rsidRPr="00600074">
        <w:rPr>
          <w:iCs/>
        </w:rPr>
        <w:softHyphen/>
        <w:t>mmande arter, finansierings- och ersättningsfrågor vid offentliga bekä</w:t>
      </w:r>
      <w:r w:rsidRPr="00600074">
        <w:rPr>
          <w:iCs/>
        </w:rPr>
        <w:softHyphen/>
        <w:t>mp</w:t>
      </w:r>
      <w:r w:rsidRPr="00600074">
        <w:rPr>
          <w:iCs/>
        </w:rPr>
        <w:softHyphen/>
        <w:t>ningsåtgärder vid utbrott av växtskadegörare, samt gränsdragningen mellan växtskydds- och utsädeslagstiftningarna.</w:t>
      </w:r>
    </w:p>
    <w:p w:rsidR="007A5B59" w:rsidRPr="00600074" w:rsidRDefault="007A5B59" w:rsidP="007A5B59">
      <w:pPr>
        <w:pStyle w:val="RKnormal"/>
        <w:rPr>
          <w:iCs/>
        </w:rPr>
      </w:pPr>
    </w:p>
    <w:p w:rsidR="007A5B59" w:rsidRPr="00600074" w:rsidRDefault="007A5B59" w:rsidP="007A5B59">
      <w:pPr>
        <w:pStyle w:val="RKnormal"/>
        <w:rPr>
          <w:i/>
          <w:iCs/>
        </w:rPr>
      </w:pPr>
      <w:r w:rsidRPr="00600074">
        <w:rPr>
          <w:i/>
          <w:iCs/>
        </w:rPr>
        <w:t>Förslag till svensk ståndpunkt</w:t>
      </w:r>
    </w:p>
    <w:p w:rsidR="007A5B59" w:rsidRPr="00600074" w:rsidRDefault="002F3460" w:rsidP="007A5B59">
      <w:pPr>
        <w:pStyle w:val="RKnormal"/>
        <w:rPr>
          <w:iCs/>
        </w:rPr>
      </w:pPr>
      <w:r w:rsidRPr="00600074">
        <w:rPr>
          <w:iCs/>
        </w:rPr>
        <w:t xml:space="preserve">Regeringen </w:t>
      </w:r>
      <w:r w:rsidR="007A5B59" w:rsidRPr="00600074">
        <w:rPr>
          <w:iCs/>
        </w:rPr>
        <w:t xml:space="preserve">välkomnar ordförandeskapets initiativ att på ett tidigt skede inleda en bred diskussion om inriktningen på den framtida lagstiftningen inom växtskyddsområdet. </w:t>
      </w:r>
      <w:r w:rsidRPr="00600074">
        <w:rPr>
          <w:iCs/>
        </w:rPr>
        <w:t xml:space="preserve">Regeringen </w:t>
      </w:r>
      <w:r w:rsidR="007A5B59" w:rsidRPr="00600074">
        <w:rPr>
          <w:iCs/>
        </w:rPr>
        <w:t xml:space="preserve">ser fram emot att delta i den fortsatta processen </w:t>
      </w:r>
    </w:p>
    <w:p w:rsidR="007A5B59" w:rsidRPr="00600074" w:rsidRDefault="007A5B59" w:rsidP="007A5B59">
      <w:pPr>
        <w:pStyle w:val="RKnormal"/>
        <w:rPr>
          <w:iCs/>
        </w:rPr>
      </w:pPr>
    </w:p>
    <w:p w:rsidR="007F4ED5" w:rsidRPr="00600074" w:rsidRDefault="007F4ED5" w:rsidP="007F4ED5">
      <w:pPr>
        <w:pStyle w:val="RKnormal"/>
        <w:rPr>
          <w:i/>
          <w:iCs/>
        </w:rPr>
      </w:pPr>
      <w:r w:rsidRPr="00600074">
        <w:rPr>
          <w:i/>
          <w:iCs/>
        </w:rPr>
        <w:t>EU-nämnden och MJU</w:t>
      </w:r>
    </w:p>
    <w:p w:rsidR="007F4ED5" w:rsidRPr="00600074" w:rsidRDefault="007F4ED5" w:rsidP="007F4ED5">
      <w:pPr>
        <w:pStyle w:val="RKnormal"/>
      </w:pPr>
      <w:r w:rsidRPr="00600074">
        <w:t>Frågan har inte tidigare varit föremål för information i MJU eller samråd med EU-nämnden.</w:t>
      </w:r>
    </w:p>
    <w:p w:rsidR="00695949" w:rsidRPr="00600074" w:rsidRDefault="003D31CB" w:rsidP="00695949">
      <w:pPr>
        <w:pStyle w:val="RKrubrik"/>
      </w:pPr>
      <w:r w:rsidRPr="00600074">
        <w:t>b)</w:t>
      </w:r>
      <w:r w:rsidR="00B57C0E" w:rsidRPr="00600074">
        <w:t>Internationell konferens om utbildningen i djurs välbefinnande</w:t>
      </w:r>
      <w:r w:rsidRPr="00600074">
        <w:t xml:space="preserve"> </w:t>
      </w:r>
      <w:r w:rsidR="00B57C0E" w:rsidRPr="00600074">
        <w:t>(Bryssel den 1–2 oktober 2010)</w:t>
      </w:r>
    </w:p>
    <w:p w:rsidR="00B57C0E" w:rsidRPr="00600074" w:rsidRDefault="00695949" w:rsidP="00695949">
      <w:pPr>
        <w:pStyle w:val="RKrubrik"/>
        <w:rPr>
          <w:rFonts w:ascii="OrigGarmnd BT" w:hAnsi="OrigGarmnd BT"/>
          <w:sz w:val="24"/>
          <w:szCs w:val="24"/>
        </w:rPr>
      </w:pPr>
      <w:r w:rsidRPr="00600074">
        <w:rPr>
          <w:rFonts w:ascii="OrigGarmnd BT" w:hAnsi="OrigGarmnd BT"/>
          <w:i/>
          <w:sz w:val="24"/>
          <w:szCs w:val="24"/>
        </w:rPr>
        <w:t>–</w:t>
      </w:r>
      <w:r w:rsidR="00B57C0E" w:rsidRPr="00600074">
        <w:rPr>
          <w:rFonts w:ascii="OrigGarmnd BT" w:hAnsi="OrigGarmnd BT"/>
          <w:i/>
          <w:sz w:val="24"/>
          <w:szCs w:val="24"/>
        </w:rPr>
        <w:t>Information som ordförandeskapet lämnat</w:t>
      </w:r>
    </w:p>
    <w:p w:rsidR="001F5038" w:rsidRPr="00600074" w:rsidRDefault="001F5038" w:rsidP="00B57C0E">
      <w:pPr>
        <w:tabs>
          <w:tab w:val="left" w:pos="1418"/>
        </w:tabs>
        <w:spacing w:line="240" w:lineRule="auto"/>
        <w:ind w:left="1134"/>
        <w:rPr>
          <w:b/>
          <w:i/>
          <w:szCs w:val="24"/>
        </w:rPr>
      </w:pPr>
    </w:p>
    <w:p w:rsidR="001F5038" w:rsidRPr="00600074" w:rsidRDefault="001F5038" w:rsidP="001F5038">
      <w:pPr>
        <w:pStyle w:val="RKnormal"/>
        <w:rPr>
          <w:b/>
          <w:bCs/>
          <w:i/>
          <w:iCs/>
          <w:szCs w:val="24"/>
        </w:rPr>
      </w:pPr>
    </w:p>
    <w:p w:rsidR="001F5038" w:rsidRPr="00600074" w:rsidRDefault="001F5038" w:rsidP="001F5038">
      <w:pPr>
        <w:pStyle w:val="RKnormal"/>
        <w:rPr>
          <w:i/>
          <w:iCs/>
        </w:rPr>
      </w:pPr>
    </w:p>
    <w:p w:rsidR="001F5038" w:rsidRPr="00600074" w:rsidRDefault="001F5038" w:rsidP="001F5038">
      <w:pPr>
        <w:pStyle w:val="RKnormal"/>
        <w:rPr>
          <w:i/>
          <w:iCs/>
        </w:rPr>
      </w:pPr>
      <w:r w:rsidRPr="00600074">
        <w:rPr>
          <w:i/>
          <w:iCs/>
        </w:rPr>
        <w:t xml:space="preserve">Dokumentbeteckning </w:t>
      </w:r>
    </w:p>
    <w:p w:rsidR="001F5038" w:rsidRPr="00600074" w:rsidRDefault="003D31CB" w:rsidP="001F5038">
      <w:pPr>
        <w:pStyle w:val="RKnormal"/>
        <w:rPr>
          <w:iCs/>
        </w:rPr>
      </w:pPr>
      <w:r w:rsidRPr="00600074">
        <w:rPr>
          <w:iCs/>
        </w:rPr>
        <w:t>Dokument saknas</w:t>
      </w:r>
    </w:p>
    <w:p w:rsidR="001F5038" w:rsidRPr="00600074" w:rsidRDefault="001F5038" w:rsidP="001F5038">
      <w:pPr>
        <w:pStyle w:val="RKnormal"/>
        <w:rPr>
          <w:i/>
          <w:iCs/>
        </w:rPr>
      </w:pPr>
    </w:p>
    <w:p w:rsidR="001F5038" w:rsidRPr="00600074" w:rsidRDefault="001F5038" w:rsidP="001F5038">
      <w:pPr>
        <w:pStyle w:val="RKnormal"/>
        <w:rPr>
          <w:i/>
          <w:iCs/>
        </w:rPr>
      </w:pPr>
      <w:r w:rsidRPr="00600074">
        <w:rPr>
          <w:i/>
          <w:iCs/>
        </w:rPr>
        <w:t>Rättslig grund</w:t>
      </w:r>
    </w:p>
    <w:p w:rsidR="001F5038" w:rsidRPr="00600074" w:rsidRDefault="001F5038" w:rsidP="001F5038">
      <w:pPr>
        <w:pStyle w:val="RKnormal"/>
        <w:rPr>
          <w:i/>
          <w:iCs/>
        </w:rPr>
      </w:pPr>
      <w:r w:rsidRPr="00600074">
        <w:rPr>
          <w:i/>
          <w:iCs/>
        </w:rPr>
        <w:t>-</w:t>
      </w:r>
    </w:p>
    <w:p w:rsidR="001F5038" w:rsidRPr="00600074" w:rsidRDefault="001F5038" w:rsidP="001F5038">
      <w:pPr>
        <w:pStyle w:val="RKnormal"/>
        <w:rPr>
          <w:i/>
          <w:iCs/>
        </w:rPr>
      </w:pPr>
    </w:p>
    <w:p w:rsidR="001F5038" w:rsidRPr="00600074" w:rsidRDefault="001F5038" w:rsidP="001F5038">
      <w:pPr>
        <w:pStyle w:val="RKnormal"/>
        <w:rPr>
          <w:i/>
          <w:iCs/>
        </w:rPr>
      </w:pPr>
    </w:p>
    <w:p w:rsidR="001F5038" w:rsidRPr="00600074" w:rsidRDefault="001F5038" w:rsidP="001F5038">
      <w:pPr>
        <w:pStyle w:val="RKnormal"/>
        <w:rPr>
          <w:i/>
          <w:iCs/>
        </w:rPr>
      </w:pPr>
      <w:r w:rsidRPr="00600074">
        <w:rPr>
          <w:i/>
          <w:iCs/>
        </w:rPr>
        <w:t>Bakgrund</w:t>
      </w:r>
    </w:p>
    <w:p w:rsidR="001F5038" w:rsidRPr="00600074" w:rsidRDefault="001F5038" w:rsidP="001F5038">
      <w:pPr>
        <w:textAlignment w:val="top"/>
        <w:rPr>
          <w:iCs/>
        </w:rPr>
      </w:pPr>
      <w:r w:rsidRPr="00600074">
        <w:rPr>
          <w:iCs/>
        </w:rPr>
        <w:t xml:space="preserve">Kommissionen och ordförandelandet har gemensamt organiserat den första internationella konferensen om djurskyddsundervisning. </w:t>
      </w:r>
    </w:p>
    <w:p w:rsidR="001F5038" w:rsidRPr="00600074" w:rsidRDefault="001F5038" w:rsidP="001F5038">
      <w:pPr>
        <w:textAlignment w:val="top"/>
        <w:rPr>
          <w:iCs/>
        </w:rPr>
      </w:pPr>
    </w:p>
    <w:p w:rsidR="001F5038" w:rsidRPr="00600074" w:rsidRDefault="001F5038" w:rsidP="001F5038">
      <w:pPr>
        <w:textAlignment w:val="top"/>
        <w:rPr>
          <w:rFonts w:ascii="Arial" w:hAnsi="Arial" w:cs="Arial"/>
          <w:iCs/>
          <w:color w:val="888888"/>
          <w:sz w:val="20"/>
          <w:lang w:eastAsia="sv-SE"/>
        </w:rPr>
      </w:pPr>
      <w:r w:rsidRPr="00600074">
        <w:rPr>
          <w:iCs/>
        </w:rPr>
        <w:t>Konferensen hölls den 1-2 oktober i år i Bryssel och universitet och organisationer från många olika länder var inblandade. Bl.a. deltog SLU (Sveriges lantbruksuniversitet) såväl i styrgruppen som i de olika sessionerna. Konferensen hade underrubriken Everyone is responsible.</w:t>
      </w:r>
    </w:p>
    <w:p w:rsidR="001F5038" w:rsidRPr="00600074" w:rsidRDefault="001F5038" w:rsidP="001F5038">
      <w:pPr>
        <w:textAlignment w:val="top"/>
        <w:rPr>
          <w:iCs/>
        </w:rPr>
      </w:pPr>
    </w:p>
    <w:p w:rsidR="001F5038" w:rsidRPr="00600074" w:rsidRDefault="001F5038" w:rsidP="001F5038">
      <w:pPr>
        <w:textAlignment w:val="top"/>
        <w:rPr>
          <w:iCs/>
        </w:rPr>
      </w:pPr>
      <w:r w:rsidRPr="00600074">
        <w:rPr>
          <w:iCs/>
        </w:rPr>
        <w:t>Principen för konferensen anges enligt följande.</w:t>
      </w:r>
      <w:r w:rsidRPr="00600074">
        <w:t xml:space="preserve"> </w:t>
      </w:r>
      <w:r w:rsidRPr="00600074">
        <w:rPr>
          <w:iCs/>
        </w:rPr>
        <w:t>Utgångspunkten för policyn när det gäller djurens välbefinnande politik är insikten om att djur är kännande varelser och bör behandlas på ett sådant sätt att de inte utsätts för onödigt lidande. Det gäller de djur som är i människans vård (t. ex. lantbrukets djur, djur under transport eller vid tidpunkten för slakt). För detta är EU fast beslutet att bredda effekterna av utbildning inom området som rör djurens välbefinnande.</w:t>
      </w:r>
    </w:p>
    <w:p w:rsidR="001F5038" w:rsidRPr="00600074" w:rsidRDefault="001F5038" w:rsidP="001F5038">
      <w:pPr>
        <w:textAlignment w:val="top"/>
        <w:rPr>
          <w:iCs/>
        </w:rPr>
      </w:pPr>
    </w:p>
    <w:p w:rsidR="001F5038" w:rsidRPr="00600074" w:rsidRDefault="001F5038" w:rsidP="001F5038">
      <w:pPr>
        <w:pStyle w:val="RKnormal"/>
        <w:rPr>
          <w:i/>
          <w:iCs/>
        </w:rPr>
      </w:pPr>
    </w:p>
    <w:p w:rsidR="001F5038" w:rsidRPr="00600074" w:rsidRDefault="001F5038" w:rsidP="001F5038">
      <w:pPr>
        <w:pStyle w:val="RKnormal"/>
        <w:rPr>
          <w:i/>
          <w:iCs/>
        </w:rPr>
      </w:pPr>
      <w:r w:rsidRPr="00600074">
        <w:rPr>
          <w:i/>
          <w:iCs/>
        </w:rPr>
        <w:t>Förslag till svensk ståndpunkt</w:t>
      </w:r>
    </w:p>
    <w:p w:rsidR="00E820FA" w:rsidRPr="00600074" w:rsidRDefault="00E820FA" w:rsidP="00E820FA">
      <w:pPr>
        <w:pStyle w:val="RKnormal"/>
      </w:pPr>
      <w:r w:rsidRPr="00600074">
        <w:t xml:space="preserve">Sverige välkomnar på ett generellt plan aktiviteter som kan höja nivån på djurskyddet såväl inom EU som internationellt och ser fram emot kommissionens och ordförandeskapets information. </w:t>
      </w:r>
    </w:p>
    <w:p w:rsidR="001F5038" w:rsidRPr="00600074" w:rsidRDefault="001F5038" w:rsidP="001F5038">
      <w:pPr>
        <w:pStyle w:val="RKnormal"/>
        <w:rPr>
          <w:i/>
          <w:iCs/>
        </w:rPr>
      </w:pPr>
    </w:p>
    <w:p w:rsidR="001F5038" w:rsidRPr="00600074" w:rsidRDefault="001F5038" w:rsidP="001F5038">
      <w:pPr>
        <w:pStyle w:val="RKnormal"/>
        <w:rPr>
          <w:i/>
          <w:iCs/>
        </w:rPr>
      </w:pPr>
    </w:p>
    <w:p w:rsidR="00695949" w:rsidRPr="00600074" w:rsidRDefault="00695949" w:rsidP="00695949">
      <w:pPr>
        <w:pStyle w:val="RKnormal"/>
        <w:rPr>
          <w:i/>
          <w:iCs/>
        </w:rPr>
      </w:pPr>
      <w:r w:rsidRPr="00600074">
        <w:rPr>
          <w:i/>
          <w:iCs/>
        </w:rPr>
        <w:t>EU-nämnden och MJU</w:t>
      </w:r>
    </w:p>
    <w:p w:rsidR="00695949" w:rsidRPr="00600074" w:rsidRDefault="00695949" w:rsidP="00695949">
      <w:pPr>
        <w:pStyle w:val="RKnormal"/>
      </w:pPr>
      <w:r w:rsidRPr="00600074">
        <w:t>Frågan har inte tidigare varit föremål för information i MJU eller samråd med EU-nämnden.</w:t>
      </w:r>
    </w:p>
    <w:p w:rsidR="001F5038" w:rsidRPr="00600074" w:rsidRDefault="001F5038" w:rsidP="00B57C0E">
      <w:pPr>
        <w:tabs>
          <w:tab w:val="left" w:pos="1418"/>
        </w:tabs>
        <w:spacing w:line="240" w:lineRule="auto"/>
        <w:ind w:left="1134"/>
        <w:rPr>
          <w:rFonts w:ascii="TradeGothic" w:hAnsi="TradeGothic"/>
          <w:b/>
          <w:sz w:val="22"/>
        </w:rPr>
      </w:pPr>
    </w:p>
    <w:p w:rsidR="00B57C0E" w:rsidRPr="00600074" w:rsidRDefault="00B57C0E" w:rsidP="00B57C0E">
      <w:pPr>
        <w:tabs>
          <w:tab w:val="left" w:pos="1418"/>
        </w:tabs>
        <w:spacing w:line="240" w:lineRule="auto"/>
        <w:ind w:left="1134"/>
        <w:rPr>
          <w:rFonts w:ascii="TradeGothic" w:hAnsi="TradeGothic"/>
          <w:b/>
          <w:sz w:val="22"/>
        </w:rPr>
      </w:pPr>
    </w:p>
    <w:p w:rsidR="00B57C0E" w:rsidRPr="00600074" w:rsidRDefault="00BF57B9" w:rsidP="00BF57B9">
      <w:pPr>
        <w:pStyle w:val="RKrubrik"/>
      </w:pPr>
      <w:r w:rsidRPr="00600074">
        <w:t xml:space="preserve">c) </w:t>
      </w:r>
      <w:r w:rsidR="00B57C0E" w:rsidRPr="00600074">
        <w:t>(ev.) De långsiktiga återhämtningsplanerna</w:t>
      </w:r>
    </w:p>
    <w:p w:rsidR="00B57C0E" w:rsidRPr="00600074" w:rsidRDefault="00BF57B9" w:rsidP="00BF57B9">
      <w:pPr>
        <w:pStyle w:val="RKrubrik"/>
        <w:rPr>
          <w:rFonts w:ascii="OrigGarmnd BT" w:hAnsi="OrigGarmnd BT"/>
          <w:i/>
          <w:sz w:val="24"/>
          <w:szCs w:val="24"/>
        </w:rPr>
      </w:pPr>
      <w:r w:rsidRPr="00600074">
        <w:rPr>
          <w:rFonts w:ascii="OrigGarmnd BT" w:hAnsi="OrigGarmnd BT"/>
          <w:i/>
          <w:sz w:val="24"/>
          <w:szCs w:val="24"/>
        </w:rPr>
        <w:t xml:space="preserve">– </w:t>
      </w:r>
      <w:r w:rsidR="00B57C0E" w:rsidRPr="00600074">
        <w:rPr>
          <w:rFonts w:ascii="OrigGarmnd BT" w:hAnsi="OrigGarmnd BT"/>
          <w:i/>
          <w:sz w:val="24"/>
          <w:szCs w:val="24"/>
        </w:rPr>
        <w:t>Information som ordförandeskapet lämnat</w:t>
      </w:r>
    </w:p>
    <w:p w:rsidR="00BF57B9" w:rsidRPr="00600074" w:rsidRDefault="00BF57B9" w:rsidP="00B57C0E">
      <w:pPr>
        <w:tabs>
          <w:tab w:val="left" w:pos="1418"/>
        </w:tabs>
        <w:spacing w:line="240" w:lineRule="auto"/>
        <w:ind w:left="1134" w:hanging="567"/>
        <w:rPr>
          <w:b/>
          <w:i/>
          <w:szCs w:val="24"/>
        </w:rPr>
      </w:pPr>
    </w:p>
    <w:p w:rsidR="0064677F" w:rsidRPr="00600074" w:rsidRDefault="00BF57B9" w:rsidP="00BF57B9">
      <w:pPr>
        <w:pStyle w:val="RKnormal"/>
      </w:pPr>
      <w:r w:rsidRPr="00600074">
        <w:t>Kommissionen har begärt att ta upp frågan om långsiktiga förvaltningsplaner som en övrig punkt på rådet. Någon ytterligare information har ännu inte kommit.</w:t>
      </w:r>
    </w:p>
    <w:p w:rsidR="0064677F" w:rsidRPr="00600074" w:rsidRDefault="0064677F" w:rsidP="00BF57B9">
      <w:pPr>
        <w:pStyle w:val="RKnormal"/>
      </w:pPr>
    </w:p>
    <w:p w:rsidR="00BF57B9" w:rsidRPr="00600074" w:rsidRDefault="00BF57B9" w:rsidP="00BF57B9">
      <w:pPr>
        <w:spacing w:line="240" w:lineRule="auto"/>
        <w:rPr>
          <w:rStyle w:val="RKrubrikChar"/>
        </w:rPr>
      </w:pPr>
    </w:p>
    <w:p w:rsidR="00BF57B9" w:rsidRPr="00600074" w:rsidRDefault="00BF57B9" w:rsidP="00BF57B9">
      <w:pPr>
        <w:spacing w:line="240" w:lineRule="auto"/>
        <w:rPr>
          <w:i/>
        </w:rPr>
      </w:pPr>
      <w:r w:rsidRPr="00600074">
        <w:rPr>
          <w:rStyle w:val="RKrubrikChar"/>
        </w:rPr>
        <w:t xml:space="preserve">Lunchdiskussion för </w:t>
      </w:r>
      <w:r w:rsidR="0064677F" w:rsidRPr="00600074">
        <w:rPr>
          <w:rStyle w:val="RKrubrikChar"/>
        </w:rPr>
        <w:t>fiskeriministr</w:t>
      </w:r>
      <w:r w:rsidRPr="00600074">
        <w:rPr>
          <w:rStyle w:val="RKrubrikChar"/>
        </w:rPr>
        <w:t xml:space="preserve">arna </w:t>
      </w:r>
      <w:r w:rsidR="0064677F" w:rsidRPr="00600074">
        <w:rPr>
          <w:rStyle w:val="RKrubrikChar"/>
        </w:rPr>
        <w:t>över temat</w:t>
      </w:r>
      <w:r w:rsidRPr="00600074">
        <w:rPr>
          <w:rStyle w:val="RKrubrikChar"/>
        </w:rPr>
        <w:t xml:space="preserve"> "Reformering av den gemensamma fiskeripolitiken – förbättring av fiskepartnerskapen och vetenskap</w:t>
      </w:r>
      <w:r w:rsidRPr="00600074">
        <w:rPr>
          <w:i/>
        </w:rPr>
        <w:t>"</w:t>
      </w:r>
    </w:p>
    <w:p w:rsidR="00BF57B9" w:rsidRPr="00600074" w:rsidRDefault="00BF57B9" w:rsidP="00BF57B9">
      <w:pPr>
        <w:outlineLvl w:val="0"/>
        <w:rPr>
          <w:rFonts w:ascii="TradeGothic" w:hAnsi="TradeGothic"/>
          <w:b/>
          <w:sz w:val="22"/>
        </w:rPr>
      </w:pPr>
    </w:p>
    <w:p w:rsidR="00B57C0E" w:rsidRPr="00600074" w:rsidRDefault="00BF57B9" w:rsidP="00BF57B9">
      <w:pPr>
        <w:pStyle w:val="RKnormal"/>
      </w:pPr>
      <w:r w:rsidRPr="00600074">
        <w:t>Ytterliga</w:t>
      </w:r>
      <w:r w:rsidR="00695949" w:rsidRPr="00600074">
        <w:t>re</w:t>
      </w:r>
      <w:r w:rsidRPr="00600074">
        <w:t xml:space="preserve"> information har ännu inte kommit. </w:t>
      </w:r>
      <w:r w:rsidRPr="00600074">
        <w:br w:type="page"/>
      </w:r>
      <w:r w:rsidR="0064677F" w:rsidRPr="00600074">
        <w:br/>
      </w:r>
    </w:p>
    <w:p w:rsidR="00B57C0E" w:rsidRPr="00600074" w:rsidRDefault="00B57C0E" w:rsidP="00B57C0E"/>
    <w:p w:rsidR="00B57C0E" w:rsidRPr="00600074" w:rsidRDefault="00B57C0E">
      <w:pPr>
        <w:pStyle w:val="RKnormal"/>
      </w:pPr>
    </w:p>
    <w:p w:rsidR="00B57C0E" w:rsidRPr="00600074" w:rsidRDefault="00B57C0E">
      <w:pPr>
        <w:pStyle w:val="RKnormal"/>
      </w:pPr>
    </w:p>
    <w:p w:rsidR="006E4E11" w:rsidRPr="00600074" w:rsidRDefault="006E4E11">
      <w:pPr>
        <w:pStyle w:val="RKrubrik"/>
        <w:spacing w:before="0" w:after="0"/>
      </w:pPr>
    </w:p>
    <w:p w:rsidR="006E4E11" w:rsidRPr="00600074" w:rsidRDefault="006E4E11">
      <w:pPr>
        <w:pStyle w:val="RKnormal"/>
      </w:pPr>
    </w:p>
    <w:p w:rsidR="00B57C0E" w:rsidRPr="00600074" w:rsidRDefault="00B57C0E">
      <w:pPr>
        <w:pStyle w:val="RKnormal"/>
      </w:pPr>
    </w:p>
    <w:sectPr w:rsidR="00B57C0E" w:rsidRPr="0060007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491" w:rsidRPr="00600074" w:rsidRDefault="001E5491">
      <w:r w:rsidRPr="00600074">
        <w:separator/>
      </w:r>
    </w:p>
  </w:endnote>
  <w:endnote w:type="continuationSeparator" w:id="0">
    <w:p w:rsidR="001E5491" w:rsidRPr="00600074" w:rsidRDefault="001E5491">
      <w:r w:rsidRPr="006000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491" w:rsidRPr="00600074" w:rsidRDefault="001E5491">
      <w:r w:rsidRPr="00600074">
        <w:separator/>
      </w:r>
    </w:p>
  </w:footnote>
  <w:footnote w:type="continuationSeparator" w:id="0">
    <w:p w:rsidR="001E5491" w:rsidRPr="00600074" w:rsidRDefault="001E5491">
      <w:r w:rsidRPr="00600074">
        <w:continuationSeparator/>
      </w:r>
    </w:p>
  </w:footnote>
  <w:footnote w:id="1">
    <w:p w:rsidR="001E5491" w:rsidRPr="00600074" w:rsidRDefault="001E5491" w:rsidP="007E5C3A">
      <w:pPr>
        <w:pStyle w:val="RKrubrik"/>
        <w:rPr>
          <w:rFonts w:ascii="Times New Roman" w:hAnsi="Times New Roman"/>
          <w:b w:val="0"/>
          <w:sz w:val="20"/>
          <w:szCs w:val="24"/>
          <w:rPrChange w:id="1" w:author="Lars Brink" w:date="2025-12-18T04:50:00Z" w16du:dateUtc="2025-12-18T03:50:00Z">
            <w:rPr>
              <w:rFonts w:ascii="Times New Roman" w:hAnsi="Times New Roman"/>
              <w:b w:val="0"/>
              <w:sz w:val="20"/>
              <w:szCs w:val="24"/>
            </w:rPr>
          </w:rPrChange>
        </w:rPr>
      </w:pPr>
      <w:r w:rsidRPr="00600074">
        <w:rPr>
          <w:rStyle w:val="Fotnotsreferens"/>
          <w:rPrChange w:id="2" w:author="Lars Brink" w:date="2025-12-18T04:50:00Z" w16du:dateUtc="2025-12-18T03:50:00Z">
            <w:rPr>
              <w:rStyle w:val="Fotnotsreferens"/>
            </w:rPr>
          </w:rPrChange>
        </w:rPr>
        <w:footnoteRef/>
      </w:r>
      <w:r w:rsidRPr="00600074">
        <w:rPr>
          <w:rPrChange w:id="3" w:author="Lars Brink" w:date="2025-12-18T04:50:00Z" w16du:dateUtc="2025-12-18T03:50:00Z">
            <w:rPr/>
          </w:rPrChange>
        </w:rPr>
        <w:t xml:space="preserve"> </w:t>
      </w:r>
      <w:r w:rsidRPr="00600074">
        <w:rPr>
          <w:rFonts w:ascii="Times New Roman" w:hAnsi="Times New Roman"/>
          <w:b w:val="0"/>
          <w:sz w:val="20"/>
          <w:rPrChange w:id="4" w:author="Lars Brink" w:date="2025-12-18T04:50:00Z" w16du:dateUtc="2025-12-18T03:50:00Z">
            <w:rPr>
              <w:rFonts w:ascii="Times New Roman" w:hAnsi="Times New Roman"/>
              <w:b w:val="0"/>
              <w:sz w:val="20"/>
            </w:rPr>
          </w:rPrChange>
        </w:rPr>
        <w:t>TAC är förkortning för Total Allowable Catch, d v s totalt tillåten fångstmängd. Rådets förordning om fastställande för år 2011 av fiskemöjligheter etc. benämns TAC- och kvotförordningen.</w:t>
      </w:r>
    </w:p>
    <w:p w:rsidR="001E5491" w:rsidRPr="00600074" w:rsidRDefault="001E5491" w:rsidP="007E5C3A">
      <w:pPr>
        <w:pStyle w:val="Fotnotstext"/>
        <w:rPr>
          <w:rPrChange w:id="5" w:author="Lars Brink" w:date="2025-12-18T04:50:00Z" w16du:dateUtc="2025-12-18T03:50:00Z">
            <w:rPr/>
          </w:rPrChang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491" w:rsidRPr="00600074" w:rsidRDefault="001E5491">
    <w:pPr>
      <w:pStyle w:val="Sidhuvud"/>
      <w:framePr w:wrap="around" w:vAnchor="text" w:hAnchor="margin" w:xAlign="right" w:y="1"/>
      <w:rPr>
        <w:rStyle w:val="Sidnummer"/>
        <w:rPrChange w:id="6" w:author="Lars Brink" w:date="2025-12-18T04:50:00Z" w16du:dateUtc="2025-12-18T03:50:00Z">
          <w:rPr>
            <w:rStyle w:val="Sidnummer"/>
          </w:rPr>
        </w:rPrChange>
      </w:rPr>
    </w:pPr>
    <w:r w:rsidRPr="00600074">
      <w:rPr>
        <w:rStyle w:val="Sidnummer"/>
      </w:rPr>
      <w:fldChar w:fldCharType="begin" w:fldLock="1"/>
    </w:r>
    <w:r w:rsidRPr="00600074">
      <w:rPr>
        <w:rStyle w:val="Sidnummer"/>
      </w:rPr>
      <w:instrText xml:space="preserve">PAGE  </w:instrText>
    </w:r>
    <w:r w:rsidRPr="00600074">
      <w:rPr>
        <w:rStyle w:val="Sidnummer"/>
      </w:rPr>
      <w:fldChar w:fldCharType="separate"/>
    </w:r>
    <w:r w:rsidR="0042441E" w:rsidRPr="00600074">
      <w:rPr>
        <w:rStyle w:val="Sidnummer"/>
        <w:rPrChange w:id="7" w:author="Lars Brink" w:date="2025-12-18T04:50:00Z" w16du:dateUtc="2025-12-18T03:50:00Z">
          <w:rPr>
            <w:rStyle w:val="Sidnummer"/>
            <w:noProof/>
          </w:rPr>
        </w:rPrChange>
      </w:rPr>
      <w:t>12</w:t>
    </w:r>
    <w:r w:rsidRPr="00600074">
      <w:rPr>
        <w:rStyle w:val="Sidnummer"/>
        <w:rPrChange w:id="8" w:author="Lars Brink" w:date="2025-12-18T04:50:00Z" w16du:dateUtc="2025-12-18T03:50: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1E5491" w:rsidRPr="00600074">
      <w:tblPrEx>
        <w:tblCellMar>
          <w:top w:w="0" w:type="dxa"/>
          <w:bottom w:w="0" w:type="dxa"/>
        </w:tblCellMar>
      </w:tblPrEx>
      <w:trPr>
        <w:cantSplit/>
      </w:trPr>
      <w:tc>
        <w:tcPr>
          <w:tcW w:w="3119" w:type="dxa"/>
        </w:tcPr>
        <w:p w:rsidR="001E5491" w:rsidRPr="00600074" w:rsidRDefault="001E5491">
          <w:pPr>
            <w:pStyle w:val="Sidhuvud"/>
            <w:spacing w:line="200" w:lineRule="atLeast"/>
            <w:ind w:right="357"/>
            <w:rPr>
              <w:rFonts w:ascii="TradeGothic" w:hAnsi="TradeGothic"/>
              <w:b/>
              <w:bCs/>
              <w:sz w:val="16"/>
              <w:rPrChange w:id="9" w:author="Lars Brink" w:date="2025-12-18T04:50:00Z" w16du:dateUtc="2025-12-18T03:50:00Z">
                <w:rPr>
                  <w:rFonts w:ascii="TradeGothic" w:hAnsi="TradeGothic"/>
                  <w:b/>
                  <w:bCs/>
                  <w:sz w:val="16"/>
                </w:rPr>
              </w:rPrChange>
            </w:rPr>
          </w:pPr>
        </w:p>
      </w:tc>
      <w:tc>
        <w:tcPr>
          <w:tcW w:w="4111" w:type="dxa"/>
          <w:tcMar>
            <w:left w:w="567" w:type="dxa"/>
          </w:tcMar>
        </w:tcPr>
        <w:p w:rsidR="001E5491" w:rsidRPr="00600074" w:rsidRDefault="001E5491">
          <w:pPr>
            <w:pStyle w:val="Sidhuvud"/>
            <w:ind w:right="360"/>
            <w:rPr>
              <w:rPrChange w:id="10" w:author="Lars Brink" w:date="2025-12-18T04:50:00Z" w16du:dateUtc="2025-12-18T03:50:00Z">
                <w:rPr/>
              </w:rPrChange>
            </w:rPr>
          </w:pPr>
        </w:p>
      </w:tc>
      <w:tc>
        <w:tcPr>
          <w:tcW w:w="1525" w:type="dxa"/>
        </w:tcPr>
        <w:p w:rsidR="001E5491" w:rsidRPr="00600074" w:rsidRDefault="001E5491">
          <w:pPr>
            <w:pStyle w:val="Sidhuvud"/>
            <w:ind w:right="360"/>
            <w:rPr>
              <w:rPrChange w:id="11" w:author="Lars Brink" w:date="2025-12-18T04:50:00Z" w16du:dateUtc="2025-12-18T03:50:00Z">
                <w:rPr/>
              </w:rPrChange>
            </w:rPr>
          </w:pPr>
        </w:p>
      </w:tc>
    </w:tr>
  </w:tbl>
  <w:p w:rsidR="001E5491" w:rsidRPr="00600074" w:rsidRDefault="001E5491">
    <w:pPr>
      <w:pStyle w:val="Sidhuvud"/>
      <w:ind w:right="357" w:firstLine="357"/>
      <w:rPr>
        <w:rPrChange w:id="12" w:author="Lars Brink" w:date="2025-12-18T04:50:00Z" w16du:dateUtc="2025-12-18T03:50: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491" w:rsidRPr="00600074" w:rsidRDefault="001E5491">
    <w:pPr>
      <w:pStyle w:val="Sidhuvud"/>
      <w:framePr w:wrap="around" w:vAnchor="text" w:hAnchor="margin" w:xAlign="right" w:y="1"/>
      <w:rPr>
        <w:rStyle w:val="Sidnummer"/>
        <w:rPrChange w:id="13" w:author="Lars Brink" w:date="2025-12-18T04:50:00Z" w16du:dateUtc="2025-12-18T03:50:00Z">
          <w:rPr>
            <w:rStyle w:val="Sidnummer"/>
          </w:rPr>
        </w:rPrChange>
      </w:rPr>
    </w:pPr>
    <w:r w:rsidRPr="00600074">
      <w:rPr>
        <w:rStyle w:val="Sidnummer"/>
      </w:rPr>
      <w:fldChar w:fldCharType="begin" w:fldLock="1"/>
    </w:r>
    <w:r w:rsidRPr="00600074">
      <w:rPr>
        <w:rStyle w:val="Sidnummer"/>
      </w:rPr>
      <w:instrText xml:space="preserve">PAGE  </w:instrText>
    </w:r>
    <w:r w:rsidRPr="00600074">
      <w:rPr>
        <w:rStyle w:val="Sidnummer"/>
      </w:rPr>
      <w:fldChar w:fldCharType="separate"/>
    </w:r>
    <w:r w:rsidR="0042441E" w:rsidRPr="00600074">
      <w:rPr>
        <w:rStyle w:val="Sidnummer"/>
        <w:rPrChange w:id="14" w:author="Lars Brink" w:date="2025-12-18T04:50:00Z" w16du:dateUtc="2025-12-18T03:50:00Z">
          <w:rPr>
            <w:rStyle w:val="Sidnummer"/>
            <w:noProof/>
          </w:rPr>
        </w:rPrChange>
      </w:rPr>
      <w:t>13</w:t>
    </w:r>
    <w:r w:rsidRPr="00600074">
      <w:rPr>
        <w:rStyle w:val="Sidnummer"/>
        <w:rPrChange w:id="15" w:author="Lars Brink" w:date="2025-12-18T04:50:00Z" w16du:dateUtc="2025-12-18T03:50: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1E5491" w:rsidRPr="00600074">
      <w:tblPrEx>
        <w:tblCellMar>
          <w:top w:w="0" w:type="dxa"/>
          <w:bottom w:w="0" w:type="dxa"/>
        </w:tblCellMar>
      </w:tblPrEx>
      <w:trPr>
        <w:cantSplit/>
      </w:trPr>
      <w:tc>
        <w:tcPr>
          <w:tcW w:w="3119" w:type="dxa"/>
        </w:tcPr>
        <w:p w:rsidR="001E5491" w:rsidRPr="00600074" w:rsidRDefault="001E5491">
          <w:pPr>
            <w:pStyle w:val="Sidhuvud"/>
            <w:spacing w:line="200" w:lineRule="atLeast"/>
            <w:ind w:right="357"/>
            <w:rPr>
              <w:rFonts w:ascii="TradeGothic" w:hAnsi="TradeGothic"/>
              <w:b/>
              <w:bCs/>
              <w:sz w:val="16"/>
              <w:rPrChange w:id="16" w:author="Lars Brink" w:date="2025-12-18T04:50:00Z" w16du:dateUtc="2025-12-18T03:50:00Z">
                <w:rPr>
                  <w:rFonts w:ascii="TradeGothic" w:hAnsi="TradeGothic"/>
                  <w:b/>
                  <w:bCs/>
                  <w:sz w:val="16"/>
                </w:rPr>
              </w:rPrChange>
            </w:rPr>
          </w:pPr>
        </w:p>
      </w:tc>
      <w:tc>
        <w:tcPr>
          <w:tcW w:w="4111" w:type="dxa"/>
          <w:tcMar>
            <w:left w:w="567" w:type="dxa"/>
          </w:tcMar>
        </w:tcPr>
        <w:p w:rsidR="001E5491" w:rsidRPr="00600074" w:rsidRDefault="001E5491">
          <w:pPr>
            <w:pStyle w:val="Sidhuvud"/>
            <w:ind w:right="360"/>
            <w:rPr>
              <w:rPrChange w:id="17" w:author="Lars Brink" w:date="2025-12-18T04:50:00Z" w16du:dateUtc="2025-12-18T03:50:00Z">
                <w:rPr/>
              </w:rPrChange>
            </w:rPr>
          </w:pPr>
        </w:p>
      </w:tc>
      <w:tc>
        <w:tcPr>
          <w:tcW w:w="1525" w:type="dxa"/>
        </w:tcPr>
        <w:p w:rsidR="001E5491" w:rsidRPr="00600074" w:rsidRDefault="001E5491">
          <w:pPr>
            <w:pStyle w:val="Sidhuvud"/>
            <w:ind w:right="360"/>
            <w:rPr>
              <w:rPrChange w:id="18" w:author="Lars Brink" w:date="2025-12-18T04:50:00Z" w16du:dateUtc="2025-12-18T03:50:00Z">
                <w:rPr/>
              </w:rPrChange>
            </w:rPr>
          </w:pPr>
        </w:p>
      </w:tc>
    </w:tr>
  </w:tbl>
  <w:p w:rsidR="001E5491" w:rsidRPr="00600074" w:rsidRDefault="001E5491">
    <w:pPr>
      <w:pStyle w:val="Sidhuvud"/>
      <w:ind w:right="357" w:firstLine="357"/>
      <w:rPr>
        <w:rPrChange w:id="19" w:author="Lars Brink" w:date="2025-12-18T04:50:00Z" w16du:dateUtc="2025-12-18T03:50: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491" w:rsidRPr="00600074" w:rsidRDefault="00600074">
    <w:pPr>
      <w:framePr w:w="2948" w:h="1321" w:hRule="exact" w:wrap="notBeside" w:vAnchor="page" w:hAnchor="page" w:x="1362" w:y="653"/>
    </w:pPr>
    <w:r w:rsidRPr="0060007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E5491" w:rsidRPr="00600074" w:rsidRDefault="001E5491">
    <w:pPr>
      <w:pStyle w:val="RKrubrik"/>
      <w:keepNext w:val="0"/>
      <w:tabs>
        <w:tab w:val="clear" w:pos="1134"/>
        <w:tab w:val="clear" w:pos="2835"/>
      </w:tabs>
      <w:spacing w:before="0" w:after="0" w:line="320" w:lineRule="atLeast"/>
      <w:rPr>
        <w:bCs/>
      </w:rPr>
    </w:pPr>
  </w:p>
  <w:p w:rsidR="001E5491" w:rsidRPr="00600074" w:rsidRDefault="001E5491">
    <w:pPr>
      <w:rPr>
        <w:rFonts w:ascii="TradeGothic" w:hAnsi="TradeGothic"/>
        <w:b/>
        <w:bCs/>
        <w:spacing w:val="12"/>
        <w:sz w:val="22"/>
      </w:rPr>
    </w:pPr>
  </w:p>
  <w:p w:rsidR="001E5491" w:rsidRPr="00600074" w:rsidRDefault="001E5491">
    <w:pPr>
      <w:pStyle w:val="RKrubrik"/>
      <w:keepNext w:val="0"/>
      <w:tabs>
        <w:tab w:val="clear" w:pos="1134"/>
        <w:tab w:val="clear" w:pos="2835"/>
      </w:tabs>
      <w:spacing w:before="0" w:after="0" w:line="320" w:lineRule="atLeast"/>
      <w:rPr>
        <w:bCs/>
      </w:rPr>
    </w:pPr>
  </w:p>
  <w:p w:rsidR="001E5491" w:rsidRPr="00600074" w:rsidRDefault="001E549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257010107">
    <w:abstractNumId w:val="0"/>
  </w:num>
  <w:num w:numId="2" w16cid:durableId="190263239">
    <w:abstractNumId w:val="1"/>
  </w:num>
  <w:num w:numId="3" w16cid:durableId="7840795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B57C0E"/>
    <w:rsid w:val="00037A80"/>
    <w:rsid w:val="00067611"/>
    <w:rsid w:val="00091817"/>
    <w:rsid w:val="000A52CA"/>
    <w:rsid w:val="00144CDA"/>
    <w:rsid w:val="001457A2"/>
    <w:rsid w:val="00150384"/>
    <w:rsid w:val="001805B7"/>
    <w:rsid w:val="001E5491"/>
    <w:rsid w:val="001F5038"/>
    <w:rsid w:val="002F3460"/>
    <w:rsid w:val="003621CF"/>
    <w:rsid w:val="003C18F9"/>
    <w:rsid w:val="003C4FB4"/>
    <w:rsid w:val="003D31CB"/>
    <w:rsid w:val="0042441E"/>
    <w:rsid w:val="004A328D"/>
    <w:rsid w:val="00600074"/>
    <w:rsid w:val="006140DC"/>
    <w:rsid w:val="0064677F"/>
    <w:rsid w:val="006612A9"/>
    <w:rsid w:val="00681195"/>
    <w:rsid w:val="00695949"/>
    <w:rsid w:val="006B081E"/>
    <w:rsid w:val="006E4E11"/>
    <w:rsid w:val="006F599C"/>
    <w:rsid w:val="007242A3"/>
    <w:rsid w:val="0072472D"/>
    <w:rsid w:val="00756D64"/>
    <w:rsid w:val="007A5B59"/>
    <w:rsid w:val="007E5C3A"/>
    <w:rsid w:val="007E60C7"/>
    <w:rsid w:val="007E60F6"/>
    <w:rsid w:val="007F4ED5"/>
    <w:rsid w:val="00851925"/>
    <w:rsid w:val="008765AF"/>
    <w:rsid w:val="008B44B6"/>
    <w:rsid w:val="008E2CFA"/>
    <w:rsid w:val="00931535"/>
    <w:rsid w:val="0098334A"/>
    <w:rsid w:val="009E134B"/>
    <w:rsid w:val="00B12960"/>
    <w:rsid w:val="00B138A5"/>
    <w:rsid w:val="00B57C0E"/>
    <w:rsid w:val="00BC67C5"/>
    <w:rsid w:val="00BF57B9"/>
    <w:rsid w:val="00C72EED"/>
    <w:rsid w:val="00D11E6B"/>
    <w:rsid w:val="00D60C0E"/>
    <w:rsid w:val="00D7278A"/>
    <w:rsid w:val="00D86BDA"/>
    <w:rsid w:val="00DD363C"/>
    <w:rsid w:val="00DD67F6"/>
    <w:rsid w:val="00E2101B"/>
    <w:rsid w:val="00E820FA"/>
    <w:rsid w:val="00EA313E"/>
    <w:rsid w:val="00EC25F9"/>
    <w:rsid w:val="00F100BE"/>
    <w:rsid w:val="00F870EF"/>
    <w:rsid w:val="00F904F4"/>
    <w:rsid w:val="00FF7D1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E28095D-5A46-479A-BE23-E3188C78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rsid w:val="00B57C0E"/>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Par-number1">
    <w:name w:val="Par-number 1."/>
    <w:basedOn w:val="Normal"/>
    <w:next w:val="Normal"/>
    <w:link w:val="Par-number1Char"/>
    <w:rsid w:val="00B57C0E"/>
    <w:pPr>
      <w:widowControl w:val="0"/>
      <w:numPr>
        <w:numId w:val="2"/>
      </w:numPr>
      <w:overflowPunct/>
      <w:autoSpaceDE/>
      <w:autoSpaceDN/>
      <w:adjustRightInd/>
      <w:spacing w:line="360" w:lineRule="auto"/>
      <w:textAlignment w:val="auto"/>
    </w:pPr>
    <w:rPr>
      <w:rFonts w:ascii="Times New Roman" w:hAnsi="Times New Roman"/>
      <w:lang w:eastAsia="fr-BE"/>
    </w:rPr>
  </w:style>
  <w:style w:type="paragraph" w:customStyle="1" w:styleId="Par-dash">
    <w:name w:val="Par-dash"/>
    <w:basedOn w:val="Normal"/>
    <w:next w:val="Normal"/>
    <w:rsid w:val="00B57C0E"/>
    <w:pPr>
      <w:widowControl w:val="0"/>
      <w:numPr>
        <w:numId w:val="1"/>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B57C0E"/>
    <w:rPr>
      <w:sz w:val="24"/>
      <w:lang w:val="sv-SE" w:eastAsia="fr-BE" w:bidi="ar-SA"/>
    </w:rPr>
  </w:style>
  <w:style w:type="paragraph" w:customStyle="1" w:styleId="EntRefer">
    <w:name w:val="EntRefer"/>
    <w:basedOn w:val="Normal"/>
    <w:rsid w:val="00B57C0E"/>
    <w:pPr>
      <w:widowControl w:val="0"/>
      <w:overflowPunct/>
      <w:autoSpaceDE/>
      <w:autoSpaceDN/>
      <w:adjustRightInd/>
      <w:spacing w:line="240" w:lineRule="auto"/>
      <w:textAlignment w:val="auto"/>
    </w:pPr>
    <w:rPr>
      <w:rFonts w:ascii="Times New Roman" w:hAnsi="Times New Roman"/>
      <w:b/>
      <w:lang w:eastAsia="fr-BE"/>
    </w:rPr>
  </w:style>
  <w:style w:type="character" w:customStyle="1" w:styleId="RKnormalChar">
    <w:name w:val="RKnormal Char"/>
    <w:basedOn w:val="Standardstycketeckensnitt"/>
    <w:link w:val="RKnormal"/>
    <w:rsid w:val="007E60F6"/>
    <w:rPr>
      <w:rFonts w:ascii="OrigGarmnd BT" w:hAnsi="OrigGarmnd BT"/>
      <w:sz w:val="24"/>
      <w:lang w:val="sv-SE" w:eastAsia="en-US" w:bidi="ar-SA"/>
    </w:rPr>
  </w:style>
  <w:style w:type="character" w:customStyle="1" w:styleId="RKrubrikChar">
    <w:name w:val="RKrubrik Char"/>
    <w:basedOn w:val="RKnormalChar"/>
    <w:link w:val="RKrubrik"/>
    <w:rsid w:val="007E5C3A"/>
    <w:rPr>
      <w:rFonts w:ascii="TradeGothic" w:hAnsi="TradeGothic"/>
      <w:b/>
      <w:sz w:val="22"/>
      <w:lang w:val="sv-SE" w:eastAsia="en-US" w:bidi="ar-SA"/>
    </w:rPr>
  </w:style>
  <w:style w:type="paragraph" w:styleId="Fotnotstext">
    <w:name w:val="footnote text"/>
    <w:basedOn w:val="Normal"/>
    <w:semiHidden/>
    <w:rsid w:val="007E5C3A"/>
    <w:rPr>
      <w:sz w:val="20"/>
    </w:rPr>
  </w:style>
  <w:style w:type="character" w:styleId="Fotnotsreferens">
    <w:name w:val="footnote reference"/>
    <w:basedOn w:val="Standardstycketeckensnitt"/>
    <w:semiHidden/>
    <w:rsid w:val="007E5C3A"/>
    <w:rPr>
      <w:vertAlign w:val="superscript"/>
    </w:rPr>
  </w:style>
  <w:style w:type="paragraph" w:styleId="Revision">
    <w:name w:val="Revision"/>
    <w:hidden/>
    <w:uiPriority w:val="99"/>
    <w:semiHidden/>
    <w:rsid w:val="00600074"/>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2698</Words>
  <Characters>17164</Characters>
  <Application>Microsoft Office Word</Application>
  <DocSecurity>4</DocSecurity>
  <Lines>504</Lines>
  <Paragraphs>169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2010-11-22T11:41:00Z</cp:lastPrinted>
  <dcterms:created xsi:type="dcterms:W3CDTF">2025-12-18T03:50:00Z</dcterms:created>
  <dcterms:modified xsi:type="dcterms:W3CDTF">2025-12-18T03:50:00Z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Jordbruksdepartementet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