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30B" w:rsidRPr="00EC3DBE" w:rsidRDefault="0042530B">
      <w:pPr>
        <w:framePr w:w="3119" w:h="1406" w:hRule="exact" w:wrap="around" w:vAnchor="page" w:hAnchor="page" w:x="1441" w:y="781"/>
        <w:tabs>
          <w:tab w:val="left" w:pos="142"/>
        </w:tabs>
      </w:pPr>
      <w:bookmarkStart w:id="0" w:name="RapportLogga"/>
      <w:r w:rsidRPr="00EC3DBE">
        <w:t xml:space="preserve">  </w:t>
      </w:r>
      <w:bookmarkStart w:id="1" w:name="logga"/>
      <w:bookmarkStart w:id="2" w:name="webtabort"/>
      <w:r w:rsidR="00EC3DBE" w:rsidRPr="00EC3DBE">
        <w:rPr>
          <w:noProof/>
        </w:rPr>
        <w:drawing>
          <wp:inline distT="0" distB="0" distL="0" distR="0">
            <wp:extent cx="1911350" cy="8382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42530B" w:rsidRPr="00EC3DBE" w:rsidRDefault="0042530B">
      <w:pPr>
        <w:framePr w:w="3119" w:h="1406" w:hRule="exact" w:wrap="around" w:vAnchor="page" w:hAnchor="page" w:x="1441" w:y="781"/>
        <w:tabs>
          <w:tab w:val="left" w:pos="142"/>
        </w:tabs>
      </w:pPr>
    </w:p>
    <w:p w:rsidR="0042530B" w:rsidRPr="00EC3DBE" w:rsidRDefault="00EC3DBE">
      <w:pPr>
        <w:framePr w:w="3119" w:h="1406" w:hRule="exact" w:wrap="around" w:vAnchor="page" w:hAnchor="page" w:x="1441" w:y="781"/>
        <w:tabs>
          <w:tab w:val="left" w:pos="142"/>
        </w:tabs>
      </w:pPr>
      <w:r w:rsidRPr="00EC3DBE">
        <w:rPr>
          <w:noProof/>
        </w:rPr>
        <w:drawing>
          <wp:inline distT="0" distB="0" distL="0" distR="0">
            <wp:extent cx="1981200" cy="8636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1893"/>
      </w:tblGrid>
      <w:tr w:rsidR="0042530B" w:rsidRPr="00EC3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0" w:type="dxa"/>
          </w:tcPr>
          <w:p w:rsidR="0042530B" w:rsidRPr="00EC3DBE" w:rsidRDefault="0042530B">
            <w:pPr>
              <w:pStyle w:val="Brdtexthuvud"/>
              <w:framePr w:hSpace="0" w:wrap="around" w:x="6601" w:y="852"/>
            </w:pPr>
            <w:bookmarkStart w:id="3" w:name="UDkoncept"/>
            <w:bookmarkEnd w:id="3"/>
          </w:p>
        </w:tc>
        <w:tc>
          <w:tcPr>
            <w:tcW w:w="1893" w:type="dxa"/>
          </w:tcPr>
          <w:p w:rsidR="0042530B" w:rsidRPr="00EC3DBE" w:rsidRDefault="0042530B">
            <w:pPr>
              <w:pStyle w:val="Brdtexthuvud"/>
              <w:framePr w:hSpace="0" w:wrap="around" w:x="6601" w:y="852"/>
            </w:pPr>
            <w:bookmarkStart w:id="4" w:name="UDsidan"/>
            <w:bookmarkEnd w:id="4"/>
          </w:p>
        </w:tc>
      </w:tr>
      <w:tr w:rsidR="0042530B" w:rsidRPr="00EC3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0" w:type="dxa"/>
          </w:tcPr>
          <w:p w:rsidR="0042530B" w:rsidRPr="00EC3DBE" w:rsidRDefault="00A60EC2">
            <w:pPr>
              <w:pStyle w:val="Brdtexthuvud"/>
              <w:framePr w:hSpace="0" w:wrap="around" w:x="6601" w:y="852"/>
              <w:rPr>
                <w:b/>
                <w:sz w:val="22"/>
              </w:rPr>
            </w:pPr>
            <w:bookmarkStart w:id="5" w:name="UDdokname"/>
            <w:bookmarkStart w:id="6" w:name="RapportExpsatt"/>
            <w:bookmarkEnd w:id="5"/>
            <w:bookmarkEnd w:id="6"/>
            <w:r w:rsidRPr="00EC3DBE">
              <w:rPr>
                <w:b/>
                <w:sz w:val="22"/>
              </w:rPr>
              <w:t>TELEMEDDELANDE</w:t>
            </w:r>
          </w:p>
        </w:tc>
        <w:bookmarkStart w:id="7" w:name="UDnr"/>
        <w:bookmarkEnd w:id="7"/>
        <w:tc>
          <w:tcPr>
            <w:tcW w:w="1893" w:type="dxa"/>
          </w:tcPr>
          <w:p w:rsidR="0042530B" w:rsidRPr="00EC3DBE" w:rsidRDefault="0042530B">
            <w:pPr>
              <w:pStyle w:val="Brdtexthuvud"/>
              <w:framePr w:hSpace="0" w:wrap="around" w:x="6601" w:y="852"/>
              <w:rPr>
                <w:rFonts w:ascii="Garamond" w:hAnsi="Garamond"/>
              </w:rPr>
            </w:pPr>
            <w:r w:rsidRPr="00EC3DBE">
              <w:rPr>
                <w:rFonts w:ascii="Garamond" w:hAnsi="Garamond"/>
              </w:rPr>
              <w:fldChar w:fldCharType="begin" w:fldLock="1"/>
            </w:r>
            <w:r w:rsidRPr="00EC3DBE">
              <w:rPr>
                <w:rFonts w:ascii="Garamond" w:hAnsi="Garamond"/>
              </w:rPr>
              <w:instrText xml:space="preserve"> PAGE  \* MERGEFORMAT </w:instrText>
            </w:r>
            <w:r w:rsidRPr="00EC3DBE">
              <w:rPr>
                <w:rFonts w:ascii="Garamond" w:hAnsi="Garamond"/>
              </w:rPr>
              <w:fldChar w:fldCharType="separate"/>
            </w:r>
            <w:r w:rsidR="002457F5" w:rsidRPr="00EC3DBE">
              <w:rPr>
                <w:rFonts w:ascii="Garamond" w:hAnsi="Garamond"/>
              </w:rPr>
              <w:t>1</w:t>
            </w:r>
            <w:r w:rsidRPr="00EC3DBE">
              <w:rPr>
                <w:rFonts w:ascii="Garamond" w:hAnsi="Garamond"/>
              </w:rPr>
              <w:fldChar w:fldCharType="end"/>
            </w:r>
            <w:r w:rsidRPr="00EC3DBE">
              <w:rPr>
                <w:rFonts w:ascii="Garamond" w:hAnsi="Garamond"/>
              </w:rPr>
              <w:t xml:space="preserve"> (  )</w:t>
            </w:r>
          </w:p>
        </w:tc>
      </w:tr>
      <w:tr w:rsidR="0042530B" w:rsidRPr="00EC3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0" w:type="dxa"/>
          </w:tcPr>
          <w:p w:rsidR="0042530B" w:rsidRPr="00EC3DBE" w:rsidRDefault="0042530B">
            <w:pPr>
              <w:pStyle w:val="Brdtexthuvud"/>
              <w:framePr w:hSpace="0" w:wrap="around" w:x="6601" w:y="852"/>
            </w:pPr>
          </w:p>
        </w:tc>
        <w:tc>
          <w:tcPr>
            <w:tcW w:w="1893" w:type="dxa"/>
          </w:tcPr>
          <w:p w:rsidR="0042530B" w:rsidRPr="00EC3DBE" w:rsidRDefault="0042530B">
            <w:pPr>
              <w:pStyle w:val="Brdtexthuvud"/>
              <w:framePr w:hSpace="0" w:wrap="around" w:x="6601" w:y="852"/>
            </w:pPr>
          </w:p>
        </w:tc>
      </w:tr>
      <w:tr w:rsidR="0042530B" w:rsidRPr="00EC3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80" w:type="dxa"/>
          </w:tcPr>
          <w:p w:rsidR="0042530B" w:rsidRPr="00EC3DBE" w:rsidRDefault="00A60EC2">
            <w:pPr>
              <w:pStyle w:val="Brdtexthuvud"/>
              <w:framePr w:hSpace="0" w:wrap="around" w:x="6601" w:y="852"/>
              <w:rPr>
                <w:rFonts w:ascii="Garamond" w:hAnsi="Garamond"/>
              </w:rPr>
            </w:pPr>
            <w:bookmarkStart w:id="8" w:name="RapportDatumRef"/>
            <w:bookmarkStart w:id="9" w:name="RapportDatum"/>
            <w:bookmarkEnd w:id="8"/>
            <w:r w:rsidRPr="00EC3DBE">
              <w:rPr>
                <w:rFonts w:ascii="Garamond" w:hAnsi="Garamond"/>
              </w:rPr>
              <w:t>2009-03-13</w:t>
            </w:r>
            <w:bookmarkEnd w:id="9"/>
          </w:p>
        </w:tc>
        <w:tc>
          <w:tcPr>
            <w:tcW w:w="1893" w:type="dxa"/>
          </w:tcPr>
          <w:p w:rsidR="0042530B" w:rsidRPr="00EC3DBE" w:rsidRDefault="0042530B">
            <w:pPr>
              <w:pStyle w:val="Brdtexthuvud"/>
              <w:framePr w:hSpace="0" w:wrap="around" w:x="6601" w:y="852"/>
              <w:rPr>
                <w:rFonts w:ascii="Garamond" w:hAnsi="Garamond"/>
              </w:rPr>
            </w:pPr>
            <w:bookmarkStart w:id="10" w:name="UDdnr"/>
            <w:bookmarkEnd w:id="10"/>
          </w:p>
          <w:p w:rsidR="0042530B" w:rsidRPr="00EC3DBE" w:rsidRDefault="0042530B">
            <w:pPr>
              <w:pStyle w:val="Brdtexthuvud"/>
              <w:framePr w:hSpace="0" w:wrap="around" w:x="6601" w:y="852"/>
            </w:pPr>
            <w:bookmarkStart w:id="11" w:name="UDskrivnr"/>
            <w:bookmarkEnd w:id="11"/>
          </w:p>
          <w:p w:rsidR="0042530B" w:rsidRPr="00EC3DBE" w:rsidRDefault="0042530B">
            <w:pPr>
              <w:pStyle w:val="Brdtexthuvud"/>
              <w:framePr w:hSpace="0" w:wrap="around" w:x="6601" w:y="852"/>
            </w:pPr>
          </w:p>
        </w:tc>
      </w:tr>
    </w:tbl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7"/>
        <w:gridCol w:w="4908"/>
      </w:tblGrid>
      <w:tr w:rsidR="0042530B" w:rsidRPr="00EC3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57" w:type="dxa"/>
          </w:tcPr>
          <w:p w:rsidR="0042530B" w:rsidRPr="00EC3DBE" w:rsidRDefault="0042530B">
            <w:pPr>
              <w:pStyle w:val="Depnamn"/>
              <w:framePr w:h="2183" w:wrap="notBeside" w:vAnchor="page" w:hAnchor="page" w:x="1441" w:y="2496"/>
              <w:spacing w:before="40"/>
              <w:rPr>
                <w:rFonts w:ascii="Arial" w:hAnsi="Arial"/>
              </w:rPr>
            </w:pPr>
            <w:bookmarkStart w:id="12" w:name="UDdepartement"/>
            <w:bookmarkEnd w:id="12"/>
          </w:p>
          <w:p w:rsidR="0042530B" w:rsidRPr="00EC3DBE" w:rsidRDefault="001D1FC4">
            <w:pPr>
              <w:pStyle w:val="Namnenhet"/>
              <w:framePr w:wrap="notBeside" w:vAnchor="page" w:x="1441" w:y="2496"/>
            </w:pPr>
            <w:bookmarkStart w:id="13" w:name="UDminister"/>
            <w:bookmarkStart w:id="14" w:name="UDStad"/>
            <w:bookmarkStart w:id="15" w:name="UDenhet"/>
            <w:bookmarkStart w:id="16" w:name="UDchefenhet"/>
            <w:bookmarkStart w:id="17" w:name="RapportEnhet"/>
            <w:bookmarkEnd w:id="13"/>
            <w:bookmarkEnd w:id="14"/>
            <w:bookmarkEnd w:id="15"/>
            <w:bookmarkEnd w:id="16"/>
            <w:bookmarkEnd w:id="17"/>
            <w:r w:rsidRPr="00EC3DBE">
              <w:t>Gustaf Lindgren</w:t>
            </w:r>
          </w:p>
          <w:p w:rsidR="001D1FC4" w:rsidRPr="00EC3DBE" w:rsidRDefault="001D1FC4">
            <w:pPr>
              <w:pStyle w:val="Namnenhet"/>
              <w:framePr w:wrap="notBeside" w:vAnchor="page" w:x="1441" w:y="2496"/>
            </w:pPr>
            <w:r w:rsidRPr="00EC3DBE">
              <w:t>Arbetsmarknadsråd</w:t>
            </w:r>
          </w:p>
          <w:p w:rsidR="001D1FC4" w:rsidRPr="00EC3DBE" w:rsidRDefault="001D1FC4">
            <w:pPr>
              <w:pStyle w:val="Namnenhet"/>
              <w:framePr w:wrap="notBeside" w:vAnchor="page" w:x="1441" w:y="2496"/>
            </w:pPr>
            <w:r w:rsidRPr="00EC3DBE">
              <w:t>+ 32 2 289 54 87</w:t>
            </w:r>
          </w:p>
          <w:p w:rsidR="0042530B" w:rsidRPr="00EC3DBE" w:rsidRDefault="0042530B">
            <w:pPr>
              <w:pStyle w:val="Namnenhet"/>
              <w:framePr w:wrap="notBeside" w:vAnchor="page" w:x="1441" w:y="2496"/>
            </w:pPr>
            <w:bookmarkStart w:id="18" w:name="UDnamn"/>
            <w:bookmarkStart w:id="19" w:name="RapportNamn"/>
            <w:bookmarkEnd w:id="18"/>
            <w:bookmarkEnd w:id="19"/>
          </w:p>
          <w:p w:rsidR="0042530B" w:rsidRPr="00EC3DBE" w:rsidRDefault="0042530B">
            <w:pPr>
              <w:pStyle w:val="Namnenhet"/>
              <w:framePr w:wrap="notBeside" w:vAnchor="page" w:x="1441" w:y="2496"/>
            </w:pPr>
            <w:bookmarkStart w:id="20" w:name="UDtelefon"/>
            <w:bookmarkStart w:id="21" w:name="RapportTel"/>
            <w:bookmarkEnd w:id="20"/>
            <w:bookmarkEnd w:id="21"/>
          </w:p>
          <w:p w:rsidR="0042530B" w:rsidRPr="00EC3DBE" w:rsidRDefault="0042530B">
            <w:pPr>
              <w:pStyle w:val="Namnenhet"/>
              <w:framePr w:wrap="notBeside" w:vAnchor="page" w:x="1441" w:y="2496"/>
            </w:pPr>
            <w:bookmarkStart w:id="22" w:name="UDdelges"/>
            <w:bookmarkStart w:id="23" w:name="RapportInterndelgivning"/>
            <w:bookmarkEnd w:id="22"/>
            <w:bookmarkEnd w:id="23"/>
          </w:p>
          <w:p w:rsidR="0042530B" w:rsidRPr="00EC3DBE" w:rsidRDefault="0042530B">
            <w:pPr>
              <w:pStyle w:val="Depnamn"/>
              <w:framePr w:h="2183" w:wrap="notBeside" w:vAnchor="page" w:hAnchor="page" w:x="1441" w:y="2496"/>
            </w:pPr>
            <w:bookmarkStart w:id="24" w:name="UDendruta"/>
            <w:bookmarkEnd w:id="24"/>
          </w:p>
        </w:tc>
        <w:tc>
          <w:tcPr>
            <w:tcW w:w="4908" w:type="dxa"/>
          </w:tcPr>
          <w:p w:rsidR="0042530B" w:rsidRPr="00EC3DBE" w:rsidRDefault="0042530B">
            <w:pPr>
              <w:pStyle w:val="Brdtext"/>
              <w:framePr w:h="2183" w:wrap="notBeside" w:vAnchor="page" w:hAnchor="page" w:x="1441" w:y="2496"/>
              <w:rPr>
                <w:rFonts w:ascii="Garamond" w:hAnsi="Garamond"/>
              </w:rPr>
            </w:pPr>
            <w:bookmarkStart w:id="25" w:name="UDmottagare"/>
            <w:bookmarkEnd w:id="25"/>
          </w:p>
          <w:p w:rsidR="0042530B" w:rsidRPr="00EC3DBE" w:rsidRDefault="0042530B">
            <w:pPr>
              <w:pStyle w:val="Brdtext"/>
              <w:framePr w:h="2183" w:wrap="notBeside" w:vAnchor="page" w:hAnchor="page" w:x="1441" w:y="2496"/>
            </w:pPr>
          </w:p>
        </w:tc>
      </w:tr>
    </w:tbl>
    <w:p w:rsidR="0042530B" w:rsidRPr="00EC3DBE" w:rsidRDefault="0042530B">
      <w:pPr>
        <w:pStyle w:val="Brdtext"/>
        <w:spacing w:line="120" w:lineRule="exact"/>
        <w:ind w:firstLine="2127"/>
      </w:pPr>
    </w:p>
    <w:p w:rsidR="0042530B" w:rsidRPr="00EC3DBE" w:rsidRDefault="00A91E32">
      <w:pPr>
        <w:pStyle w:val="Brdtext"/>
        <w:rPr>
          <w:rFonts w:ascii="Garamond" w:hAnsi="Garamond"/>
        </w:rPr>
      </w:pPr>
      <w:bookmarkStart w:id="26" w:name="UDfaxmottagare"/>
      <w:bookmarkStart w:id="27" w:name="RapportDnr"/>
      <w:bookmarkEnd w:id="26"/>
      <w:bookmarkEnd w:id="27"/>
      <w:r w:rsidRPr="00EC3DBE">
        <w:rPr>
          <w:rFonts w:ascii="Garamond" w:hAnsi="Garamond"/>
        </w:rPr>
        <w:t>Arbetsmarknadsdepartementet</w:t>
      </w:r>
      <w:r w:rsidRPr="00EC3DBE">
        <w:rPr>
          <w:rFonts w:ascii="Garamond" w:hAnsi="Garamond"/>
        </w:rPr>
        <w:tab/>
      </w:r>
      <w:r w:rsidRPr="00EC3DBE">
        <w:rPr>
          <w:rFonts w:ascii="Garamond" w:hAnsi="Garamond"/>
        </w:rPr>
        <w:tab/>
      </w:r>
    </w:p>
    <w:p w:rsidR="0042530B" w:rsidRPr="00EC3DBE" w:rsidRDefault="0042530B">
      <w:pPr>
        <w:pStyle w:val="Brdtext"/>
        <w:rPr>
          <w:rFonts w:ascii="Garamond" w:hAnsi="Garamond"/>
        </w:rPr>
      </w:pPr>
    </w:p>
    <w:p w:rsidR="0042530B" w:rsidRPr="00EC3DBE" w:rsidRDefault="0042530B">
      <w:pPr>
        <w:pStyle w:val="Brdtext"/>
        <w:rPr>
          <w:rFonts w:ascii="Garamond" w:hAnsi="Garamond"/>
        </w:rPr>
      </w:pPr>
      <w:r w:rsidRPr="00EC3DBE">
        <w:rPr>
          <w:rFonts w:ascii="Garamond" w:hAnsi="Garamond"/>
        </w:rPr>
        <w:t xml:space="preserve">För: </w:t>
      </w:r>
      <w:bookmarkStart w:id="28" w:name="RapportFör"/>
      <w:bookmarkEnd w:id="28"/>
      <w:r w:rsidR="00A91E32" w:rsidRPr="00EC3DBE">
        <w:rPr>
          <w:rFonts w:ascii="Garamond" w:hAnsi="Garamond"/>
        </w:rPr>
        <w:t>Maria Melin, Thomas Göransson, Åsa Hågbäck, Hanna Björknäs</w:t>
      </w:r>
    </w:p>
    <w:p w:rsidR="0042530B" w:rsidRPr="00EC3DBE" w:rsidRDefault="0042530B">
      <w:pPr>
        <w:pStyle w:val="Brdtext"/>
        <w:rPr>
          <w:rFonts w:ascii="Garamond" w:hAnsi="Garamond"/>
        </w:rPr>
      </w:pPr>
    </w:p>
    <w:p w:rsidR="0042530B" w:rsidRPr="00EC3DBE" w:rsidRDefault="0042530B">
      <w:pPr>
        <w:pStyle w:val="Brdtext"/>
        <w:rPr>
          <w:rFonts w:ascii="Garamond" w:hAnsi="Garamond"/>
        </w:rPr>
      </w:pPr>
      <w:r w:rsidRPr="00EC3DBE">
        <w:rPr>
          <w:rFonts w:ascii="Garamond" w:hAnsi="Garamond"/>
        </w:rPr>
        <w:t xml:space="preserve">Kopia: </w:t>
      </w:r>
      <w:bookmarkStart w:id="29" w:name="RapportKopia"/>
      <w:bookmarkEnd w:id="29"/>
      <w:r w:rsidR="00A60EC2" w:rsidRPr="00EC3DBE">
        <w:rPr>
          <w:rFonts w:ascii="Garamond" w:hAnsi="Garamond"/>
        </w:rPr>
        <w:t>Ulrika Barklund Larsson, Daniel Svensson, Moa Lagercrantz, Annika Mansnérus, Jeanette Lund</w:t>
      </w:r>
    </w:p>
    <w:p w:rsidR="00A60EC2" w:rsidRPr="00EC3DBE" w:rsidRDefault="00A60EC2">
      <w:pPr>
        <w:pStyle w:val="Brdtext"/>
        <w:rPr>
          <w:rFonts w:ascii="Garamond" w:hAnsi="Garamond"/>
        </w:rPr>
      </w:pPr>
    </w:p>
    <w:p w:rsidR="0042530B" w:rsidRPr="00EC3DBE" w:rsidRDefault="0042530B">
      <w:pPr>
        <w:pStyle w:val="Brdtext"/>
        <w:rPr>
          <w:rFonts w:ascii="Garamond" w:hAnsi="Garamond"/>
        </w:rPr>
      </w:pPr>
    </w:p>
    <w:p w:rsidR="0042530B" w:rsidRPr="00EC3DBE" w:rsidRDefault="00A60EC2">
      <w:pPr>
        <w:pStyle w:val="UDrubrik"/>
        <w:pBdr>
          <w:bottom w:val="single" w:sz="6" w:space="1" w:color="auto"/>
        </w:pBdr>
        <w:rPr>
          <w:rFonts w:ascii="Arial" w:hAnsi="Arial"/>
        </w:rPr>
      </w:pPr>
      <w:bookmarkStart w:id="30" w:name="RapportPrioritet"/>
      <w:bookmarkStart w:id="31" w:name="UDrubrik"/>
      <w:bookmarkStart w:id="32" w:name="UDtext"/>
      <w:bookmarkStart w:id="33" w:name="UDArendemening"/>
      <w:bookmarkStart w:id="34" w:name="RapportRubrik"/>
      <w:bookmarkEnd w:id="30"/>
      <w:bookmarkEnd w:id="31"/>
      <w:bookmarkEnd w:id="32"/>
      <w:bookmarkEnd w:id="33"/>
      <w:bookmarkEnd w:id="34"/>
      <w:r w:rsidRPr="00EC3DBE">
        <w:rPr>
          <w:rFonts w:ascii="Arial" w:hAnsi="Arial"/>
        </w:rPr>
        <w:t>Rapport från EPSCO-rådet den 9 mars 2009</w:t>
      </w:r>
    </w:p>
    <w:p w:rsidR="0042530B" w:rsidRPr="00EC3DBE" w:rsidRDefault="0042530B">
      <w:pPr>
        <w:pStyle w:val="Brdtext"/>
        <w:rPr>
          <w:rFonts w:ascii="Garamond" w:hAnsi="Garamond"/>
          <w:b/>
        </w:rPr>
      </w:pPr>
      <w:bookmarkStart w:id="35" w:name="UDBilaga"/>
      <w:bookmarkStart w:id="36" w:name="RapportAberopning"/>
      <w:bookmarkStart w:id="37" w:name="RapportBilaga"/>
      <w:bookmarkStart w:id="38" w:name="RapportStart5"/>
      <w:bookmarkStart w:id="39" w:name="RapportTvaRadUnderRubrik"/>
      <w:bookmarkStart w:id="40" w:name="RapportSammanfattning"/>
      <w:bookmarkEnd w:id="2"/>
      <w:bookmarkEnd w:id="35"/>
      <w:bookmarkEnd w:id="36"/>
      <w:bookmarkEnd w:id="37"/>
      <w:bookmarkEnd w:id="38"/>
    </w:p>
    <w:bookmarkEnd w:id="39"/>
    <w:p w:rsidR="0042530B" w:rsidRPr="00EC3DBE" w:rsidRDefault="001D1FC4">
      <w:pPr>
        <w:pStyle w:val="Brdtext"/>
        <w:rPr>
          <w:rFonts w:ascii="Garamond" w:hAnsi="Garamond"/>
          <w:i/>
        </w:rPr>
      </w:pPr>
      <w:r w:rsidRPr="00EC3DBE">
        <w:rPr>
          <w:rFonts w:ascii="Garamond" w:hAnsi="Garamond"/>
          <w:i/>
        </w:rPr>
        <w:t>- EPSCO-rådet kunde anta förberedda huvudteman inför Europeiska rådet vårtoppmöte</w:t>
      </w:r>
    </w:p>
    <w:p w:rsidR="0042530B" w:rsidRPr="00EC3DBE" w:rsidRDefault="001D1FC4">
      <w:pPr>
        <w:pStyle w:val="Brdtext"/>
        <w:spacing w:line="240" w:lineRule="auto"/>
        <w:rPr>
          <w:rFonts w:ascii="Garamond" w:hAnsi="Garamond"/>
          <w:i/>
        </w:rPr>
      </w:pPr>
      <w:bookmarkStart w:id="41" w:name="RapportStart"/>
      <w:bookmarkEnd w:id="41"/>
      <w:r w:rsidRPr="00EC3DBE">
        <w:rPr>
          <w:rFonts w:ascii="Garamond" w:hAnsi="Garamond"/>
          <w:i/>
        </w:rPr>
        <w:t>- Vid diskussion kring förslaget om revidering av mammaledighetsdirektivet b</w:t>
      </w:r>
      <w:r w:rsidR="00866930" w:rsidRPr="00EC3DBE">
        <w:rPr>
          <w:rFonts w:ascii="Garamond" w:hAnsi="Garamond"/>
          <w:i/>
        </w:rPr>
        <w:t>etonade ett stort antal MS</w:t>
      </w:r>
      <w:r w:rsidRPr="00EC3DBE">
        <w:rPr>
          <w:rFonts w:ascii="Garamond" w:hAnsi="Garamond"/>
          <w:i/>
        </w:rPr>
        <w:t xml:space="preserve"> vikten av att pappors ledighet eller föräldraledighetssystem tog</w:t>
      </w:r>
      <w:r w:rsidR="00E56D1D" w:rsidRPr="00EC3DBE">
        <w:rPr>
          <w:rFonts w:ascii="Garamond" w:hAnsi="Garamond"/>
          <w:i/>
        </w:rPr>
        <w:t>s</w:t>
      </w:r>
      <w:r w:rsidRPr="00EC3DBE">
        <w:rPr>
          <w:rFonts w:ascii="Garamond" w:hAnsi="Garamond"/>
          <w:i/>
        </w:rPr>
        <w:t xml:space="preserve"> i beaktande.</w:t>
      </w:r>
    </w:p>
    <w:p w:rsidR="001D1FC4" w:rsidRPr="00EC3DBE" w:rsidRDefault="001D1FC4">
      <w:pPr>
        <w:pStyle w:val="Brdtext"/>
        <w:spacing w:line="240" w:lineRule="auto"/>
        <w:rPr>
          <w:rFonts w:ascii="Garamond" w:hAnsi="Garamond"/>
        </w:rPr>
      </w:pPr>
    </w:p>
    <w:p w:rsidR="0042530B" w:rsidRPr="00EC3DBE" w:rsidRDefault="0042530B">
      <w:pPr>
        <w:pStyle w:val="Brdtext"/>
        <w:spacing w:line="240" w:lineRule="auto"/>
        <w:jc w:val="center"/>
        <w:rPr>
          <w:rFonts w:ascii="Garamond" w:hAnsi="Garamond"/>
        </w:rPr>
      </w:pPr>
      <w:r w:rsidRPr="00EC3DBE">
        <w:rPr>
          <w:rFonts w:ascii="Garamond" w:hAnsi="Garamond"/>
        </w:rPr>
        <w:t>*     *     *</w:t>
      </w:r>
    </w:p>
    <w:p w:rsidR="0042530B" w:rsidRPr="00EC3DBE" w:rsidRDefault="0042530B">
      <w:pPr>
        <w:pStyle w:val="Brdtext"/>
        <w:spacing w:line="360" w:lineRule="auto"/>
        <w:rPr>
          <w:rFonts w:ascii="Garamond" w:hAnsi="Garamond"/>
          <w:b/>
        </w:rPr>
      </w:pPr>
      <w:bookmarkStart w:id="42" w:name="RapportStart4"/>
      <w:bookmarkStart w:id="43" w:name="RapportStart3"/>
      <w:bookmarkEnd w:id="40"/>
      <w:bookmarkEnd w:id="42"/>
      <w:bookmarkEnd w:id="43"/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1.</w:t>
      </w:r>
      <w:r w:rsidRPr="00EC3DBE">
        <w:rPr>
          <w:rFonts w:ascii="Garamond" w:hAnsi="Garamond"/>
          <w:b/>
        </w:rPr>
        <w:tab/>
        <w:t>Godkännande av dagordningen</w:t>
      </w:r>
    </w:p>
    <w:p w:rsidR="002457F5" w:rsidRPr="00EC3DBE" w:rsidRDefault="002457F5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 xml:space="preserve"> 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2.</w:t>
      </w:r>
      <w:r w:rsidRPr="00EC3DBE">
        <w:rPr>
          <w:rFonts w:ascii="Garamond" w:hAnsi="Garamond"/>
          <w:b/>
        </w:rPr>
        <w:tab/>
        <w:t>Godkännande av A-punktslistan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7087/09 PTS A 11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3.</w:t>
      </w:r>
      <w:r w:rsidRPr="00EC3DBE">
        <w:rPr>
          <w:rFonts w:ascii="Garamond" w:hAnsi="Garamond"/>
          <w:b/>
        </w:rPr>
        <w:tab/>
        <w:t>Förberedelse inför Europeiska rådets vårmöte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a)</w:t>
      </w:r>
      <w:r w:rsidRPr="00EC3DBE">
        <w:rPr>
          <w:rFonts w:ascii="Garamond" w:hAnsi="Garamond"/>
          <w:b/>
        </w:rPr>
        <w:tab/>
        <w:t>Huvudteman som grundar sig på leden b</w:t>
      </w:r>
      <w:r w:rsidR="00A91E32" w:rsidRPr="00EC3DBE">
        <w:rPr>
          <w:rFonts w:ascii="Garamond" w:hAnsi="Garamond" w:cs="Garamond"/>
          <w:b/>
        </w:rPr>
        <w:t>-f</w:t>
      </w:r>
    </w:p>
    <w:p w:rsidR="00A60EC2" w:rsidRPr="00EC3DBE" w:rsidRDefault="00A91E3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 w:cs="Garamond"/>
          <w:b/>
        </w:rPr>
        <w:t xml:space="preserve">- </w:t>
      </w:r>
      <w:r w:rsidR="00A60EC2" w:rsidRPr="00EC3DBE">
        <w:rPr>
          <w:rFonts w:ascii="Garamond" w:hAnsi="Garamond" w:cs="Garamond"/>
          <w:b/>
        </w:rPr>
        <w:t>Antagande</w:t>
      </w:r>
    </w:p>
    <w:p w:rsidR="00A60EC2" w:rsidRPr="00EC3DBE" w:rsidRDefault="00A91E3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 w:cs="Garamond"/>
          <w:b/>
        </w:rPr>
        <w:t xml:space="preserve">- </w:t>
      </w:r>
      <w:r w:rsidR="00A60EC2" w:rsidRPr="00EC3DBE">
        <w:rPr>
          <w:rFonts w:ascii="Garamond" w:hAnsi="Garamond" w:cs="Garamond"/>
          <w:b/>
        </w:rPr>
        <w:t>Riktlinjedebatt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42530B" w:rsidRPr="00EC3DBE" w:rsidRDefault="0042530B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 xml:space="preserve">Ministrarna kunde anta de föreslagna </w:t>
      </w:r>
      <w:r w:rsidR="002457F5" w:rsidRPr="00EC3DBE">
        <w:rPr>
          <w:rFonts w:ascii="Garamond" w:hAnsi="Garamond"/>
        </w:rPr>
        <w:t>huvudtemana</w:t>
      </w:r>
      <w:r w:rsidRPr="00EC3DBE">
        <w:rPr>
          <w:rFonts w:ascii="Garamond" w:hAnsi="Garamond"/>
        </w:rPr>
        <w:t xml:space="preserve"> samt förde en diskussion kring dessa (se nedan). </w:t>
      </w:r>
    </w:p>
    <w:p w:rsidR="0042530B" w:rsidRPr="00EC3DBE" w:rsidRDefault="0042530B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b)</w:t>
      </w:r>
      <w:r w:rsidRPr="00EC3DBE">
        <w:rPr>
          <w:rFonts w:ascii="Garamond" w:hAnsi="Garamond"/>
          <w:b/>
        </w:rPr>
        <w:tab/>
        <w:t>Meddelande från kommissionen till Europeiska rådet – En återhämtningsplan för den europeiska ekonomin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c)</w:t>
      </w:r>
      <w:r w:rsidRPr="00EC3DBE">
        <w:rPr>
          <w:rFonts w:ascii="Garamond" w:hAnsi="Garamond"/>
          <w:b/>
        </w:rPr>
        <w:tab/>
        <w:t>Gemensam rapport om sysselsättningen 2008/2009</w:t>
      </w:r>
    </w:p>
    <w:p w:rsidR="00A60EC2" w:rsidRPr="00EC3DBE" w:rsidRDefault="00A91E32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Rapporten kunde antas av rådet utan diskussion.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d)</w:t>
      </w:r>
      <w:r w:rsidRPr="00EC3DBE">
        <w:rPr>
          <w:rFonts w:ascii="Garamond" w:hAnsi="Garamond"/>
          <w:b/>
        </w:rPr>
        <w:tab/>
        <w:t>Förslag till rådets beslut om riktlinjer för medlemsstaternas sysselsättningspolitik (R)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(Rättslig grund föreslagen av kommissionen: artikel 128.2 i fördraget)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–</w:t>
      </w:r>
      <w:r w:rsidRPr="00EC3DBE">
        <w:rPr>
          <w:rFonts w:ascii="Garamond" w:hAnsi="Garamond"/>
          <w:b/>
        </w:rPr>
        <w:tab/>
        <w:t>Allmän riktlinje</w:t>
      </w:r>
    </w:p>
    <w:p w:rsidR="0042530B" w:rsidRPr="00EC3DBE" w:rsidRDefault="0042530B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91E32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Den allmänna riktlinjen kunde antas utan diskussion</w:t>
      </w:r>
    </w:p>
    <w:p w:rsidR="00A91E32" w:rsidRPr="00EC3DBE" w:rsidRDefault="00A91E3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e)</w:t>
      </w:r>
      <w:r w:rsidRPr="00EC3DBE">
        <w:rPr>
          <w:rFonts w:ascii="Garamond" w:hAnsi="Garamond"/>
          <w:b/>
        </w:rPr>
        <w:tab/>
        <w:t>Genomförande av strukturreformer enligt Lissabonstrategin mot bakgrund av den ekonomiska återhämtningsplanen för Europa – Årliga bedömningar av länderna: Rekommendation till rådets rekommendation om 2009 års aktualisering av de allmänna riktlinjerna för medlemsstaternas och gemenskapens ekonomiska politik och om genomförandet av medlemsstaternas sysselsättningspolitik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–</w:t>
      </w:r>
      <w:r w:rsidRPr="00EC3DBE">
        <w:rPr>
          <w:rFonts w:ascii="Garamond" w:hAnsi="Garamond"/>
          <w:b/>
        </w:rPr>
        <w:tab/>
        <w:t>Politisk överenskommelse</w:t>
      </w:r>
    </w:p>
    <w:p w:rsidR="0042530B" w:rsidRPr="00EC3DBE" w:rsidRDefault="0042530B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91E32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Den politiska överenskommelsen kunde antas utan diskussion.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f)</w:t>
      </w:r>
      <w:r w:rsidRPr="00EC3DBE">
        <w:rPr>
          <w:rFonts w:ascii="Garamond" w:hAnsi="Garamond"/>
          <w:b/>
        </w:rPr>
        <w:tab/>
        <w:t>Gemensam rapport om socialt skydd och social integration 2009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–</w:t>
      </w:r>
      <w:r w:rsidRPr="00EC3DBE">
        <w:rPr>
          <w:rFonts w:ascii="Garamond" w:hAnsi="Garamond"/>
          <w:b/>
        </w:rPr>
        <w:tab/>
        <w:t>Antagande</w:t>
      </w:r>
    </w:p>
    <w:p w:rsidR="0042530B" w:rsidRPr="00EC3DBE" w:rsidRDefault="0042530B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91E32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Rapporten kunde antas utan diskussion.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g)</w:t>
      </w:r>
      <w:r w:rsidRPr="00EC3DBE">
        <w:rPr>
          <w:rFonts w:ascii="Garamond" w:hAnsi="Garamond"/>
          <w:b/>
        </w:rPr>
        <w:tab/>
        <w:t>Rapport från kommissionen till rådet, Europaparlamentet, Europeiska ekonomiska och sociala kommittén samt Regionkommittén – Om jämställdhet – 2009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h)</w:t>
      </w:r>
      <w:r w:rsidRPr="00EC3DBE">
        <w:rPr>
          <w:rFonts w:ascii="Garamond" w:hAnsi="Garamond"/>
          <w:b/>
        </w:rPr>
        <w:tab/>
        <w:t>Förberedelse inför det sociala trepartstoppmötet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–</w:t>
      </w:r>
      <w:r w:rsidRPr="00EC3DBE">
        <w:rPr>
          <w:rFonts w:ascii="Garamond" w:hAnsi="Garamond"/>
          <w:b/>
        </w:rPr>
        <w:tab/>
        <w:t>Information från ordförandeskapet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 xml:space="preserve">ORDF sammanfattade innehållet i beslutspunkterna och informationspunkterna under punkt 3 a – h. ORDF betonade särskilt vikten av </w:t>
      </w:r>
      <w:r w:rsidR="00A91E32" w:rsidRPr="00EC3DBE">
        <w:rPr>
          <w:rFonts w:ascii="Garamond" w:hAnsi="Garamond"/>
        </w:rPr>
        <w:t xml:space="preserve">fortsatta arbetsmarknadsreformer, betydelsen av den inre marknaden samt att undvika </w:t>
      </w:r>
      <w:r w:rsidRPr="00EC3DBE">
        <w:rPr>
          <w:rFonts w:ascii="Garamond" w:hAnsi="Garamond"/>
        </w:rPr>
        <w:t>genomföra</w:t>
      </w:r>
      <w:r w:rsidR="00A91E32" w:rsidRPr="00EC3DBE">
        <w:rPr>
          <w:rFonts w:ascii="Garamond" w:hAnsi="Garamond"/>
        </w:rPr>
        <w:t xml:space="preserve">nde av </w:t>
      </w:r>
      <w:r w:rsidRPr="00EC3DBE">
        <w:rPr>
          <w:rFonts w:ascii="Garamond" w:hAnsi="Garamond"/>
        </w:rPr>
        <w:t xml:space="preserve"> protektionistiska åtgärder</w:t>
      </w:r>
      <w:r w:rsidR="00A91E32" w:rsidRPr="00EC3DBE">
        <w:rPr>
          <w:rFonts w:ascii="Garamond" w:hAnsi="Garamond"/>
        </w:rPr>
        <w:t>.</w:t>
      </w:r>
      <w:r w:rsidRPr="00EC3DBE">
        <w:rPr>
          <w:rFonts w:ascii="Garamond" w:hAnsi="Garamond"/>
        </w:rPr>
        <w:t xml:space="preserve"> 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 xml:space="preserve">KOM betonade att i kristider var det viktigt att fokusera på att behålla </w:t>
      </w:r>
      <w:r w:rsidR="00A91E32" w:rsidRPr="00EC3DBE">
        <w:rPr>
          <w:rFonts w:ascii="Garamond" w:hAnsi="Garamond"/>
        </w:rPr>
        <w:t xml:space="preserve">människor </w:t>
      </w:r>
      <w:r w:rsidRPr="00EC3DBE">
        <w:rPr>
          <w:rFonts w:ascii="Garamond" w:hAnsi="Garamond"/>
        </w:rPr>
        <w:t xml:space="preserve">i jobb, minska de negativa effekterna för uppsagda, </w:t>
      </w:r>
      <w:r w:rsidR="002457F5" w:rsidRPr="00EC3DBE">
        <w:rPr>
          <w:rFonts w:ascii="Garamond" w:hAnsi="Garamond"/>
        </w:rPr>
        <w:t>särskilt</w:t>
      </w:r>
      <w:r w:rsidRPr="00EC3DBE">
        <w:rPr>
          <w:rFonts w:ascii="Garamond" w:hAnsi="Garamond"/>
        </w:rPr>
        <w:t xml:space="preserve"> svaga grupper, och stärka solidaritet med särskilt beaktande av bl.a. pensionssystemens hållbarhet i krisen. KOM </w:t>
      </w:r>
      <w:r w:rsidR="00A91E32" w:rsidRPr="00EC3DBE">
        <w:rPr>
          <w:rFonts w:ascii="Garamond" w:hAnsi="Garamond"/>
        </w:rPr>
        <w:t xml:space="preserve">betonade även </w:t>
      </w:r>
      <w:r w:rsidRPr="00EC3DBE">
        <w:rPr>
          <w:rFonts w:ascii="Garamond" w:hAnsi="Garamond"/>
        </w:rPr>
        <w:t>att protektionis</w:t>
      </w:r>
      <w:r w:rsidR="00A91E32" w:rsidRPr="00EC3DBE">
        <w:rPr>
          <w:rFonts w:ascii="Garamond" w:hAnsi="Garamond"/>
        </w:rPr>
        <w:t>m inte var en lösning. Revidering av den Europeiska socialfonden samt den Europeiska globaliseringsfonden utgjorde viktiga instrument för att möta den ekonomiska krisens effekter.</w:t>
      </w:r>
      <w:r w:rsidRPr="00EC3DBE">
        <w:rPr>
          <w:rFonts w:ascii="Garamond" w:hAnsi="Garamond"/>
        </w:rPr>
        <w:t xml:space="preserve"> </w:t>
      </w:r>
      <w:r w:rsidR="00A91E32" w:rsidRPr="00EC3DBE">
        <w:rPr>
          <w:rFonts w:ascii="Garamond" w:hAnsi="Garamond"/>
        </w:rPr>
        <w:t>KOM menade även att det extrainsatta mötet i Europeiska rådet den 7 m</w:t>
      </w:r>
      <w:r w:rsidRPr="00EC3DBE">
        <w:rPr>
          <w:rFonts w:ascii="Garamond" w:hAnsi="Garamond"/>
        </w:rPr>
        <w:t xml:space="preserve">aj </w:t>
      </w:r>
      <w:r w:rsidR="00A91E32" w:rsidRPr="00EC3DBE">
        <w:rPr>
          <w:rFonts w:ascii="Garamond" w:hAnsi="Garamond"/>
        </w:rPr>
        <w:t xml:space="preserve">skulle </w:t>
      </w:r>
      <w:r w:rsidRPr="00EC3DBE">
        <w:rPr>
          <w:rFonts w:ascii="Garamond" w:hAnsi="Garamond"/>
        </w:rPr>
        <w:t xml:space="preserve">fokusera på strukturella svagheter, social </w:t>
      </w:r>
      <w:r w:rsidR="00A91E32" w:rsidRPr="00EC3DBE">
        <w:rPr>
          <w:rFonts w:ascii="Garamond" w:hAnsi="Garamond"/>
        </w:rPr>
        <w:t>k</w:t>
      </w:r>
      <w:r w:rsidRPr="00EC3DBE">
        <w:rPr>
          <w:rFonts w:ascii="Garamond" w:hAnsi="Garamond"/>
        </w:rPr>
        <w:t xml:space="preserve">onsensus och krishantering. På sikt </w:t>
      </w:r>
      <w:r w:rsidR="00A91E32" w:rsidRPr="00EC3DBE">
        <w:rPr>
          <w:rFonts w:ascii="Garamond" w:hAnsi="Garamond"/>
        </w:rPr>
        <w:t>underströk KOM vikten av</w:t>
      </w:r>
      <w:r w:rsidRPr="00EC3DBE">
        <w:rPr>
          <w:rFonts w:ascii="Garamond" w:hAnsi="Garamond"/>
        </w:rPr>
        <w:t xml:space="preserve"> att fokusera på åldrande befolkning, globalisering och low-carbon economy inom post-Lissabon. 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 xml:space="preserve">Under </w:t>
      </w:r>
      <w:r w:rsidR="00A91E32" w:rsidRPr="00EC3DBE">
        <w:rPr>
          <w:rFonts w:ascii="Garamond" w:hAnsi="Garamond"/>
        </w:rPr>
        <w:t xml:space="preserve">den påföljande diskussionen </w:t>
      </w:r>
      <w:r w:rsidRPr="00EC3DBE">
        <w:rPr>
          <w:rFonts w:ascii="Garamond" w:hAnsi="Garamond"/>
        </w:rPr>
        <w:t xml:space="preserve">betonade de flesta </w:t>
      </w:r>
      <w:r w:rsidR="00A91E32" w:rsidRPr="00EC3DBE">
        <w:rPr>
          <w:rFonts w:ascii="Garamond" w:hAnsi="Garamond"/>
        </w:rPr>
        <w:t>medlemsstaterna</w:t>
      </w:r>
      <w:r w:rsidRPr="00EC3DBE">
        <w:rPr>
          <w:rFonts w:ascii="Garamond" w:hAnsi="Garamond"/>
        </w:rPr>
        <w:t xml:space="preserve"> åtgärder so</w:t>
      </w:r>
      <w:r w:rsidR="00A91E32" w:rsidRPr="00EC3DBE">
        <w:rPr>
          <w:rFonts w:ascii="Garamond" w:hAnsi="Garamond"/>
        </w:rPr>
        <w:t>m vidtagits för att möte krisen</w:t>
      </w:r>
      <w:r w:rsidRPr="00EC3DBE">
        <w:rPr>
          <w:rFonts w:ascii="Garamond" w:hAnsi="Garamond"/>
        </w:rPr>
        <w:t xml:space="preserve">. Att i kristider se till att kortsiktiga åtgärder inte </w:t>
      </w:r>
      <w:r w:rsidR="00A91E32" w:rsidRPr="00EC3DBE">
        <w:rPr>
          <w:rFonts w:ascii="Garamond" w:hAnsi="Garamond"/>
        </w:rPr>
        <w:t>gick stick i st</w:t>
      </w:r>
      <w:r w:rsidRPr="00EC3DBE">
        <w:rPr>
          <w:rFonts w:ascii="Garamond" w:hAnsi="Garamond"/>
        </w:rPr>
        <w:t xml:space="preserve">äv med långsiktiga målsättningar betonades också av </w:t>
      </w:r>
      <w:r w:rsidR="00A91E32" w:rsidRPr="00EC3DBE">
        <w:rPr>
          <w:rFonts w:ascii="Garamond" w:hAnsi="Garamond"/>
        </w:rPr>
        <w:t>ett flertal</w:t>
      </w:r>
      <w:r w:rsidRPr="00EC3DBE">
        <w:rPr>
          <w:rFonts w:ascii="Garamond" w:hAnsi="Garamond"/>
        </w:rPr>
        <w:t xml:space="preserve">. 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866930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Flera MS</w:t>
      </w:r>
      <w:r w:rsidR="00A60EC2" w:rsidRPr="00EC3DBE">
        <w:rPr>
          <w:rFonts w:ascii="Garamond" w:hAnsi="Garamond"/>
        </w:rPr>
        <w:t xml:space="preserve"> betonade Lissabonstrategins fortsatta relev</w:t>
      </w:r>
      <w:r w:rsidRPr="00EC3DBE">
        <w:rPr>
          <w:rFonts w:ascii="Garamond" w:hAnsi="Garamond"/>
        </w:rPr>
        <w:t>ans. XX</w:t>
      </w:r>
      <w:r w:rsidR="00A60EC2" w:rsidRPr="00EC3DBE">
        <w:rPr>
          <w:rFonts w:ascii="Garamond" w:hAnsi="Garamond"/>
        </w:rPr>
        <w:t xml:space="preserve"> ansåg att den nya Lissabonstrategin än mer måste betona vikten av hållbara finanser.  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866930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XX och XX</w:t>
      </w:r>
      <w:r w:rsidR="00A60EC2" w:rsidRPr="00EC3DBE">
        <w:rPr>
          <w:rFonts w:ascii="Garamond" w:hAnsi="Garamond"/>
        </w:rPr>
        <w:t xml:space="preserve"> uppmanade till antagandet av ny sysselsättningspakt (jämte existerande stabilitetspakt) </w:t>
      </w:r>
      <w:r w:rsidR="00A91E32" w:rsidRPr="00EC3DBE">
        <w:rPr>
          <w:rFonts w:ascii="Garamond" w:hAnsi="Garamond"/>
        </w:rPr>
        <w:t xml:space="preserve">vid ER i </w:t>
      </w:r>
      <w:r w:rsidR="00A60EC2" w:rsidRPr="00EC3DBE">
        <w:rPr>
          <w:rFonts w:ascii="Garamond" w:hAnsi="Garamond"/>
        </w:rPr>
        <w:t>maj</w:t>
      </w:r>
      <w:r w:rsidR="00A91E32" w:rsidRPr="00EC3DBE">
        <w:rPr>
          <w:rFonts w:ascii="Garamond" w:hAnsi="Garamond"/>
        </w:rPr>
        <w:t xml:space="preserve">. </w:t>
      </w:r>
      <w:r w:rsidRPr="00EC3DBE">
        <w:rPr>
          <w:rFonts w:ascii="Garamond" w:hAnsi="Garamond"/>
        </w:rPr>
        <w:t>XX</w:t>
      </w:r>
      <w:r w:rsidR="00A60EC2" w:rsidRPr="00EC3DBE">
        <w:rPr>
          <w:rFonts w:ascii="Garamond" w:hAnsi="Garamond"/>
        </w:rPr>
        <w:t xml:space="preserve"> </w:t>
      </w:r>
      <w:r w:rsidR="00A91E32" w:rsidRPr="00EC3DBE">
        <w:rPr>
          <w:rFonts w:ascii="Garamond" w:hAnsi="Garamond"/>
        </w:rPr>
        <w:t xml:space="preserve">menade dock </w:t>
      </w:r>
      <w:r w:rsidR="00A60EC2" w:rsidRPr="00EC3DBE">
        <w:rPr>
          <w:rFonts w:ascii="Garamond" w:hAnsi="Garamond"/>
        </w:rPr>
        <w:t xml:space="preserve">att en sysselsättningspakt redan </w:t>
      </w:r>
      <w:r w:rsidR="00A91E32" w:rsidRPr="00EC3DBE">
        <w:rPr>
          <w:rFonts w:ascii="Garamond" w:hAnsi="Garamond"/>
        </w:rPr>
        <w:t>fanns</w:t>
      </w:r>
      <w:r w:rsidR="00A60EC2" w:rsidRPr="00EC3DBE">
        <w:rPr>
          <w:rFonts w:ascii="Garamond" w:hAnsi="Garamond"/>
        </w:rPr>
        <w:t>, nämli</w:t>
      </w:r>
      <w:r w:rsidRPr="00EC3DBE">
        <w:rPr>
          <w:rFonts w:ascii="Garamond" w:hAnsi="Garamond"/>
        </w:rPr>
        <w:t>gen sysselsättningsstrategin. XX</w:t>
      </w:r>
      <w:r w:rsidR="00A60EC2" w:rsidRPr="00EC3DBE">
        <w:rPr>
          <w:rFonts w:ascii="Garamond" w:hAnsi="Garamond"/>
        </w:rPr>
        <w:t xml:space="preserve"> önskade ett extrainsatt EPSCO</w:t>
      </w:r>
      <w:r w:rsidR="00A91E32" w:rsidRPr="00EC3DBE">
        <w:rPr>
          <w:rFonts w:ascii="Garamond" w:hAnsi="Garamond"/>
        </w:rPr>
        <w:t>-möte</w:t>
      </w:r>
      <w:r w:rsidRPr="00EC3DBE">
        <w:rPr>
          <w:rFonts w:ascii="Garamond" w:hAnsi="Garamond"/>
        </w:rPr>
        <w:t>. XX</w:t>
      </w:r>
      <w:r w:rsidR="00A60EC2" w:rsidRPr="00EC3DBE">
        <w:rPr>
          <w:rFonts w:ascii="Garamond" w:hAnsi="Garamond"/>
        </w:rPr>
        <w:t xml:space="preserve"> önskade sig ett EPSCO möte back to back med utbildningsministrarna. Kommande G8 och G</w:t>
      </w:r>
      <w:r w:rsidRPr="00EC3DBE">
        <w:rPr>
          <w:rFonts w:ascii="Garamond" w:hAnsi="Garamond"/>
        </w:rPr>
        <w:t>20 nämndes som viktiga av XX, XX</w:t>
      </w:r>
      <w:r w:rsidR="00A60EC2" w:rsidRPr="00EC3DBE">
        <w:rPr>
          <w:rFonts w:ascii="Garamond" w:hAnsi="Garamond"/>
        </w:rPr>
        <w:t xml:space="preserve"> och </w:t>
      </w:r>
      <w:r w:rsidRPr="00EC3DBE">
        <w:rPr>
          <w:rFonts w:ascii="Garamond" w:hAnsi="Garamond"/>
        </w:rPr>
        <w:t>XX</w:t>
      </w:r>
      <w:r w:rsidR="00743C78" w:rsidRPr="00EC3DBE">
        <w:rPr>
          <w:rFonts w:ascii="Garamond" w:hAnsi="Garamond"/>
        </w:rPr>
        <w:t>. Vikten av att G8/G20 betonade</w:t>
      </w:r>
      <w:r w:rsidR="00A60EC2" w:rsidRPr="00EC3DBE">
        <w:rPr>
          <w:rFonts w:ascii="Garamond" w:hAnsi="Garamond"/>
        </w:rPr>
        <w:t xml:space="preserve"> sociala/sysselsättningsdimensi</w:t>
      </w:r>
      <w:r w:rsidRPr="00EC3DBE">
        <w:rPr>
          <w:rFonts w:ascii="Garamond" w:hAnsi="Garamond"/>
        </w:rPr>
        <w:t>onen av krisen underströks av XX och XX</w:t>
      </w:r>
      <w:r w:rsidR="00A60EC2" w:rsidRPr="00EC3DBE">
        <w:rPr>
          <w:rFonts w:ascii="Garamond" w:hAnsi="Garamond"/>
        </w:rPr>
        <w:t xml:space="preserve">. 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866930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XX, XX och XX</w:t>
      </w:r>
      <w:r w:rsidR="00A60EC2" w:rsidRPr="00EC3DBE">
        <w:rPr>
          <w:rFonts w:ascii="Garamond" w:hAnsi="Garamond"/>
        </w:rPr>
        <w:t xml:space="preserve"> betonade vikten av att </w:t>
      </w:r>
      <w:r w:rsidR="0042530B" w:rsidRPr="00EC3DBE">
        <w:rPr>
          <w:rFonts w:ascii="Garamond" w:hAnsi="Garamond"/>
        </w:rPr>
        <w:t xml:space="preserve">undvika </w:t>
      </w:r>
      <w:r w:rsidR="00A60EC2" w:rsidRPr="00EC3DBE">
        <w:rPr>
          <w:rFonts w:ascii="Garamond" w:hAnsi="Garamond"/>
        </w:rPr>
        <w:t>öka</w:t>
      </w:r>
      <w:r w:rsidR="0042530B" w:rsidRPr="00EC3DBE">
        <w:rPr>
          <w:rFonts w:ascii="Garamond" w:hAnsi="Garamond"/>
        </w:rPr>
        <w:t>t</w:t>
      </w:r>
      <w:r w:rsidR="00A60EC2" w:rsidRPr="00EC3DBE">
        <w:rPr>
          <w:rFonts w:ascii="Garamond" w:hAnsi="Garamond"/>
        </w:rPr>
        <w:t xml:space="preserve"> utanförskap. Att </w:t>
      </w:r>
      <w:r w:rsidR="0042530B" w:rsidRPr="00EC3DBE">
        <w:rPr>
          <w:rFonts w:ascii="Garamond" w:hAnsi="Garamond"/>
        </w:rPr>
        <w:t>avhålla från</w:t>
      </w:r>
      <w:r w:rsidR="00A60EC2" w:rsidRPr="00EC3DBE">
        <w:rPr>
          <w:rFonts w:ascii="Garamond" w:hAnsi="Garamond"/>
        </w:rPr>
        <w:t xml:space="preserve"> protektionism betonades sä</w:t>
      </w:r>
      <w:r w:rsidRPr="00EC3DBE">
        <w:rPr>
          <w:rFonts w:ascii="Garamond" w:hAnsi="Garamond"/>
        </w:rPr>
        <w:t xml:space="preserve">rskilt av flera MS </w:t>
      </w:r>
      <w:r w:rsidR="00A60EC2" w:rsidRPr="00EC3DBE">
        <w:rPr>
          <w:rFonts w:ascii="Garamond" w:hAnsi="Garamond"/>
        </w:rPr>
        <w:t>liksom vikten av att vär</w:t>
      </w:r>
      <w:r w:rsidRPr="00EC3DBE">
        <w:rPr>
          <w:rFonts w:ascii="Garamond" w:hAnsi="Garamond"/>
        </w:rPr>
        <w:t>na om den inre marknaden, XX, XX, XX och XX. XX</w:t>
      </w:r>
      <w:r w:rsidR="00A60EC2" w:rsidRPr="00EC3DBE">
        <w:rPr>
          <w:rFonts w:ascii="Garamond" w:hAnsi="Garamond"/>
        </w:rPr>
        <w:t xml:space="preserve"> ansåg att förhindra protektionism också innebar</w:t>
      </w:r>
      <w:r w:rsidRPr="00EC3DBE">
        <w:rPr>
          <w:rFonts w:ascii="Garamond" w:hAnsi="Garamond"/>
        </w:rPr>
        <w:t xml:space="preserve"> att undvika sociala dumping. XX</w:t>
      </w:r>
      <w:r w:rsidR="00A60EC2" w:rsidRPr="00EC3DBE">
        <w:rPr>
          <w:rFonts w:ascii="Garamond" w:hAnsi="Garamond"/>
        </w:rPr>
        <w:t xml:space="preserve"> ansåg att ER på maj-mötet måste visa medborgarna att de menar allvar med att finna en balans mellan de fyra friheterna och EU:s sociala dimension. 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Vad gäller behovet att på EU-nivå agera kraftfullt, uppmana</w:t>
      </w:r>
      <w:r w:rsidR="00866930" w:rsidRPr="00EC3DBE">
        <w:rPr>
          <w:rFonts w:ascii="Garamond" w:hAnsi="Garamond"/>
        </w:rPr>
        <w:t>de flera MS</w:t>
      </w:r>
      <w:r w:rsidRPr="00EC3DBE">
        <w:rPr>
          <w:rFonts w:ascii="Garamond" w:hAnsi="Garamond"/>
        </w:rPr>
        <w:t xml:space="preserve"> till snabbt antagande av reviderat ESF och EGF regelverk. 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4.</w:t>
      </w:r>
      <w:r w:rsidRPr="00EC3DBE">
        <w:rPr>
          <w:rFonts w:ascii="Garamond" w:hAnsi="Garamond"/>
          <w:b/>
        </w:rPr>
        <w:tab/>
        <w:t>Förslag till Europaparlamentets och rådets förordning om ändring av förordning (EG) nr 1927/2006 om upprättande av Europeiska fonden för justering för globaliseringseffekter (R)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(Rättslig grund föreslagen av kommissionen: artikel 159.3 i fördraget)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–</w:t>
      </w:r>
      <w:r w:rsidRPr="00EC3DBE">
        <w:rPr>
          <w:rFonts w:ascii="Garamond" w:hAnsi="Garamond"/>
          <w:b/>
        </w:rPr>
        <w:tab/>
        <w:t>Lägesrapport</w:t>
      </w:r>
    </w:p>
    <w:p w:rsidR="00C164ED" w:rsidRPr="00EC3DBE" w:rsidRDefault="00C164ED" w:rsidP="00A60EC2">
      <w:pPr>
        <w:pStyle w:val="Brdtext"/>
        <w:spacing w:line="360" w:lineRule="auto"/>
        <w:rPr>
          <w:rFonts w:ascii="Garamond" w:hAnsi="Garamond"/>
        </w:rPr>
      </w:pPr>
    </w:p>
    <w:p w:rsidR="00C164ED" w:rsidRPr="00EC3DBE" w:rsidRDefault="00866930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Ett stort antal MS</w:t>
      </w:r>
      <w:r w:rsidR="00C164ED" w:rsidRPr="00EC3DBE">
        <w:rPr>
          <w:rFonts w:ascii="Garamond" w:hAnsi="Garamond"/>
        </w:rPr>
        <w:t xml:space="preserve"> kunde ge stöd till KO</w:t>
      </w:r>
      <w:r w:rsidRPr="00EC3DBE">
        <w:rPr>
          <w:rFonts w:ascii="Garamond" w:hAnsi="Garamond"/>
        </w:rPr>
        <w:t>M:s förslag. Av dessa gav några MS</w:t>
      </w:r>
      <w:r w:rsidR="00C164ED" w:rsidRPr="00EC3DBE">
        <w:rPr>
          <w:rFonts w:ascii="Garamond" w:hAnsi="Garamond"/>
        </w:rPr>
        <w:t xml:space="preserve"> särskilt stöd till en medfinansier</w:t>
      </w:r>
      <w:r w:rsidRPr="00EC3DBE">
        <w:rPr>
          <w:rFonts w:ascii="Garamond" w:hAnsi="Garamond"/>
        </w:rPr>
        <w:t>ingsgrad på 75 % medan XX och XX</w:t>
      </w:r>
      <w:r w:rsidR="00C164ED" w:rsidRPr="00EC3DBE">
        <w:rPr>
          <w:rFonts w:ascii="Garamond" w:hAnsi="Garamond"/>
        </w:rPr>
        <w:t xml:space="preserve"> kund</w:t>
      </w:r>
      <w:r w:rsidRPr="00EC3DBE">
        <w:rPr>
          <w:rFonts w:ascii="Garamond" w:hAnsi="Garamond"/>
        </w:rPr>
        <w:t>e acceptera även 50 %. XX och XX</w:t>
      </w:r>
      <w:r w:rsidR="00C164ED" w:rsidRPr="00EC3DBE">
        <w:rPr>
          <w:rFonts w:ascii="Garamond" w:hAnsi="Garamond"/>
        </w:rPr>
        <w:t xml:space="preserve"> betonade särskilt att fonden skulle kunna användas under ett tidigt skede i en uppsägningsprocess. </w:t>
      </w:r>
    </w:p>
    <w:p w:rsidR="00C164ED" w:rsidRPr="00EC3DBE" w:rsidRDefault="00C164ED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5.</w:t>
      </w:r>
      <w:r w:rsidRPr="00EC3DBE">
        <w:rPr>
          <w:rFonts w:ascii="Garamond" w:hAnsi="Garamond"/>
          <w:b/>
        </w:rPr>
        <w:tab/>
        <w:t>Meddelande från kommissionen till Europaparlamentet, rådet, Europeiska ekonomiska och sociala kommittén och Regionkommittén – Ny kompetens för nya arbetstillfällen – Att förutse och matcha kompetensbehoven på arbetsmarknaden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–</w:t>
      </w:r>
      <w:r w:rsidRPr="00EC3DBE">
        <w:rPr>
          <w:rFonts w:ascii="Garamond" w:hAnsi="Garamond"/>
          <w:b/>
        </w:rPr>
        <w:tab/>
        <w:t>Antagande av rådets slutsatser</w:t>
      </w:r>
    </w:p>
    <w:p w:rsidR="0042530B" w:rsidRPr="00EC3DBE" w:rsidRDefault="0042530B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42530B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Slutsatserna antogs utan diskussion.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6.</w:t>
      </w:r>
      <w:r w:rsidRPr="00EC3DBE">
        <w:rPr>
          <w:rFonts w:ascii="Garamond" w:hAnsi="Garamond"/>
          <w:b/>
        </w:rPr>
        <w:tab/>
        <w:t>Meddelande från kommissionen till Europaparlamentet, rådet, Europeiska ekonomiska och sociala kommittén samt Regionkommittén – Konsekvenserna av den fria rörligheten för arbetstagare efter EU:s utvidgningar – Rapport om första fasen (1 januari 2007</w:t>
      </w:r>
      <w:r w:rsidRPr="00EC3DBE">
        <w:rPr>
          <w:rFonts w:ascii="Garamond" w:hAnsi="Garamond" w:cs="Garamond"/>
          <w:b/>
        </w:rPr>
        <w:t>31 december 2008) av tillämpningen av övergångsbestämmelserna enligt 2005 års anslutningsfördrag på begäran enligt övergångsbestämmelserna i 2003 års anslutningsfördrag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•</w:t>
      </w:r>
      <w:r w:rsidRPr="00EC3DBE">
        <w:rPr>
          <w:rFonts w:ascii="Garamond" w:hAnsi="Garamond"/>
          <w:b/>
        </w:rPr>
        <w:tab/>
        <w:t>Arbetskraftens yrkesmässiga och geografiska rörlighet och fri rörlighet för arbetstagare inom Europeiska unionen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–</w:t>
      </w:r>
      <w:r w:rsidRPr="00EC3DBE">
        <w:rPr>
          <w:rFonts w:ascii="Garamond" w:hAnsi="Garamond"/>
          <w:b/>
        </w:rPr>
        <w:tab/>
        <w:t>Antagande av rådets slutsatser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42530B" w:rsidRPr="00EC3DBE" w:rsidRDefault="0042530B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Slutsatserna antogs utan diskussion.</w:t>
      </w:r>
    </w:p>
    <w:p w:rsidR="0042530B" w:rsidRPr="00EC3DBE" w:rsidRDefault="0042530B" w:rsidP="00A60EC2">
      <w:pPr>
        <w:pStyle w:val="Brdtext"/>
        <w:spacing w:line="360" w:lineRule="auto"/>
        <w:rPr>
          <w:rFonts w:ascii="Garamond" w:hAnsi="Garamond"/>
        </w:rPr>
      </w:pP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7.</w:t>
      </w:r>
      <w:r w:rsidRPr="00EC3DBE">
        <w:rPr>
          <w:rFonts w:ascii="Garamond" w:hAnsi="Garamond"/>
          <w:b/>
        </w:rPr>
        <w:tab/>
        <w:t>Förslag till Europaparlamentets och rådets direktiv om ändring av rådets direktiv 92/85/EEG om åtgärder för att förbättra säkerhet och hälsa på arbetsplatsen för arbetstagare som är gravida, nyligen har fött barn eller ammar (R)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(Rättslig grund föreslagen av kommissionen: artikel 137.2 och 141.3 i fördraget)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  <w:b/>
        </w:rPr>
      </w:pPr>
      <w:r w:rsidRPr="00EC3DBE">
        <w:rPr>
          <w:rFonts w:ascii="Garamond" w:hAnsi="Garamond"/>
          <w:b/>
        </w:rPr>
        <w:t>–</w:t>
      </w:r>
      <w:r w:rsidRPr="00EC3DBE">
        <w:rPr>
          <w:rFonts w:ascii="Garamond" w:hAnsi="Garamond"/>
          <w:b/>
        </w:rPr>
        <w:tab/>
        <w:t>Riktlinjedebatt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p w:rsidR="0042530B" w:rsidRPr="00EC3DBE" w:rsidRDefault="00986D47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Debatten inleddes men en översiktlig presentation av förslaget från KOM.</w:t>
      </w:r>
      <w:r w:rsidR="00866930" w:rsidRPr="00EC3DBE">
        <w:rPr>
          <w:rFonts w:ascii="Garamond" w:hAnsi="Garamond"/>
        </w:rPr>
        <w:t xml:space="preserve"> XX</w:t>
      </w:r>
      <w:r w:rsidR="00435D8A" w:rsidRPr="00EC3DBE">
        <w:rPr>
          <w:rFonts w:ascii="Garamond" w:hAnsi="Garamond"/>
        </w:rPr>
        <w:t xml:space="preserve"> menade att nuvarande direktiv gav tillräckligt skyd</w:t>
      </w:r>
      <w:r w:rsidR="00866930" w:rsidRPr="00EC3DBE">
        <w:rPr>
          <w:rFonts w:ascii="Garamond" w:hAnsi="Garamond"/>
        </w:rPr>
        <w:t>d och ifrågasatte med stöd av XX och XX</w:t>
      </w:r>
      <w:r w:rsidR="00435D8A" w:rsidRPr="00EC3DBE">
        <w:rPr>
          <w:rFonts w:ascii="Garamond" w:hAnsi="Garamond"/>
        </w:rPr>
        <w:t xml:space="preserve"> utökningen från 14 till 18 vecko</w:t>
      </w:r>
      <w:r w:rsidR="00866930" w:rsidRPr="00EC3DBE">
        <w:rPr>
          <w:rFonts w:ascii="Garamond" w:hAnsi="Garamond"/>
        </w:rPr>
        <w:t>r. Flera MS</w:t>
      </w:r>
      <w:r w:rsidRPr="00EC3DBE">
        <w:rPr>
          <w:rFonts w:ascii="Garamond" w:hAnsi="Garamond"/>
        </w:rPr>
        <w:t xml:space="preserve"> </w:t>
      </w:r>
      <w:r w:rsidR="00435D8A" w:rsidRPr="00EC3DBE">
        <w:rPr>
          <w:rFonts w:ascii="Garamond" w:hAnsi="Garamond"/>
        </w:rPr>
        <w:t xml:space="preserve">kunde acceptera eller ge stöd till förlängningen. </w:t>
      </w:r>
      <w:r w:rsidR="00866930" w:rsidRPr="00EC3DBE">
        <w:rPr>
          <w:rFonts w:ascii="Garamond" w:hAnsi="Garamond"/>
        </w:rPr>
        <w:t>XX</w:t>
      </w:r>
      <w:r w:rsidRPr="00EC3DBE">
        <w:rPr>
          <w:rFonts w:ascii="Garamond" w:hAnsi="Garamond"/>
        </w:rPr>
        <w:t xml:space="preserve"> kunde ge stöd till förslagets syfte men betonade tillsammans med </w:t>
      </w:r>
      <w:r w:rsidR="00866930" w:rsidRPr="00EC3DBE">
        <w:rPr>
          <w:rFonts w:ascii="Garamond" w:hAnsi="Garamond"/>
        </w:rPr>
        <w:t>flera MS</w:t>
      </w:r>
      <w:r w:rsidRPr="00EC3DBE">
        <w:rPr>
          <w:rFonts w:ascii="Garamond" w:hAnsi="Garamond"/>
        </w:rPr>
        <w:t xml:space="preserve"> vikten av att föräldraledighet skulle kunna tas ut av både mamman och pappan samt att en förstärkning av mammaledighet inte skulle ske på bekostnad av system s</w:t>
      </w:r>
      <w:r w:rsidR="00866930" w:rsidRPr="00EC3DBE">
        <w:rPr>
          <w:rFonts w:ascii="Garamond" w:hAnsi="Garamond"/>
        </w:rPr>
        <w:t>om byggde på föräldraledighet. XX</w:t>
      </w:r>
      <w:r w:rsidRPr="00EC3DBE">
        <w:rPr>
          <w:rFonts w:ascii="Garamond" w:hAnsi="Garamond"/>
        </w:rPr>
        <w:t xml:space="preserve"> kunde ge stöd till den senare åsikten men menade samtidigt att direktivet inte var rätt plats att reglera föräldraledighet. Ett antal </w:t>
      </w:r>
      <w:r w:rsidR="00866930" w:rsidRPr="00EC3DBE">
        <w:rPr>
          <w:rFonts w:ascii="Garamond" w:hAnsi="Garamond"/>
        </w:rPr>
        <w:t>MS</w:t>
      </w:r>
      <w:r w:rsidRPr="00EC3DBE">
        <w:rPr>
          <w:rFonts w:ascii="Garamond" w:hAnsi="Garamond"/>
        </w:rPr>
        <w:t xml:space="preserve"> betonade att det var upp till MS att bestämma längd och placering </w:t>
      </w:r>
      <w:r w:rsidR="00866930" w:rsidRPr="00EC3DBE">
        <w:rPr>
          <w:rFonts w:ascii="Garamond" w:hAnsi="Garamond"/>
        </w:rPr>
        <w:t>av ev. obligatorisk ledighet. XX un</w:t>
      </w:r>
      <w:r w:rsidRPr="00EC3DBE">
        <w:rPr>
          <w:rFonts w:ascii="Garamond" w:hAnsi="Garamond"/>
        </w:rPr>
        <w:t xml:space="preserve">derströk vikten av att kunna behålla en obligatorisk månad före förlossning. </w:t>
      </w:r>
      <w:r w:rsidR="00866930" w:rsidRPr="00EC3DBE">
        <w:rPr>
          <w:rFonts w:ascii="Garamond" w:hAnsi="Garamond"/>
        </w:rPr>
        <w:t>Vidare var XX, XX och XX</w:t>
      </w:r>
      <w:r w:rsidR="00435D8A" w:rsidRPr="00EC3DBE">
        <w:rPr>
          <w:rFonts w:ascii="Garamond" w:hAnsi="Garamond"/>
        </w:rPr>
        <w:t xml:space="preserve"> kritiska till den dubbla rätts</w:t>
      </w:r>
      <w:r w:rsidR="00866930" w:rsidRPr="00EC3DBE">
        <w:rPr>
          <w:rFonts w:ascii="Garamond" w:hAnsi="Garamond"/>
        </w:rPr>
        <w:t>liga grunden medan XX, XX och XX</w:t>
      </w:r>
      <w:r w:rsidR="00435D8A" w:rsidRPr="00EC3DBE">
        <w:rPr>
          <w:rFonts w:ascii="Garamond" w:hAnsi="Garamond"/>
        </w:rPr>
        <w:t xml:space="preserve"> var öppen för denna möjlighet. </w:t>
      </w:r>
    </w:p>
    <w:p w:rsidR="00630C0B" w:rsidRPr="00EC3DBE" w:rsidRDefault="00630C0B" w:rsidP="00A60EC2">
      <w:pPr>
        <w:pStyle w:val="Brdtext"/>
        <w:spacing w:line="360" w:lineRule="auto"/>
        <w:rPr>
          <w:rFonts w:ascii="Garamond" w:hAnsi="Garamond"/>
        </w:rPr>
      </w:pPr>
    </w:p>
    <w:p w:rsidR="00630C0B" w:rsidRPr="00EC3DBE" w:rsidRDefault="00866930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XX</w:t>
      </w:r>
      <w:r w:rsidR="00630C0B" w:rsidRPr="00EC3DBE">
        <w:rPr>
          <w:rFonts w:ascii="Garamond" w:hAnsi="Garamond"/>
        </w:rPr>
        <w:t xml:space="preserve"> underströk att den förstärkta mammaledigheten inte fick undergräva kvinnors värde och möjligheter på arbetsmarknaden.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 xml:space="preserve"> </w:t>
      </w:r>
    </w:p>
    <w:p w:rsidR="00435D8A" w:rsidRPr="00EC3DBE" w:rsidRDefault="00435D8A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 xml:space="preserve">KOM drog slutsatsen att det återstod en hel del arbete med förslaget samt menade </w:t>
      </w:r>
      <w:r w:rsidR="00630C0B" w:rsidRPr="00EC3DBE">
        <w:rPr>
          <w:rFonts w:ascii="Garamond" w:hAnsi="Garamond"/>
        </w:rPr>
        <w:t>att det borde finnas en balans mellan mammaledighet och föräldraledighet då det handlade om att uppnå i princip samma syfte med olika medel. KOM menade avslutningsvis om att förslaget skulle ses i ett perspektiv av ökad kvalitet på arbetsmarknaden.</w:t>
      </w:r>
    </w:p>
    <w:p w:rsidR="00630C0B" w:rsidRPr="00EC3DBE" w:rsidRDefault="00630C0B" w:rsidP="00A60EC2">
      <w:pPr>
        <w:pStyle w:val="Brdtext"/>
        <w:spacing w:line="360" w:lineRule="auto"/>
        <w:rPr>
          <w:rFonts w:ascii="Garamond" w:hAnsi="Garamond"/>
        </w:rPr>
      </w:pPr>
    </w:p>
    <w:p w:rsidR="00630C0B" w:rsidRPr="00EC3DBE" w:rsidRDefault="00630C0B" w:rsidP="00A60EC2">
      <w:pPr>
        <w:pStyle w:val="Brdtext"/>
        <w:spacing w:line="360" w:lineRule="auto"/>
        <w:rPr>
          <w:rFonts w:ascii="Garamond" w:hAnsi="Garamond"/>
        </w:rPr>
      </w:pPr>
    </w:p>
    <w:p w:rsidR="00630C0B" w:rsidRPr="00EC3DBE" w:rsidRDefault="00630C0B" w:rsidP="00A60EC2">
      <w:pPr>
        <w:pStyle w:val="Brdtext"/>
        <w:spacing w:line="360" w:lineRule="auto"/>
        <w:rPr>
          <w:rFonts w:ascii="Garamond" w:hAnsi="Garamond"/>
        </w:rPr>
      </w:pPr>
      <w:r w:rsidRPr="00EC3DBE">
        <w:rPr>
          <w:rFonts w:ascii="Garamond" w:hAnsi="Garamond"/>
        </w:rPr>
        <w:t>Representationen / Danielsson</w:t>
      </w:r>
    </w:p>
    <w:p w:rsidR="00A60EC2" w:rsidRPr="00EC3DBE" w:rsidRDefault="00A60EC2" w:rsidP="00A60EC2">
      <w:pPr>
        <w:pStyle w:val="Brdtext"/>
        <w:spacing w:line="360" w:lineRule="auto"/>
        <w:rPr>
          <w:rFonts w:ascii="Garamond" w:hAnsi="Garamond"/>
        </w:rPr>
      </w:pPr>
    </w:p>
    <w:sectPr w:rsidR="00A60EC2" w:rsidRPr="00EC3DBE">
      <w:headerReference w:type="default" r:id="rId12"/>
      <w:footerReference w:type="default" r:id="rId13"/>
      <w:footerReference w:type="first" r:id="rId14"/>
      <w:pgSz w:w="11907" w:h="16840" w:code="9"/>
      <w:pgMar w:top="2529" w:right="1797" w:bottom="1418" w:left="2835" w:header="851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3CE" w:rsidRPr="00EC3DBE" w:rsidRDefault="00DB33CE">
      <w:r w:rsidRPr="00EC3DBE">
        <w:separator/>
      </w:r>
    </w:p>
  </w:endnote>
  <w:endnote w:type="continuationSeparator" w:id="0">
    <w:p w:rsidR="00DB33CE" w:rsidRPr="00EC3DBE" w:rsidRDefault="00DB33CE">
      <w:r w:rsidRPr="00EC3D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7F5" w:rsidRPr="00EC3DBE" w:rsidRDefault="002457F5">
    <w:pPr>
      <w:pStyle w:val="Sidfot"/>
      <w:spacing w:line="160" w:lineRule="exact"/>
      <w:rPr>
        <w:rFonts w:ascii="TradeGothic" w:hAnsi="TradeGothic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1"/>
      <w:gridCol w:w="1928"/>
      <w:gridCol w:w="3572"/>
    </w:tblGrid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Arial" w:hAnsi="Arial"/>
              <w:sz w:val="12"/>
            </w:rPr>
          </w:pP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71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spacing w:before="40"/>
            <w:rPr>
              <w:rFonts w:ascii="TradeGothic" w:hAnsi="TradeGothic"/>
              <w:i/>
              <w:sz w:val="12"/>
            </w:rPr>
          </w:pPr>
          <w:r w:rsidRPr="00EC3DBE">
            <w:rPr>
              <w:rFonts w:ascii="TradeGothic" w:hAnsi="TradeGothic"/>
              <w:i/>
              <w:sz w:val="12"/>
            </w:rPr>
            <w:t>Postadress</w:t>
          </w:r>
        </w:p>
      </w:tc>
      <w:tc>
        <w:tcPr>
          <w:tcW w:w="1928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spacing w:before="40"/>
            <w:rPr>
              <w:rFonts w:ascii="TradeGothic" w:hAnsi="TradeGothic"/>
              <w:i/>
              <w:sz w:val="12"/>
            </w:rPr>
          </w:pPr>
          <w:r w:rsidRPr="00EC3DBE">
            <w:rPr>
              <w:rFonts w:ascii="TradeGothic" w:hAnsi="TradeGothic"/>
              <w:i/>
              <w:sz w:val="12"/>
            </w:rPr>
            <w:t>Telefon</w:t>
          </w:r>
        </w:p>
      </w:tc>
      <w:tc>
        <w:tcPr>
          <w:tcW w:w="35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spacing w:before="40"/>
            <w:rPr>
              <w:rFonts w:ascii="TradeGothic" w:hAnsi="TradeGothic"/>
              <w:i/>
              <w:sz w:val="12"/>
            </w:rPr>
          </w:pPr>
          <w:r w:rsidRPr="00EC3DBE">
            <w:rPr>
              <w:rFonts w:ascii="TradeGothic" w:hAnsi="TradeGothic"/>
              <w:i/>
              <w:sz w:val="12"/>
            </w:rPr>
            <w:t>E-post</w:t>
          </w:r>
        </w:p>
      </w:tc>
    </w:tr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  <w:r w:rsidRPr="00EC3DBE">
            <w:rPr>
              <w:rFonts w:ascii="TradeGothic" w:hAnsi="TradeGothic"/>
              <w:sz w:val="12"/>
            </w:rPr>
            <w:t>Square de Meeûs 30</w:t>
          </w: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  <w:r w:rsidRPr="00EC3DBE">
            <w:rPr>
              <w:rFonts w:ascii="TradeGothic" w:hAnsi="TradeGothic"/>
              <w:sz w:val="12"/>
            </w:rPr>
            <w:t>+32 2 289 56 11</w:t>
          </w: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  <w:r w:rsidRPr="00EC3DBE">
            <w:rPr>
              <w:rFonts w:ascii="TradeGothic" w:hAnsi="TradeGothic"/>
              <w:sz w:val="12"/>
            </w:rPr>
            <w:t>representationen.bryssel@foreign.ministry.se</w:t>
          </w:r>
        </w:p>
      </w:tc>
    </w:tr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  <w:r w:rsidRPr="00EC3DBE">
            <w:rPr>
              <w:rFonts w:ascii="TradeGothic" w:hAnsi="TradeGothic"/>
              <w:sz w:val="12"/>
            </w:rPr>
            <w:t>B - 1000 BRYSSEL</w:t>
          </w: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  <w:r w:rsidRPr="00EC3DBE">
            <w:rPr>
              <w:rFonts w:ascii="TradeGothic" w:hAnsi="TradeGothic"/>
              <w:sz w:val="12"/>
            </w:rPr>
            <w:t>Belgien</w:t>
          </w: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80"/>
      </w:trPr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i/>
              <w:sz w:val="12"/>
            </w:rPr>
          </w:pPr>
          <w:r w:rsidRPr="00EC3DBE">
            <w:rPr>
              <w:rFonts w:ascii="TradeGothic" w:hAnsi="TradeGothic"/>
              <w:i/>
              <w:sz w:val="12"/>
            </w:rPr>
            <w:t>Telegram:</w:t>
          </w: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i/>
              <w:sz w:val="12"/>
            </w:rPr>
          </w:pPr>
          <w:r w:rsidRPr="00EC3DBE">
            <w:rPr>
              <w:rFonts w:ascii="TradeGothic" w:hAnsi="TradeGothic"/>
              <w:i/>
              <w:sz w:val="12"/>
            </w:rPr>
            <w:t>Telefax</w:t>
          </w: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i/>
              <w:sz w:val="12"/>
            </w:rPr>
          </w:pPr>
          <w:r w:rsidRPr="00EC3DBE">
            <w:rPr>
              <w:rFonts w:ascii="TradeGothic" w:hAnsi="TradeGothic"/>
              <w:i/>
              <w:sz w:val="12"/>
            </w:rPr>
            <w:t>Telex:</w:t>
          </w:r>
        </w:p>
      </w:tc>
    </w:tr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  <w:r w:rsidRPr="00EC3DBE">
            <w:rPr>
              <w:rFonts w:ascii="TradeGothic" w:hAnsi="TradeGothic"/>
              <w:sz w:val="12"/>
            </w:rPr>
            <w:t>+32 2 289 56 00</w:t>
          </w: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</w:tr>
    <w:tr w:rsidR="002457F5" w:rsidRPr="00EC3DB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  <w:tc>
        <w:tcPr>
          <w:tcW w:w="3572" w:type="dxa"/>
          <w:tcBorders>
            <w:top w:val="nil"/>
            <w:left w:val="nil"/>
            <w:bottom w:val="nil"/>
            <w:right w:val="nil"/>
          </w:tcBorders>
        </w:tcPr>
        <w:p w:rsidR="002457F5" w:rsidRPr="00EC3DBE" w:rsidRDefault="002457F5">
          <w:pPr>
            <w:pStyle w:val="Sidfot"/>
            <w:rPr>
              <w:rFonts w:ascii="TradeGothic" w:hAnsi="TradeGothic"/>
              <w:sz w:val="12"/>
            </w:rPr>
          </w:pPr>
        </w:p>
      </w:tc>
    </w:tr>
  </w:tbl>
  <w:p w:rsidR="002457F5" w:rsidRPr="00EC3DBE" w:rsidRDefault="002457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3CE" w:rsidRPr="00EC3DBE" w:rsidRDefault="00DB33CE">
      <w:r w:rsidRPr="00EC3DBE">
        <w:separator/>
      </w:r>
    </w:p>
  </w:footnote>
  <w:footnote w:type="continuationSeparator" w:id="0">
    <w:p w:rsidR="00DB33CE" w:rsidRPr="00EC3DBE" w:rsidRDefault="00DB33CE">
      <w:r w:rsidRPr="00EC3D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57F5" w:rsidRPr="00EC3DBE" w:rsidRDefault="002457F5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Garamond" w:hAnsi="Garamond"/>
        <w:sz w:val="22"/>
      </w:rPr>
    </w:pPr>
    <w:bookmarkStart w:id="44" w:name="UDsidan2"/>
    <w:bookmarkEnd w:id="44"/>
    <w:r w:rsidRPr="00EC3DBE">
      <w:rPr>
        <w:rFonts w:ascii="Arial" w:hAnsi="Arial"/>
        <w:b/>
        <w:sz w:val="16"/>
      </w:rPr>
      <w:t>Sveriges ständiga representation</w:t>
    </w:r>
    <w:r w:rsidRPr="00EC3DBE">
      <w:rPr>
        <w:rFonts w:ascii="Garamond" w:hAnsi="Garamond"/>
      </w:rPr>
      <w:tab/>
    </w:r>
    <w:bookmarkStart w:id="45" w:name="UDsidan2doknamn"/>
    <w:bookmarkEnd w:id="45"/>
    <w:r w:rsidRPr="00EC3DBE">
      <w:rPr>
        <w:rFonts w:ascii="Arial" w:hAnsi="Arial"/>
        <w:b/>
        <w:sz w:val="22"/>
      </w:rPr>
      <w:t>TELEMEDDELANDE</w:t>
    </w:r>
    <w:r w:rsidRPr="00EC3DBE">
      <w:rPr>
        <w:rFonts w:ascii="Garamond" w:hAnsi="Garamond"/>
        <w:sz w:val="22"/>
      </w:rPr>
      <w:tab/>
    </w:r>
    <w:r w:rsidRPr="00EC3DBE">
      <w:rPr>
        <w:rFonts w:ascii="Garamond" w:hAnsi="Garamond"/>
        <w:sz w:val="22"/>
      </w:rPr>
      <w:tab/>
    </w:r>
    <w:r w:rsidRPr="00EC3DBE">
      <w:rPr>
        <w:rFonts w:ascii="Garamond" w:hAnsi="Garamond"/>
        <w:sz w:val="22"/>
      </w:rPr>
      <w:fldChar w:fldCharType="begin" w:fldLock="1"/>
    </w:r>
    <w:r w:rsidRPr="00EC3DBE">
      <w:rPr>
        <w:rFonts w:ascii="Garamond" w:hAnsi="Garamond"/>
        <w:sz w:val="22"/>
      </w:rPr>
      <w:instrText xml:space="preserve"> PAGE  \* MERGEFORMAT </w:instrText>
    </w:r>
    <w:r w:rsidRPr="00EC3DBE">
      <w:rPr>
        <w:rFonts w:ascii="Garamond" w:hAnsi="Garamond"/>
        <w:sz w:val="22"/>
      </w:rPr>
      <w:fldChar w:fldCharType="separate"/>
    </w:r>
    <w:r w:rsidR="00866930" w:rsidRPr="00EC3DBE">
      <w:rPr>
        <w:rFonts w:ascii="Garamond" w:hAnsi="Garamond"/>
        <w:sz w:val="22"/>
      </w:rPr>
      <w:t>6</w:t>
    </w:r>
    <w:r w:rsidRPr="00EC3DBE">
      <w:rPr>
        <w:rFonts w:ascii="Garamond" w:hAnsi="Garamond"/>
        <w:sz w:val="22"/>
      </w:rPr>
      <w:fldChar w:fldCharType="end"/>
    </w:r>
    <w:r w:rsidRPr="00EC3DBE">
      <w:rPr>
        <w:rFonts w:ascii="Garamond" w:hAnsi="Garamond"/>
        <w:sz w:val="22"/>
      </w:rPr>
      <w:t xml:space="preserve"> (   )</w:t>
    </w:r>
  </w:p>
  <w:p w:rsidR="002457F5" w:rsidRPr="00EC3DBE" w:rsidRDefault="002457F5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Arial" w:hAnsi="Arial"/>
        <w:b/>
        <w:sz w:val="16"/>
      </w:rPr>
    </w:pPr>
    <w:r w:rsidRPr="00EC3DBE">
      <w:rPr>
        <w:rFonts w:ascii="Arial" w:hAnsi="Arial"/>
        <w:b/>
        <w:sz w:val="16"/>
      </w:rPr>
      <w:t>vid Europeiska Unionen</w:t>
    </w:r>
  </w:p>
  <w:p w:rsidR="002457F5" w:rsidRPr="00EC3DBE" w:rsidRDefault="00EC3DBE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Garamond" w:hAnsi="Garamond"/>
        <w:sz w:val="22"/>
      </w:rPr>
    </w:pPr>
    <w:r w:rsidRPr="00EC3DBE"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900430</wp:posOffset>
              </wp:positionH>
              <wp:positionV relativeFrom="paragraph">
                <wp:posOffset>221615</wp:posOffset>
              </wp:positionV>
              <wp:extent cx="6228715" cy="635"/>
              <wp:effectExtent l="0" t="0" r="0" b="0"/>
              <wp:wrapNone/>
              <wp:docPr id="115371285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7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80A4E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17.45pt" to="561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" o:allowincell="f" strokeweight=".25pt">
              <v:stroke startarrowwidth="narrow" startarrowlength="short" endarrowwidth="narrow" endarrowlength="short"/>
              <w10:wrap anchorx="page"/>
            </v:line>
          </w:pict>
        </mc:Fallback>
      </mc:AlternateContent>
    </w:r>
    <w:r w:rsidR="002457F5" w:rsidRPr="00EC3DBE">
      <w:rPr>
        <w:rFonts w:ascii="Garamond" w:hAnsi="Garamond"/>
        <w:sz w:val="22"/>
      </w:rPr>
      <w:tab/>
    </w:r>
    <w:bookmarkStart w:id="46" w:name="UDsidan2datum"/>
    <w:bookmarkStart w:id="47" w:name="UDsidan2doss"/>
    <w:bookmarkEnd w:id="46"/>
    <w:bookmarkEnd w:id="47"/>
    <w:r w:rsidR="002457F5" w:rsidRPr="00EC3DBE">
      <w:rPr>
        <w:rFonts w:ascii="Garamond" w:hAnsi="Garamond"/>
        <w:sz w:val="22"/>
      </w:rPr>
      <w:fldChar w:fldCharType="begin" w:fldLock="1"/>
    </w:r>
    <w:r w:rsidR="002457F5" w:rsidRPr="00EC3DBE">
      <w:rPr>
        <w:rFonts w:ascii="Garamond" w:hAnsi="Garamond"/>
        <w:sz w:val="22"/>
      </w:rPr>
      <w:instrText xml:space="preserve"> REF RapportDatum  \* MERGEFORMAT </w:instrText>
    </w:r>
    <w:r w:rsidR="002457F5" w:rsidRPr="00EC3DBE">
      <w:rPr>
        <w:rFonts w:ascii="Garamond" w:hAnsi="Garamond"/>
        <w:sz w:val="22"/>
      </w:rPr>
      <w:fldChar w:fldCharType="separate"/>
    </w:r>
    <w:r w:rsidR="002457F5" w:rsidRPr="00EC3DBE">
      <w:rPr>
        <w:rFonts w:ascii="Garamond" w:hAnsi="Garamond"/>
      </w:rPr>
      <w:t>2009-03-13</w:t>
    </w:r>
    <w:r w:rsidR="002457F5" w:rsidRPr="00EC3DBE">
      <w:rPr>
        <w:rFonts w:ascii="Garamond" w:hAnsi="Garamond"/>
        <w:sz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C2"/>
    <w:rsid w:val="001D1FC4"/>
    <w:rsid w:val="002457F5"/>
    <w:rsid w:val="002C6656"/>
    <w:rsid w:val="0042530B"/>
    <w:rsid w:val="00435D8A"/>
    <w:rsid w:val="00630C0B"/>
    <w:rsid w:val="00743C78"/>
    <w:rsid w:val="00866930"/>
    <w:rsid w:val="00986D47"/>
    <w:rsid w:val="00A530C8"/>
    <w:rsid w:val="00A60EC2"/>
    <w:rsid w:val="00A724E9"/>
    <w:rsid w:val="00A91E32"/>
    <w:rsid w:val="00C164ED"/>
    <w:rsid w:val="00DB33CE"/>
    <w:rsid w:val="00E56D1D"/>
    <w:rsid w:val="00E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E7C03C3-C64B-47BF-AECE-2092450E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v-SE"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pPr>
      <w:spacing w:line="260" w:lineRule="exact"/>
    </w:pPr>
    <w:rPr>
      <w:rFonts w:ascii="TradeGothic Bold" w:hAnsi="TradeGothic Bold"/>
      <w:b/>
      <w:sz w:val="22"/>
    </w:rPr>
  </w:style>
  <w:style w:type="paragraph" w:customStyle="1" w:styleId="Enhetnamn">
    <w:name w:val="Enhetnamn"/>
    <w:basedOn w:val="Normal"/>
    <w:pPr>
      <w:spacing w:after="260"/>
    </w:pPr>
    <w:rPr>
      <w:rFonts w:ascii="TradeGothic" w:hAnsi="TradeGothic"/>
      <w:i/>
      <w:sz w:val="18"/>
    </w:rPr>
  </w:style>
  <w:style w:type="paragraph" w:styleId="Brdtext">
    <w:name w:val="Body Text"/>
    <w:basedOn w:val="Normal"/>
    <w:pPr>
      <w:spacing w:line="320" w:lineRule="exact"/>
    </w:pPr>
    <w:rPr>
      <w:sz w:val="24"/>
    </w:rPr>
  </w:style>
  <w:style w:type="paragraph" w:styleId="Sidfot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pPr>
      <w:framePr w:h="2183" w:wrap="notBeside" w:vAnchor="text" w:hAnchor="page" w:x="1447" w:y="1"/>
    </w:pPr>
    <w:rPr>
      <w:rFonts w:ascii="Arial" w:hAnsi="Arial"/>
      <w:b w:val="0"/>
      <w:i/>
      <w:sz w:val="18"/>
    </w:rPr>
  </w:style>
  <w:style w:type="paragraph" w:customStyle="1" w:styleId="Brdtexthuvud">
    <w:name w:val="Brödtext huvud"/>
    <w:basedOn w:val="Brdtext"/>
    <w:pPr>
      <w:framePr w:w="4570" w:h="1701" w:hRule="exact" w:hSpace="181" w:wrap="around" w:vAnchor="page" w:hAnchor="page" w:x="6697" w:y="681"/>
    </w:pPr>
    <w:rPr>
      <w:rFonts w:ascii="Arial" w:hAnsi="Arial"/>
    </w:rPr>
  </w:style>
  <w:style w:type="paragraph" w:customStyle="1" w:styleId="UDrubrik">
    <w:name w:val="UDrubrik"/>
    <w:basedOn w:val="Normal"/>
    <w:next w:val="Brdtext"/>
    <w:pPr>
      <w:spacing w:line="320" w:lineRule="exact"/>
    </w:pPr>
    <w:rPr>
      <w:rFonts w:ascii="TradeGothic Bold" w:hAnsi="TradeGothic Bold"/>
      <w:b/>
      <w:sz w:val="22"/>
    </w:rPr>
  </w:style>
  <w:style w:type="paragraph" w:customStyle="1" w:styleId="Mellanrubrik">
    <w:name w:val="Mellanrubrik"/>
    <w:basedOn w:val="Brdtext"/>
    <w:next w:val="Brdtext"/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appor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3A0198E63AABC048ACDE74719F2DD920" ma:contentTypeVersion="1" ma:contentTypeDescription="Skapa nytt Word dokument" ma:contentTypeScope="" ma:versionID="1e561dac9a60b94c577948804e663df2">
  <xsd:schema xmlns:xsd="http://www.w3.org/2001/XMLSchema" xmlns:p="http://schemas.microsoft.com/office/2006/metadata/properties" xmlns:ns2="5d8f26d4-0ccb-4d8b-aa8a-72d320937dd4" targetNamespace="http://schemas.microsoft.com/office/2006/metadata/properties" ma:root="true" ma:fieldsID="9fb9636e2048439dcf3e855ad8d27920" ns2:_="">
    <xsd:import namespace="5d8f26d4-0ccb-4d8b-aa8a-72d320937dd4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d8f26d4-0ccb-4d8b-aa8a-72d320937dd4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5d8f26d4-0ccb-4d8b-aa8a-72d320937dd4" xsi:nil="true"/>
    <RKOrdnaSarskildSkyddsvard xmlns="5d8f26d4-0ccb-4d8b-aa8a-72d320937dd4">0</RKOrdnaSarskildSkyddsvard>
    <RKOrdnaDepartement xmlns="5d8f26d4-0ccb-4d8b-aa8a-72d320937dd4">Arbetsmarknadsdepartementet</RKOrdnaDepartement>
    <RKOrdnaActivityCategory xmlns="5d8f26d4-0ccb-4d8b-aa8a-72d320937dd4">4.1. Europeiska unionen</RKOrdnaActivityCategory>
    <RKOrdnaSearchKeywords xmlns="5d8f26d4-0ccb-4d8b-aa8a-72d320937dd4" xsi:nil="true"/>
    <RKOrdnaCheckInComment xmlns="5d8f26d4-0ccb-4d8b-aa8a-72d320937dd4" xsi:nil="true"/>
    <RKOrdnaDiarienummer xmlns="5d8f26d4-0ccb-4d8b-aa8a-72d320937dd4" xsi:nil="true"/>
  </documentManagement>
</p:properties>
</file>

<file path=customXml/itemProps1.xml><?xml version="1.0" encoding="utf-8"?>
<ds:datastoreItem xmlns:ds="http://schemas.openxmlformats.org/officeDocument/2006/customXml" ds:itemID="{5642BA10-6A66-45E9-AF0E-2FB510E04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405A1-ECDD-4A5F-9B86-5FADCC626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f26d4-0ccb-4d8b-aa8a-72d320937dd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906F3E5-9390-41EA-AA94-5D66155916F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8CFC49-8203-46A9-8CA0-AC3D436537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RapportMall</Template>
  <TotalTime>0</TotalTime>
  <Pages>2</Pages>
  <Words>1103</Words>
  <Characters>6795</Characters>
  <Application>Microsoft Office Word</Application>
  <DocSecurity>4</DocSecurity>
  <Lines>199</Lines>
  <Paragraphs>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UD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Riksdagen</dc:creator>
  <cp:keywords>Riksdagen</cp:keywords>
  <dc:description/>
  <cp:lastModifiedBy>Lars Brink</cp:lastModifiedBy>
  <cp:revision>2</cp:revision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QFMSP source name">
    <vt:lpwstr/>
  </property>
</Properties>
</file>