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702E9">
        <w:tblPrEx>
          <w:tblCellMar>
            <w:top w:w="0" w:type="dxa"/>
            <w:bottom w:w="0" w:type="dxa"/>
          </w:tblCellMar>
        </w:tblPrEx>
        <w:trPr>
          <w:cantSplit/>
          <w:trHeight w:hRule="exact" w:val="1260"/>
        </w:trPr>
        <w:tc>
          <w:tcPr>
            <w:tcW w:w="6024" w:type="dxa"/>
            <w:gridSpan w:val="2"/>
            <w:vMerge w:val="restart"/>
          </w:tcPr>
          <w:p w:rsidR="0019262E" w:rsidRPr="000702E9" w:rsidRDefault="0019262E">
            <w:pPr>
              <w:pStyle w:val="HuvudRubrik"/>
            </w:pPr>
            <w:bookmarkStart w:id="0" w:name="BetänkandeRubrik"/>
            <w:bookmarkEnd w:id="0"/>
            <w:r w:rsidRPr="000702E9">
              <w:t>Försvarsutskottets yttrande</w:t>
            </w:r>
            <w:r w:rsidR="000702E9" w:rsidRPr="000702E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40053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9262E" w:rsidRDefault="0019262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25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9262E" w:rsidRDefault="0019262E">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255" r:id="rId8"/>
                              </w:object>
                            </w:r>
                          </w:p>
                        </w:txbxContent>
                      </v:textbox>
                      <w10:wrap anchorx="page" anchory="page"/>
                    </v:shape>
                  </w:pict>
                </mc:Fallback>
              </mc:AlternateContent>
            </w:r>
          </w:p>
          <w:p w:rsidR="0019262E" w:rsidRPr="000702E9" w:rsidRDefault="0019262E">
            <w:pPr>
              <w:pStyle w:val="HuvudRubrikRad2"/>
            </w:pPr>
            <w:bookmarkStart w:id="17" w:name="BetänkandeNr"/>
            <w:bookmarkEnd w:id="17"/>
            <w:r w:rsidRPr="000702E9">
              <w:t>1998/99:FöU3y</w:t>
            </w:r>
          </w:p>
          <w:p w:rsidR="0019262E" w:rsidRPr="000702E9" w:rsidRDefault="0019262E">
            <w:pPr>
              <w:pStyle w:val="BetnkandeRubrik"/>
            </w:pPr>
            <w:bookmarkStart w:id="18" w:name="Huvudrubrik"/>
            <w:bookmarkEnd w:id="18"/>
            <w:r w:rsidRPr="000702E9">
              <w:t>Preliminära ekonomiska ramar för utgiftsområde 6 Totalfö</w:t>
            </w:r>
            <w:r w:rsidRPr="000702E9">
              <w:t>r</w:t>
            </w:r>
            <w:r w:rsidRPr="000702E9">
              <w:t>svar år 2000–2002</w:t>
            </w:r>
          </w:p>
        </w:tc>
        <w:tc>
          <w:tcPr>
            <w:tcW w:w="1559" w:type="dxa"/>
            <w:tcBorders>
              <w:bottom w:val="nil"/>
            </w:tcBorders>
          </w:tcPr>
          <w:p w:rsidR="0019262E" w:rsidRPr="000702E9" w:rsidRDefault="0019262E">
            <w:pPr>
              <w:spacing w:before="0" w:line="230" w:lineRule="auto"/>
              <w:rPr>
                <w:sz w:val="24"/>
              </w:rPr>
            </w:pPr>
          </w:p>
        </w:tc>
      </w:tr>
      <w:tr w:rsidR="00000000" w:rsidRPr="000702E9">
        <w:tblPrEx>
          <w:tblCellMar>
            <w:top w:w="0" w:type="dxa"/>
            <w:bottom w:w="0" w:type="dxa"/>
          </w:tblCellMar>
        </w:tblPrEx>
        <w:trPr>
          <w:cantSplit/>
          <w:trHeight w:hRule="exact" w:val="240"/>
        </w:trPr>
        <w:tc>
          <w:tcPr>
            <w:tcW w:w="6024" w:type="dxa"/>
            <w:gridSpan w:val="2"/>
            <w:vMerge/>
            <w:tcBorders>
              <w:top w:val="nil"/>
              <w:bottom w:val="nil"/>
            </w:tcBorders>
          </w:tcPr>
          <w:p w:rsidR="0019262E" w:rsidRPr="000702E9" w:rsidRDefault="0019262E">
            <w:pPr>
              <w:spacing w:before="40" w:after="900" w:line="280" w:lineRule="exact"/>
              <w:jc w:val="left"/>
              <w:rPr>
                <w:sz w:val="28"/>
              </w:rPr>
            </w:pPr>
          </w:p>
        </w:tc>
        <w:tc>
          <w:tcPr>
            <w:tcW w:w="1559" w:type="dxa"/>
          </w:tcPr>
          <w:p w:rsidR="0019262E" w:rsidRPr="000702E9" w:rsidRDefault="0019262E">
            <w:pPr>
              <w:pStyle w:val="rtal"/>
            </w:pPr>
            <w:r w:rsidRPr="000702E9">
              <w:t>1998/99</w:t>
            </w:r>
          </w:p>
        </w:tc>
      </w:tr>
      <w:tr w:rsidR="00000000" w:rsidRPr="000702E9">
        <w:tblPrEx>
          <w:tblCellMar>
            <w:top w:w="0" w:type="dxa"/>
            <w:bottom w:w="0" w:type="dxa"/>
          </w:tblCellMar>
        </w:tblPrEx>
        <w:trPr>
          <w:cantSplit/>
          <w:trHeight w:val="560"/>
        </w:trPr>
        <w:tc>
          <w:tcPr>
            <w:tcW w:w="6024" w:type="dxa"/>
            <w:gridSpan w:val="2"/>
            <w:vMerge/>
            <w:tcBorders>
              <w:top w:val="nil"/>
              <w:bottom w:val="single" w:sz="6" w:space="0" w:color="auto"/>
            </w:tcBorders>
          </w:tcPr>
          <w:p w:rsidR="0019262E" w:rsidRPr="000702E9" w:rsidRDefault="0019262E">
            <w:pPr>
              <w:spacing w:before="40" w:after="900" w:line="280" w:lineRule="exact"/>
              <w:jc w:val="left"/>
              <w:rPr>
                <w:sz w:val="28"/>
              </w:rPr>
            </w:pPr>
          </w:p>
        </w:tc>
        <w:tc>
          <w:tcPr>
            <w:tcW w:w="1559" w:type="dxa"/>
            <w:tcBorders>
              <w:bottom w:val="single" w:sz="6" w:space="0" w:color="auto"/>
            </w:tcBorders>
          </w:tcPr>
          <w:p w:rsidR="0019262E" w:rsidRPr="000702E9" w:rsidRDefault="0019262E">
            <w:pPr>
              <w:pStyle w:val="rtal"/>
            </w:pPr>
            <w:r w:rsidRPr="000702E9">
              <w:t>FöU3y</w:t>
            </w:r>
          </w:p>
        </w:tc>
      </w:tr>
      <w:tr w:rsidR="00000000" w:rsidRPr="000702E9">
        <w:tblPrEx>
          <w:tblCellMar>
            <w:top w:w="0" w:type="dxa"/>
            <w:bottom w:w="0" w:type="dxa"/>
          </w:tblCellMar>
        </w:tblPrEx>
        <w:trPr>
          <w:cantSplit/>
          <w:trHeight w:hRule="exact" w:val="660"/>
        </w:trPr>
        <w:tc>
          <w:tcPr>
            <w:tcW w:w="3012" w:type="dxa"/>
          </w:tcPr>
          <w:p w:rsidR="0019262E" w:rsidRPr="000702E9" w:rsidRDefault="0019262E">
            <w:pPr>
              <w:pStyle w:val="StatusSida1"/>
            </w:pPr>
          </w:p>
        </w:tc>
        <w:tc>
          <w:tcPr>
            <w:tcW w:w="3012" w:type="dxa"/>
          </w:tcPr>
          <w:p w:rsidR="0019262E" w:rsidRPr="000702E9" w:rsidRDefault="0019262E">
            <w:pPr>
              <w:pStyle w:val="UtskriftsdatumSida1"/>
              <w:rPr>
                <w:b/>
                <w:sz w:val="28"/>
              </w:rPr>
            </w:pPr>
          </w:p>
        </w:tc>
        <w:tc>
          <w:tcPr>
            <w:tcW w:w="1559" w:type="dxa"/>
          </w:tcPr>
          <w:p w:rsidR="0019262E" w:rsidRPr="000702E9" w:rsidRDefault="0019262E"/>
        </w:tc>
      </w:tr>
    </w:tbl>
    <w:p w:rsidR="0019262E" w:rsidRPr="000702E9" w:rsidRDefault="0019262E">
      <w:pPr>
        <w:pStyle w:val="Rubrik1"/>
        <w:spacing w:before="0"/>
      </w:pPr>
      <w:bookmarkStart w:id="19" w:name="_Toc450721868"/>
      <w:r w:rsidRPr="000702E9">
        <w:t>Till finansutskottet</w:t>
      </w:r>
      <w:bookmarkEnd w:id="19"/>
    </w:p>
    <w:p w:rsidR="0019262E" w:rsidRPr="000702E9" w:rsidRDefault="0019262E">
      <w:r w:rsidRPr="000702E9">
        <w:t>Finansutskottet har berett försvarsutskottet tillfälle att yttra sig över 1999 års ekonomiska vårproposition jämte motioner.</w:t>
      </w:r>
    </w:p>
    <w:p w:rsidR="0019262E" w:rsidRPr="000702E9" w:rsidRDefault="0019262E">
      <w:pPr>
        <w:pStyle w:val="Rubrik1"/>
      </w:pPr>
      <w:bookmarkStart w:id="20" w:name="Textstart"/>
      <w:bookmarkStart w:id="21" w:name="_Toc450721869"/>
      <w:bookmarkEnd w:id="20"/>
      <w:r w:rsidRPr="000702E9">
        <w:t>Försvarsutskottet</w:t>
      </w:r>
      <w:bookmarkEnd w:id="21"/>
    </w:p>
    <w:p w:rsidR="0019262E" w:rsidRPr="000702E9" w:rsidRDefault="0019262E">
      <w:pPr>
        <w:pStyle w:val="Rubrik2"/>
        <w:spacing w:before="123"/>
      </w:pPr>
      <w:bookmarkStart w:id="22" w:name="_Toc450721870"/>
      <w:r w:rsidRPr="000702E9">
        <w:t>Regeringen</w:t>
      </w:r>
      <w:bookmarkEnd w:id="22"/>
    </w:p>
    <w:p w:rsidR="0019262E" w:rsidRPr="000702E9" w:rsidRDefault="0019262E">
      <w:r w:rsidRPr="000702E9">
        <w:t>För år 1999 uppgår de totala anslagen inom utgiftsområdet enligt statsbu</w:t>
      </w:r>
      <w:r w:rsidRPr="000702E9">
        <w:t>d</w:t>
      </w:r>
      <w:r w:rsidRPr="000702E9">
        <w:t>geten till 44,1 miljarder kronor, varav 39,8 miljarder kronor till det militära försvaret, 2,5 miljarder kronor till det civila försvaret och 1,8 miljarder kr</w:t>
      </w:r>
      <w:r w:rsidRPr="000702E9">
        <w:t>o</w:t>
      </w:r>
      <w:r w:rsidRPr="000702E9">
        <w:t>nor till övrig ver</w:t>
      </w:r>
      <w:r w:rsidRPr="000702E9">
        <w:t>k</w:t>
      </w:r>
      <w:r w:rsidRPr="000702E9">
        <w:t>samhet.</w:t>
      </w:r>
    </w:p>
    <w:p w:rsidR="0019262E" w:rsidRPr="000702E9" w:rsidRDefault="0019262E">
      <w:r w:rsidRPr="000702E9">
        <w:t xml:space="preserve">Regeringen beslutade den 8 mars 1999 om proposition 1998/99:74 Förändrad omvärld – omdanat försvar. I propositionen föreslår regeringen att nästa försvarsbeslut skall omfatta åren 2002–2004. </w:t>
      </w:r>
    </w:p>
    <w:p w:rsidR="0019262E" w:rsidRPr="000702E9" w:rsidRDefault="0019262E">
      <w:pPr>
        <w:pStyle w:val="Normaltindrag"/>
      </w:pPr>
      <w:r w:rsidRPr="000702E9">
        <w:t>Regeringen lägger i denna fram förslag till inriktning avseende den ek</w:t>
      </w:r>
      <w:r w:rsidRPr="000702E9">
        <w:t>o</w:t>
      </w:r>
      <w:r w:rsidRPr="000702E9">
        <w:t>nomiska ramen för utgiftsområdet, som för varje år under perioden 2002–2004 skall vara 4 miljarder kronor mindre än ramen för år 2001, samt till att ett omställningsbidrag anslås med 3 miljarder kronor år 2002 och med 1 miljard kronor år 2003. Vidare föreslås att den s.k. teknikfaktorn avskaffas fr.o.m. år 2000.</w:t>
      </w:r>
    </w:p>
    <w:p w:rsidR="0019262E" w:rsidRPr="000702E9" w:rsidRDefault="0019262E">
      <w:pPr>
        <w:pStyle w:val="Normaltindrag"/>
      </w:pPr>
    </w:p>
    <w:tbl>
      <w:tblPr>
        <w:tblW w:w="0" w:type="auto"/>
        <w:tblInd w:w="85" w:type="dxa"/>
        <w:tblLayout w:type="fixed"/>
        <w:tblCellMar>
          <w:left w:w="107" w:type="dxa"/>
          <w:right w:w="107" w:type="dxa"/>
        </w:tblCellMar>
        <w:tblLook w:val="0000" w:firstRow="0" w:lastRow="0" w:firstColumn="0" w:lastColumn="0" w:noHBand="0" w:noVBand="0"/>
      </w:tblPr>
      <w:tblGrid>
        <w:gridCol w:w="730"/>
        <w:gridCol w:w="852"/>
        <w:gridCol w:w="992"/>
        <w:gridCol w:w="992"/>
        <w:gridCol w:w="1134"/>
        <w:gridCol w:w="1134"/>
      </w:tblGrid>
      <w:tr w:rsidR="00000000" w:rsidRPr="000702E9">
        <w:tblPrEx>
          <w:tblCellMar>
            <w:top w:w="0" w:type="dxa"/>
            <w:bottom w:w="0" w:type="dxa"/>
          </w:tblCellMar>
        </w:tblPrEx>
        <w:tc>
          <w:tcPr>
            <w:tcW w:w="730" w:type="dxa"/>
            <w:tcBorders>
              <w:top w:val="single" w:sz="4" w:space="0" w:color="auto"/>
              <w:left w:val="single" w:sz="4" w:space="0" w:color="auto"/>
              <w:right w:val="single" w:sz="4" w:space="0" w:color="auto"/>
            </w:tcBorders>
          </w:tcPr>
          <w:p w:rsidR="0019262E" w:rsidRPr="000702E9" w:rsidRDefault="0019262E">
            <w:pPr>
              <w:pStyle w:val="TabellHuvud"/>
              <w:spacing w:line="240" w:lineRule="exact"/>
            </w:pPr>
            <w:r w:rsidRPr="000702E9">
              <w:t>Utfall</w:t>
            </w:r>
          </w:p>
        </w:tc>
        <w:tc>
          <w:tcPr>
            <w:tcW w:w="852" w:type="dxa"/>
            <w:tcBorders>
              <w:top w:val="single" w:sz="4" w:space="0" w:color="auto"/>
              <w:left w:val="single" w:sz="4" w:space="0" w:color="auto"/>
              <w:right w:val="single" w:sz="4" w:space="0" w:color="auto"/>
            </w:tcBorders>
          </w:tcPr>
          <w:p w:rsidR="0019262E" w:rsidRPr="000702E9" w:rsidRDefault="0019262E">
            <w:pPr>
              <w:pStyle w:val="TabellHuvud"/>
              <w:spacing w:line="240" w:lineRule="exact"/>
            </w:pPr>
            <w:r w:rsidRPr="000702E9">
              <w:t>Anslag</w:t>
            </w:r>
          </w:p>
        </w:tc>
        <w:tc>
          <w:tcPr>
            <w:tcW w:w="992" w:type="dxa"/>
            <w:tcBorders>
              <w:top w:val="single" w:sz="4" w:space="0" w:color="auto"/>
              <w:left w:val="single" w:sz="4" w:space="0" w:color="auto"/>
              <w:right w:val="single" w:sz="4" w:space="0" w:color="auto"/>
            </w:tcBorders>
          </w:tcPr>
          <w:p w:rsidR="0019262E" w:rsidRPr="000702E9" w:rsidRDefault="0019262E">
            <w:pPr>
              <w:pStyle w:val="TabellHuvud"/>
              <w:spacing w:line="240" w:lineRule="exact"/>
            </w:pPr>
            <w:r w:rsidRPr="000702E9">
              <w:t>Pr</w:t>
            </w:r>
            <w:r w:rsidRPr="000702E9">
              <w:t>o</w:t>
            </w:r>
            <w:r w:rsidRPr="000702E9">
              <w:t>gnos</w:t>
            </w:r>
          </w:p>
        </w:tc>
        <w:tc>
          <w:tcPr>
            <w:tcW w:w="992" w:type="dxa"/>
            <w:tcBorders>
              <w:top w:val="single" w:sz="4" w:space="0" w:color="auto"/>
              <w:left w:val="single" w:sz="4" w:space="0" w:color="auto"/>
              <w:right w:val="single" w:sz="4" w:space="0" w:color="auto"/>
            </w:tcBorders>
          </w:tcPr>
          <w:p w:rsidR="0019262E" w:rsidRPr="000702E9" w:rsidRDefault="0019262E">
            <w:pPr>
              <w:pStyle w:val="TabellHuvud"/>
              <w:spacing w:line="240" w:lineRule="exact"/>
            </w:pPr>
            <w:r w:rsidRPr="000702E9">
              <w:t>Beräknat</w:t>
            </w:r>
          </w:p>
        </w:tc>
        <w:tc>
          <w:tcPr>
            <w:tcW w:w="1134" w:type="dxa"/>
            <w:tcBorders>
              <w:top w:val="single" w:sz="4" w:space="0" w:color="auto"/>
              <w:left w:val="single" w:sz="4" w:space="0" w:color="auto"/>
              <w:right w:val="single" w:sz="4" w:space="0" w:color="auto"/>
            </w:tcBorders>
          </w:tcPr>
          <w:p w:rsidR="0019262E" w:rsidRPr="000702E9" w:rsidRDefault="0019262E">
            <w:pPr>
              <w:pStyle w:val="TabellHuvud"/>
              <w:tabs>
                <w:tab w:val="left" w:pos="823"/>
              </w:tabs>
              <w:spacing w:line="240" w:lineRule="exact"/>
            </w:pPr>
            <w:r w:rsidRPr="000702E9">
              <w:t>Beräknat</w:t>
            </w:r>
          </w:p>
        </w:tc>
        <w:tc>
          <w:tcPr>
            <w:tcW w:w="1134" w:type="dxa"/>
            <w:tcBorders>
              <w:top w:val="single" w:sz="4" w:space="0" w:color="auto"/>
              <w:left w:val="single" w:sz="4" w:space="0" w:color="auto"/>
              <w:right w:val="single" w:sz="4" w:space="0" w:color="auto"/>
            </w:tcBorders>
          </w:tcPr>
          <w:p w:rsidR="0019262E" w:rsidRPr="000702E9" w:rsidRDefault="0019262E">
            <w:pPr>
              <w:pStyle w:val="TabellHuvud"/>
              <w:tabs>
                <w:tab w:val="left" w:pos="823"/>
              </w:tabs>
              <w:spacing w:line="240" w:lineRule="exact"/>
            </w:pPr>
            <w:r w:rsidRPr="000702E9">
              <w:t>Beräknat</w:t>
            </w:r>
          </w:p>
        </w:tc>
      </w:tr>
      <w:tr w:rsidR="00000000" w:rsidRPr="000702E9">
        <w:tblPrEx>
          <w:tblCellMar>
            <w:top w:w="0" w:type="dxa"/>
            <w:bottom w:w="0" w:type="dxa"/>
          </w:tblCellMar>
        </w:tblPrEx>
        <w:tc>
          <w:tcPr>
            <w:tcW w:w="730" w:type="dxa"/>
            <w:tcBorders>
              <w:top w:val="single" w:sz="4" w:space="0" w:color="auto"/>
              <w:left w:val="single" w:sz="4" w:space="0" w:color="auto"/>
              <w:right w:val="single" w:sz="4" w:space="0" w:color="auto"/>
            </w:tcBorders>
          </w:tcPr>
          <w:p w:rsidR="0019262E" w:rsidRPr="000702E9" w:rsidRDefault="0019262E">
            <w:pPr>
              <w:pStyle w:val="TabellHuvud"/>
              <w:spacing w:line="240" w:lineRule="exact"/>
            </w:pPr>
            <w:r w:rsidRPr="000702E9">
              <w:t>1998</w:t>
            </w:r>
          </w:p>
        </w:tc>
        <w:tc>
          <w:tcPr>
            <w:tcW w:w="852" w:type="dxa"/>
            <w:tcBorders>
              <w:top w:val="single" w:sz="4" w:space="0" w:color="auto"/>
              <w:left w:val="single" w:sz="4" w:space="0" w:color="auto"/>
              <w:right w:val="single" w:sz="4" w:space="0" w:color="auto"/>
            </w:tcBorders>
          </w:tcPr>
          <w:p w:rsidR="0019262E" w:rsidRPr="000702E9" w:rsidRDefault="0019262E">
            <w:pPr>
              <w:pStyle w:val="TabellHuvud"/>
              <w:spacing w:line="240" w:lineRule="exact"/>
            </w:pPr>
            <w:r w:rsidRPr="000702E9">
              <w:t>1999</w:t>
            </w:r>
          </w:p>
        </w:tc>
        <w:tc>
          <w:tcPr>
            <w:tcW w:w="992" w:type="dxa"/>
            <w:tcBorders>
              <w:top w:val="single" w:sz="4" w:space="0" w:color="auto"/>
              <w:left w:val="single" w:sz="4" w:space="0" w:color="auto"/>
              <w:right w:val="single" w:sz="4" w:space="0" w:color="auto"/>
            </w:tcBorders>
          </w:tcPr>
          <w:p w:rsidR="0019262E" w:rsidRPr="000702E9" w:rsidRDefault="0019262E">
            <w:pPr>
              <w:pStyle w:val="TabellHuvud"/>
              <w:spacing w:line="240" w:lineRule="exact"/>
            </w:pPr>
            <w:r w:rsidRPr="000702E9">
              <w:t>1999</w:t>
            </w:r>
          </w:p>
        </w:tc>
        <w:tc>
          <w:tcPr>
            <w:tcW w:w="992" w:type="dxa"/>
            <w:tcBorders>
              <w:top w:val="single" w:sz="4" w:space="0" w:color="auto"/>
              <w:left w:val="single" w:sz="4" w:space="0" w:color="auto"/>
              <w:right w:val="single" w:sz="4" w:space="0" w:color="auto"/>
            </w:tcBorders>
          </w:tcPr>
          <w:p w:rsidR="0019262E" w:rsidRPr="000702E9" w:rsidRDefault="0019262E">
            <w:pPr>
              <w:pStyle w:val="TabellHuvud"/>
              <w:spacing w:line="240" w:lineRule="exact"/>
            </w:pPr>
            <w:r w:rsidRPr="000702E9">
              <w:t>2000</w:t>
            </w:r>
          </w:p>
        </w:tc>
        <w:tc>
          <w:tcPr>
            <w:tcW w:w="1134" w:type="dxa"/>
            <w:tcBorders>
              <w:top w:val="single" w:sz="4" w:space="0" w:color="auto"/>
              <w:left w:val="single" w:sz="4" w:space="0" w:color="auto"/>
              <w:right w:val="single" w:sz="4" w:space="0" w:color="auto"/>
            </w:tcBorders>
          </w:tcPr>
          <w:p w:rsidR="0019262E" w:rsidRPr="000702E9" w:rsidRDefault="0019262E">
            <w:pPr>
              <w:pStyle w:val="TabellHuvud"/>
              <w:tabs>
                <w:tab w:val="left" w:pos="823"/>
              </w:tabs>
              <w:spacing w:line="240" w:lineRule="exact"/>
            </w:pPr>
            <w:r w:rsidRPr="000702E9">
              <w:t>2001</w:t>
            </w:r>
          </w:p>
        </w:tc>
        <w:tc>
          <w:tcPr>
            <w:tcW w:w="1134" w:type="dxa"/>
            <w:tcBorders>
              <w:top w:val="single" w:sz="4" w:space="0" w:color="auto"/>
              <w:left w:val="single" w:sz="4" w:space="0" w:color="auto"/>
              <w:right w:val="single" w:sz="4" w:space="0" w:color="auto"/>
            </w:tcBorders>
          </w:tcPr>
          <w:p w:rsidR="0019262E" w:rsidRPr="000702E9" w:rsidRDefault="0019262E">
            <w:pPr>
              <w:pStyle w:val="TabellHuvud"/>
              <w:tabs>
                <w:tab w:val="left" w:pos="823"/>
              </w:tabs>
              <w:spacing w:line="240" w:lineRule="exact"/>
            </w:pPr>
            <w:r w:rsidRPr="000702E9">
              <w:t>2002</w:t>
            </w:r>
          </w:p>
        </w:tc>
      </w:tr>
      <w:tr w:rsidR="00000000" w:rsidRPr="000702E9">
        <w:tblPrEx>
          <w:tblCellMar>
            <w:top w:w="0" w:type="dxa"/>
            <w:bottom w:w="0" w:type="dxa"/>
          </w:tblCellMar>
        </w:tblPrEx>
        <w:tc>
          <w:tcPr>
            <w:tcW w:w="730" w:type="dxa"/>
            <w:tcBorders>
              <w:top w:val="double" w:sz="4" w:space="0" w:color="auto"/>
              <w:left w:val="single" w:sz="4" w:space="0" w:color="auto"/>
              <w:bottom w:val="single" w:sz="4" w:space="0" w:color="auto"/>
              <w:right w:val="single" w:sz="4" w:space="0" w:color="auto"/>
            </w:tcBorders>
          </w:tcPr>
          <w:p w:rsidR="0019262E" w:rsidRPr="000702E9" w:rsidRDefault="0019262E">
            <w:pPr>
              <w:pStyle w:val="TabellRader"/>
              <w:spacing w:line="240" w:lineRule="exact"/>
            </w:pPr>
            <w:r w:rsidRPr="000702E9">
              <w:t>42 409</w:t>
            </w:r>
          </w:p>
        </w:tc>
        <w:tc>
          <w:tcPr>
            <w:tcW w:w="852" w:type="dxa"/>
            <w:tcBorders>
              <w:top w:val="double" w:sz="4" w:space="0" w:color="auto"/>
              <w:left w:val="single" w:sz="4" w:space="0" w:color="auto"/>
              <w:bottom w:val="single" w:sz="4" w:space="0" w:color="auto"/>
              <w:right w:val="single" w:sz="4" w:space="0" w:color="auto"/>
            </w:tcBorders>
          </w:tcPr>
          <w:p w:rsidR="0019262E" w:rsidRPr="000702E9" w:rsidRDefault="0019262E">
            <w:pPr>
              <w:pStyle w:val="TabellRader"/>
              <w:spacing w:line="240" w:lineRule="exact"/>
            </w:pPr>
            <w:r w:rsidRPr="000702E9">
              <w:t>44 108</w:t>
            </w:r>
          </w:p>
        </w:tc>
        <w:tc>
          <w:tcPr>
            <w:tcW w:w="992" w:type="dxa"/>
            <w:tcBorders>
              <w:top w:val="double" w:sz="4" w:space="0" w:color="auto"/>
              <w:left w:val="single" w:sz="4" w:space="0" w:color="auto"/>
              <w:bottom w:val="single" w:sz="4" w:space="0" w:color="auto"/>
              <w:right w:val="single" w:sz="4" w:space="0" w:color="auto"/>
            </w:tcBorders>
          </w:tcPr>
          <w:p w:rsidR="0019262E" w:rsidRPr="000702E9" w:rsidRDefault="0019262E">
            <w:pPr>
              <w:pStyle w:val="TabellRader"/>
              <w:spacing w:line="240" w:lineRule="exact"/>
            </w:pPr>
            <w:r w:rsidRPr="000702E9">
              <w:t>45 609</w:t>
            </w:r>
          </w:p>
        </w:tc>
        <w:tc>
          <w:tcPr>
            <w:tcW w:w="992" w:type="dxa"/>
            <w:tcBorders>
              <w:top w:val="double" w:sz="4" w:space="0" w:color="auto"/>
              <w:left w:val="single" w:sz="4" w:space="0" w:color="auto"/>
              <w:bottom w:val="single" w:sz="4" w:space="0" w:color="auto"/>
              <w:right w:val="single" w:sz="4" w:space="0" w:color="auto"/>
            </w:tcBorders>
          </w:tcPr>
          <w:p w:rsidR="0019262E" w:rsidRPr="000702E9" w:rsidRDefault="0019262E">
            <w:pPr>
              <w:pStyle w:val="TabellRader"/>
              <w:spacing w:line="240" w:lineRule="exact"/>
              <w:rPr>
                <w:b/>
              </w:rPr>
            </w:pPr>
            <w:r w:rsidRPr="000702E9">
              <w:rPr>
                <w:b/>
              </w:rPr>
              <w:t>44 857</w:t>
            </w:r>
          </w:p>
        </w:tc>
        <w:tc>
          <w:tcPr>
            <w:tcW w:w="1134" w:type="dxa"/>
            <w:tcBorders>
              <w:top w:val="double" w:sz="4" w:space="0" w:color="auto"/>
              <w:left w:val="single" w:sz="4" w:space="0" w:color="auto"/>
              <w:bottom w:val="single" w:sz="4" w:space="0" w:color="auto"/>
              <w:right w:val="single" w:sz="4" w:space="0" w:color="auto"/>
            </w:tcBorders>
          </w:tcPr>
          <w:p w:rsidR="0019262E" w:rsidRPr="000702E9" w:rsidRDefault="0019262E">
            <w:pPr>
              <w:pStyle w:val="TabellRader"/>
              <w:spacing w:line="240" w:lineRule="exact"/>
            </w:pPr>
            <w:r w:rsidRPr="000702E9">
              <w:t>44 527</w:t>
            </w:r>
          </w:p>
        </w:tc>
        <w:tc>
          <w:tcPr>
            <w:tcW w:w="1134" w:type="dxa"/>
            <w:tcBorders>
              <w:top w:val="double" w:sz="4" w:space="0" w:color="auto"/>
              <w:left w:val="single" w:sz="4" w:space="0" w:color="auto"/>
              <w:bottom w:val="single" w:sz="4" w:space="0" w:color="auto"/>
              <w:right w:val="single" w:sz="4" w:space="0" w:color="auto"/>
            </w:tcBorders>
          </w:tcPr>
          <w:p w:rsidR="0019262E" w:rsidRPr="000702E9" w:rsidRDefault="0019262E">
            <w:pPr>
              <w:pStyle w:val="TabellRader"/>
              <w:spacing w:line="240" w:lineRule="exact"/>
            </w:pPr>
            <w:r w:rsidRPr="000702E9">
              <w:t>43 538</w:t>
            </w:r>
          </w:p>
        </w:tc>
      </w:tr>
    </w:tbl>
    <w:p w:rsidR="0019262E" w:rsidRPr="000702E9" w:rsidRDefault="0019262E">
      <w:r w:rsidRPr="000702E9">
        <w:t>Förslagen i nämnda proposition innebär inga förändringar av de ekonomiska ramarna för utgiftsområdet för innevarande försvarsbeslutsperiod, dvs. t.o.m. år 2001. Däremot anger regeringen att åtgärder bör vidtas redan fr.o.m. inn</w:t>
      </w:r>
      <w:r w:rsidRPr="000702E9">
        <w:t>e</w:t>
      </w:r>
      <w:r w:rsidRPr="000702E9">
        <w:t>varande budgetår, dels för att möjliggöra minskningen av den ekonomiska ramen under nästa försvarsbeslutsperiod, dels för att kunna hantera probl</w:t>
      </w:r>
      <w:r w:rsidRPr="000702E9">
        <w:t>e</w:t>
      </w:r>
      <w:r w:rsidRPr="000702E9">
        <w:t xml:space="preserve">men under innevarande försvarsbeslutsperiod, vilka har medfört att den planerade verksamheten inte ryms inom de beslutade ekonomiska ramarna. </w:t>
      </w:r>
    </w:p>
    <w:p w:rsidR="0019262E" w:rsidRPr="000702E9" w:rsidRDefault="0019262E">
      <w:pPr>
        <w:pStyle w:val="Rubrik2"/>
      </w:pPr>
      <w:bookmarkStart w:id="23" w:name="_Toc450721871"/>
      <w:r w:rsidRPr="000702E9">
        <w:lastRenderedPageBreak/>
        <w:t>Motionerna</w:t>
      </w:r>
      <w:bookmarkEnd w:id="23"/>
    </w:p>
    <w:p w:rsidR="0019262E" w:rsidRPr="000702E9" w:rsidRDefault="0019262E">
      <w:r w:rsidRPr="000702E9">
        <w:rPr>
          <w:i/>
        </w:rPr>
        <w:t>Moderata samlingspartiet</w:t>
      </w:r>
      <w:r w:rsidRPr="000702E9">
        <w:t xml:space="preserve"> föreslår i motion 1998/99:Fi14 yrkande 5 att fö</w:t>
      </w:r>
      <w:r w:rsidRPr="000702E9">
        <w:t>r</w:t>
      </w:r>
      <w:r w:rsidRPr="000702E9">
        <w:t>svaret engångsvis bör kompenseras för den indragning som skedde vid full tillämpning av anslagsförordningen. Därutöver bör anslagen till materiela</w:t>
      </w:r>
      <w:r w:rsidRPr="000702E9">
        <w:t>n</w:t>
      </w:r>
      <w:r w:rsidRPr="000702E9">
        <w:t>skaffning räknas upp med den s.k. teknikfaktorn. Vidare bör anslaget A 2 Fredsfrämjande truppinsatser i sin helhet föras över till utgiftsområde 7 I</w:t>
      </w:r>
      <w:r w:rsidRPr="000702E9">
        <w:t>n</w:t>
      </w:r>
      <w:r w:rsidRPr="000702E9">
        <w:t>ternationellt bistånd. Moderata samlingspartiets förslag innebär att försvarets ekonomi förstärks under treårsperioden.</w:t>
      </w:r>
    </w:p>
    <w:p w:rsidR="0019262E" w:rsidRPr="000702E9" w:rsidRDefault="0019262E">
      <w:r w:rsidRPr="000702E9">
        <w:rPr>
          <w:i/>
        </w:rPr>
        <w:t>Kristdemokraterna</w:t>
      </w:r>
      <w:r w:rsidRPr="000702E9">
        <w:t xml:space="preserve"> anser i motion 1998/99:Fi15 yrkande 4 att den rådande situationen med en försvarsmakt med låg verksamhetsnivå, som innebär att personalen får allt sämre möjligheter att lära sig använda ny materiel, är ohållbar. De ekonomiska ramar som regeringen och Centerpartiet kommit överens om innebär dramatiska nedskärningar för Försvarsmakten. Kristd</w:t>
      </w:r>
      <w:r w:rsidRPr="000702E9">
        <w:t>e</w:t>
      </w:r>
      <w:r w:rsidRPr="000702E9">
        <w:t>mokraterna kan inte medverka till ett sådant beslut i ett läge där konsekve</w:t>
      </w:r>
      <w:r w:rsidRPr="000702E9">
        <w:t>n</w:t>
      </w:r>
      <w:r w:rsidRPr="000702E9">
        <w:t>serna inte kan överblickas. För att lösa Försvarsmaktens akuta likviditet</w:t>
      </w:r>
      <w:r w:rsidRPr="000702E9">
        <w:t>s</w:t>
      </w:r>
      <w:r w:rsidRPr="000702E9">
        <w:t>problem, undvika m</w:t>
      </w:r>
      <w:r w:rsidRPr="000702E9">
        <w:t>aterielförstöring och en oordnad planeringsprocess, för att höja dagersättningen till totalförsvarspliktiga med 5 kr per dag samt fö</w:t>
      </w:r>
      <w:r w:rsidRPr="000702E9">
        <w:t>r</w:t>
      </w:r>
      <w:r w:rsidRPr="000702E9">
        <w:t>stärka Kustbevakningens resurser för gränskontroll och miljöskydd med 40 miljoner kronor avsätter Kristdemokraterna 2 790 miljoner kronor mer under perioden är regeringen.</w:t>
      </w:r>
    </w:p>
    <w:p w:rsidR="0019262E" w:rsidRPr="000702E9" w:rsidRDefault="0019262E">
      <w:r w:rsidRPr="000702E9">
        <w:rPr>
          <w:i/>
        </w:rPr>
        <w:t>Centerpartiet</w:t>
      </w:r>
      <w:r w:rsidRPr="000702E9">
        <w:t xml:space="preserve"> framhåller i motion 1998/99:Fi16 yrkande 23 att det råder stor samsyn om uppfattningen att det inte är möjligt att genomföra en invasion syftande till ockupation av Sverige. Försvaret bör omstruktureras och kos</w:t>
      </w:r>
      <w:r w:rsidRPr="000702E9">
        <w:t>t</w:t>
      </w:r>
      <w:r w:rsidRPr="000702E9">
        <w:t>naderna minska. Detta är grunden för Centerpartiets samarbete med reg</w:t>
      </w:r>
      <w:r w:rsidRPr="000702E9">
        <w:t>e</w:t>
      </w:r>
      <w:r w:rsidRPr="000702E9">
        <w:t>ringen i försvars- och säkerhetspolitiken och baseras på 1996 års försvarsb</w:t>
      </w:r>
      <w:r w:rsidRPr="000702E9">
        <w:t>e</w:t>
      </w:r>
      <w:r w:rsidRPr="000702E9">
        <w:t xml:space="preserve">slut. </w:t>
      </w:r>
    </w:p>
    <w:p w:rsidR="0019262E" w:rsidRPr="000702E9" w:rsidRDefault="0019262E">
      <w:r w:rsidRPr="000702E9">
        <w:rPr>
          <w:i/>
        </w:rPr>
        <w:t>Folkpartiet liberalerna</w:t>
      </w:r>
      <w:r w:rsidRPr="000702E9">
        <w:t xml:space="preserve"> anser i motion 1998/99:Fi17 yrkande 4 att regering</w:t>
      </w:r>
      <w:r w:rsidRPr="000702E9">
        <w:t>s</w:t>
      </w:r>
      <w:r w:rsidRPr="000702E9">
        <w:t>arbetets förvirring har varit fullständig på försvarets område. Folkpartiet vill ha en rationalisering och modernisering av försvaret. För att klara en sådan omställningsprocess behöver omställningsbidraget vara 1 miljard större än regerin</w:t>
      </w:r>
      <w:r w:rsidRPr="000702E9">
        <w:t>g</w:t>
      </w:r>
      <w:r w:rsidRPr="000702E9">
        <w:t>en räknar med år 2002.</w:t>
      </w:r>
    </w:p>
    <w:p w:rsidR="0019262E" w:rsidRPr="000702E9" w:rsidRDefault="0019262E">
      <w:pPr>
        <w:pStyle w:val="Normaltindrag"/>
      </w:pPr>
    </w:p>
    <w:p w:rsidR="0019262E" w:rsidRPr="000702E9" w:rsidRDefault="0019262E">
      <w:pPr>
        <w:pStyle w:val="Rubrik2"/>
        <w:spacing w:before="0"/>
      </w:pPr>
      <w:bookmarkStart w:id="24" w:name="_Toc450721872"/>
      <w:r w:rsidRPr="000702E9">
        <w:t>Försvarsutskottets överväganden</w:t>
      </w:r>
      <w:bookmarkEnd w:id="24"/>
    </w:p>
    <w:p w:rsidR="0019262E" w:rsidRPr="000702E9" w:rsidRDefault="0019262E">
      <w:r w:rsidRPr="000702E9">
        <w:t>De olika förslagen till preliminära utgiftsramar för åren 2000–2002 i förhå</w:t>
      </w:r>
      <w:r w:rsidRPr="000702E9">
        <w:t>l</w:t>
      </w:r>
      <w:r w:rsidRPr="000702E9">
        <w:t>lande till regeringens förslag är fö</w:t>
      </w:r>
      <w:r w:rsidRPr="000702E9">
        <w:t>l</w:t>
      </w:r>
      <w:r w:rsidRPr="000702E9">
        <w:t>jande (milj kr):</w:t>
      </w:r>
    </w:p>
    <w:p w:rsidR="0019262E" w:rsidRPr="000702E9" w:rsidRDefault="0019262E">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9"/>
        <w:gridCol w:w="1280"/>
        <w:gridCol w:w="1280"/>
      </w:tblGrid>
      <w:tr w:rsidR="00000000" w:rsidRPr="000702E9">
        <w:tblPrEx>
          <w:tblCellMar>
            <w:top w:w="0" w:type="dxa"/>
            <w:bottom w:w="0" w:type="dxa"/>
          </w:tblCellMar>
        </w:tblPrEx>
        <w:tc>
          <w:tcPr>
            <w:tcW w:w="2197" w:type="dxa"/>
          </w:tcPr>
          <w:p w:rsidR="0019262E" w:rsidRPr="000702E9" w:rsidRDefault="0019262E">
            <w:pPr>
              <w:pStyle w:val="Normaltindrag"/>
              <w:ind w:firstLine="0"/>
            </w:pPr>
            <w:r w:rsidRPr="000702E9">
              <w:rPr>
                <w:b/>
                <w:u w:val="single"/>
              </w:rPr>
              <w:t>År</w:t>
            </w:r>
          </w:p>
        </w:tc>
        <w:tc>
          <w:tcPr>
            <w:tcW w:w="1279" w:type="dxa"/>
          </w:tcPr>
          <w:p w:rsidR="0019262E" w:rsidRPr="000702E9" w:rsidRDefault="0019262E">
            <w:pPr>
              <w:pStyle w:val="Normaltindrag"/>
              <w:ind w:firstLine="0"/>
              <w:jc w:val="right"/>
            </w:pPr>
            <w:r w:rsidRPr="000702E9">
              <w:rPr>
                <w:b/>
              </w:rPr>
              <w:t>2000</w:t>
            </w:r>
          </w:p>
        </w:tc>
        <w:tc>
          <w:tcPr>
            <w:tcW w:w="1280" w:type="dxa"/>
          </w:tcPr>
          <w:p w:rsidR="0019262E" w:rsidRPr="000702E9" w:rsidRDefault="0019262E">
            <w:pPr>
              <w:pStyle w:val="Normaltindrag"/>
              <w:ind w:firstLine="0"/>
              <w:jc w:val="right"/>
            </w:pPr>
            <w:r w:rsidRPr="000702E9">
              <w:rPr>
                <w:b/>
              </w:rPr>
              <w:t>2001</w:t>
            </w:r>
          </w:p>
        </w:tc>
        <w:tc>
          <w:tcPr>
            <w:tcW w:w="1280" w:type="dxa"/>
          </w:tcPr>
          <w:p w:rsidR="0019262E" w:rsidRPr="000702E9" w:rsidRDefault="0019262E">
            <w:pPr>
              <w:pStyle w:val="Normaltindrag"/>
              <w:ind w:firstLine="0"/>
              <w:jc w:val="right"/>
            </w:pPr>
            <w:r w:rsidRPr="000702E9">
              <w:rPr>
                <w:b/>
              </w:rPr>
              <w:t>2002</w:t>
            </w:r>
          </w:p>
        </w:tc>
      </w:tr>
      <w:tr w:rsidR="00000000" w:rsidRPr="000702E9">
        <w:tblPrEx>
          <w:tblCellMar>
            <w:top w:w="0" w:type="dxa"/>
            <w:bottom w:w="0" w:type="dxa"/>
          </w:tblCellMar>
        </w:tblPrEx>
        <w:tc>
          <w:tcPr>
            <w:tcW w:w="2197" w:type="dxa"/>
          </w:tcPr>
          <w:p w:rsidR="0019262E" w:rsidRPr="000702E9" w:rsidRDefault="0019262E">
            <w:pPr>
              <w:pStyle w:val="Normaltindrag"/>
              <w:ind w:firstLine="0"/>
            </w:pPr>
            <w:r w:rsidRPr="000702E9">
              <w:t>Regeringen</w:t>
            </w:r>
          </w:p>
        </w:tc>
        <w:tc>
          <w:tcPr>
            <w:tcW w:w="1279" w:type="dxa"/>
          </w:tcPr>
          <w:p w:rsidR="0019262E" w:rsidRPr="000702E9" w:rsidRDefault="0019262E">
            <w:pPr>
              <w:pStyle w:val="Normaltindrag"/>
              <w:ind w:firstLine="0"/>
              <w:jc w:val="right"/>
            </w:pPr>
            <w:r w:rsidRPr="000702E9">
              <w:t>44 857</w:t>
            </w:r>
          </w:p>
        </w:tc>
        <w:tc>
          <w:tcPr>
            <w:tcW w:w="1280" w:type="dxa"/>
          </w:tcPr>
          <w:p w:rsidR="0019262E" w:rsidRPr="000702E9" w:rsidRDefault="0019262E">
            <w:pPr>
              <w:pStyle w:val="Normaltindrag"/>
              <w:ind w:firstLine="0"/>
              <w:jc w:val="right"/>
            </w:pPr>
            <w:r w:rsidRPr="000702E9">
              <w:t>44 527</w:t>
            </w:r>
          </w:p>
        </w:tc>
        <w:tc>
          <w:tcPr>
            <w:tcW w:w="1280" w:type="dxa"/>
          </w:tcPr>
          <w:p w:rsidR="0019262E" w:rsidRPr="000702E9" w:rsidRDefault="0019262E">
            <w:pPr>
              <w:pStyle w:val="Normaltindrag"/>
              <w:ind w:firstLine="0"/>
              <w:jc w:val="right"/>
            </w:pPr>
            <w:r w:rsidRPr="000702E9">
              <w:t>43 538</w:t>
            </w:r>
          </w:p>
        </w:tc>
      </w:tr>
      <w:tr w:rsidR="00000000" w:rsidRPr="000702E9">
        <w:tblPrEx>
          <w:tblCellMar>
            <w:top w:w="0" w:type="dxa"/>
            <w:bottom w:w="0" w:type="dxa"/>
          </w:tblCellMar>
        </w:tblPrEx>
        <w:tc>
          <w:tcPr>
            <w:tcW w:w="2197" w:type="dxa"/>
          </w:tcPr>
          <w:p w:rsidR="0019262E" w:rsidRPr="000702E9" w:rsidRDefault="0019262E">
            <w:pPr>
              <w:pStyle w:val="Normaltindrag"/>
              <w:ind w:firstLine="0"/>
            </w:pPr>
            <w:r w:rsidRPr="000702E9">
              <w:t>Moderata samlingspartiet</w:t>
            </w:r>
          </w:p>
        </w:tc>
        <w:tc>
          <w:tcPr>
            <w:tcW w:w="1279" w:type="dxa"/>
          </w:tcPr>
          <w:p w:rsidR="0019262E" w:rsidRPr="000702E9" w:rsidRDefault="0019262E">
            <w:pPr>
              <w:pStyle w:val="Normaltindrag"/>
              <w:ind w:firstLine="0"/>
              <w:jc w:val="right"/>
            </w:pPr>
            <w:r w:rsidRPr="000702E9">
              <w:t>+ 3 001</w:t>
            </w:r>
          </w:p>
        </w:tc>
        <w:tc>
          <w:tcPr>
            <w:tcW w:w="1280" w:type="dxa"/>
          </w:tcPr>
          <w:p w:rsidR="0019262E" w:rsidRPr="000702E9" w:rsidRDefault="0019262E">
            <w:pPr>
              <w:pStyle w:val="Normaltindrag"/>
              <w:ind w:firstLine="0"/>
              <w:jc w:val="right"/>
            </w:pPr>
            <w:r w:rsidRPr="000702E9">
              <w:t>+ 2 144</w:t>
            </w:r>
          </w:p>
        </w:tc>
        <w:tc>
          <w:tcPr>
            <w:tcW w:w="1280" w:type="dxa"/>
          </w:tcPr>
          <w:p w:rsidR="0019262E" w:rsidRPr="000702E9" w:rsidRDefault="0019262E">
            <w:pPr>
              <w:pStyle w:val="Normaltindrag"/>
              <w:ind w:firstLine="0"/>
              <w:jc w:val="right"/>
            </w:pPr>
            <w:r w:rsidRPr="000702E9">
              <w:t>+ 1 494</w:t>
            </w:r>
          </w:p>
        </w:tc>
      </w:tr>
      <w:tr w:rsidR="00000000" w:rsidRPr="000702E9">
        <w:tblPrEx>
          <w:tblCellMar>
            <w:top w:w="0" w:type="dxa"/>
            <w:bottom w:w="0" w:type="dxa"/>
          </w:tblCellMar>
        </w:tblPrEx>
        <w:tc>
          <w:tcPr>
            <w:tcW w:w="2197" w:type="dxa"/>
          </w:tcPr>
          <w:p w:rsidR="0019262E" w:rsidRPr="000702E9" w:rsidRDefault="0019262E">
            <w:pPr>
              <w:pStyle w:val="Normaltindrag"/>
              <w:ind w:firstLine="0"/>
            </w:pPr>
            <w:r w:rsidRPr="000702E9">
              <w:t>Vänsterpartiet</w:t>
            </w:r>
          </w:p>
        </w:tc>
        <w:tc>
          <w:tcPr>
            <w:tcW w:w="1279" w:type="dxa"/>
          </w:tcPr>
          <w:p w:rsidR="0019262E" w:rsidRPr="000702E9" w:rsidRDefault="0019262E">
            <w:pPr>
              <w:pStyle w:val="Normaltindrag"/>
              <w:ind w:firstLine="0"/>
              <w:jc w:val="right"/>
            </w:pPr>
            <w:r w:rsidRPr="000702E9">
              <w:t>=</w:t>
            </w:r>
          </w:p>
        </w:tc>
        <w:tc>
          <w:tcPr>
            <w:tcW w:w="1280" w:type="dxa"/>
          </w:tcPr>
          <w:p w:rsidR="0019262E" w:rsidRPr="000702E9" w:rsidRDefault="0019262E">
            <w:pPr>
              <w:pStyle w:val="Normaltindrag"/>
              <w:ind w:firstLine="0"/>
              <w:jc w:val="right"/>
            </w:pPr>
            <w:r w:rsidRPr="000702E9">
              <w:t>=</w:t>
            </w:r>
          </w:p>
        </w:tc>
        <w:tc>
          <w:tcPr>
            <w:tcW w:w="1280" w:type="dxa"/>
          </w:tcPr>
          <w:p w:rsidR="0019262E" w:rsidRPr="000702E9" w:rsidRDefault="0019262E">
            <w:pPr>
              <w:pStyle w:val="Normaltindrag"/>
              <w:ind w:firstLine="0"/>
              <w:jc w:val="right"/>
            </w:pPr>
            <w:r w:rsidRPr="000702E9">
              <w:t>=</w:t>
            </w:r>
          </w:p>
        </w:tc>
      </w:tr>
      <w:tr w:rsidR="00000000" w:rsidRPr="000702E9">
        <w:tblPrEx>
          <w:tblCellMar>
            <w:top w:w="0" w:type="dxa"/>
            <w:bottom w:w="0" w:type="dxa"/>
          </w:tblCellMar>
        </w:tblPrEx>
        <w:tc>
          <w:tcPr>
            <w:tcW w:w="2197" w:type="dxa"/>
          </w:tcPr>
          <w:p w:rsidR="0019262E" w:rsidRPr="000702E9" w:rsidRDefault="0019262E">
            <w:pPr>
              <w:pStyle w:val="Normaltindrag"/>
              <w:ind w:firstLine="0"/>
            </w:pPr>
            <w:r w:rsidRPr="000702E9">
              <w:t>Kristdemokraterna</w:t>
            </w:r>
          </w:p>
        </w:tc>
        <w:tc>
          <w:tcPr>
            <w:tcW w:w="1279" w:type="dxa"/>
          </w:tcPr>
          <w:p w:rsidR="0019262E" w:rsidRPr="000702E9" w:rsidRDefault="0019262E">
            <w:pPr>
              <w:pStyle w:val="Normaltindrag"/>
              <w:ind w:firstLine="0"/>
              <w:jc w:val="right"/>
            </w:pPr>
            <w:r w:rsidRPr="000702E9">
              <w:t>+ 1 390</w:t>
            </w:r>
          </w:p>
        </w:tc>
        <w:tc>
          <w:tcPr>
            <w:tcW w:w="1280" w:type="dxa"/>
          </w:tcPr>
          <w:p w:rsidR="0019262E" w:rsidRPr="000702E9" w:rsidRDefault="0019262E">
            <w:pPr>
              <w:pStyle w:val="Normaltindrag"/>
              <w:ind w:firstLine="0"/>
              <w:jc w:val="right"/>
            </w:pPr>
            <w:r w:rsidRPr="000702E9">
              <w:t>+    400</w:t>
            </w:r>
          </w:p>
        </w:tc>
        <w:tc>
          <w:tcPr>
            <w:tcW w:w="1280" w:type="dxa"/>
          </w:tcPr>
          <w:p w:rsidR="0019262E" w:rsidRPr="000702E9" w:rsidRDefault="0019262E">
            <w:pPr>
              <w:pStyle w:val="Normaltindrag"/>
              <w:ind w:firstLine="0"/>
              <w:jc w:val="right"/>
            </w:pPr>
            <w:r w:rsidRPr="000702E9">
              <w:t>+ 1 000</w:t>
            </w:r>
          </w:p>
        </w:tc>
      </w:tr>
      <w:tr w:rsidR="00000000" w:rsidRPr="000702E9">
        <w:tblPrEx>
          <w:tblCellMar>
            <w:top w:w="0" w:type="dxa"/>
            <w:bottom w:w="0" w:type="dxa"/>
          </w:tblCellMar>
        </w:tblPrEx>
        <w:tc>
          <w:tcPr>
            <w:tcW w:w="2197" w:type="dxa"/>
          </w:tcPr>
          <w:p w:rsidR="0019262E" w:rsidRPr="000702E9" w:rsidRDefault="0019262E">
            <w:pPr>
              <w:pStyle w:val="Normaltindrag"/>
              <w:ind w:firstLine="0"/>
            </w:pPr>
            <w:r w:rsidRPr="000702E9">
              <w:t>Miljöpartiet de gröna</w:t>
            </w:r>
          </w:p>
        </w:tc>
        <w:tc>
          <w:tcPr>
            <w:tcW w:w="1279" w:type="dxa"/>
          </w:tcPr>
          <w:p w:rsidR="0019262E" w:rsidRPr="000702E9" w:rsidRDefault="0019262E">
            <w:pPr>
              <w:pStyle w:val="Normaltindrag"/>
              <w:ind w:firstLine="0"/>
              <w:jc w:val="right"/>
            </w:pPr>
            <w:r w:rsidRPr="000702E9">
              <w:t>=</w:t>
            </w:r>
          </w:p>
        </w:tc>
        <w:tc>
          <w:tcPr>
            <w:tcW w:w="1280" w:type="dxa"/>
          </w:tcPr>
          <w:p w:rsidR="0019262E" w:rsidRPr="000702E9" w:rsidRDefault="0019262E">
            <w:pPr>
              <w:pStyle w:val="Normaltindrag"/>
              <w:ind w:firstLine="0"/>
              <w:jc w:val="right"/>
            </w:pPr>
            <w:r w:rsidRPr="000702E9">
              <w:t>=</w:t>
            </w:r>
          </w:p>
        </w:tc>
        <w:tc>
          <w:tcPr>
            <w:tcW w:w="1280" w:type="dxa"/>
          </w:tcPr>
          <w:p w:rsidR="0019262E" w:rsidRPr="000702E9" w:rsidRDefault="0019262E">
            <w:pPr>
              <w:pStyle w:val="Normaltindrag"/>
              <w:ind w:firstLine="0"/>
              <w:jc w:val="right"/>
            </w:pPr>
            <w:r w:rsidRPr="000702E9">
              <w:t>=</w:t>
            </w:r>
          </w:p>
        </w:tc>
      </w:tr>
      <w:tr w:rsidR="00000000" w:rsidRPr="000702E9">
        <w:tblPrEx>
          <w:tblCellMar>
            <w:top w:w="0" w:type="dxa"/>
            <w:bottom w:w="0" w:type="dxa"/>
          </w:tblCellMar>
        </w:tblPrEx>
        <w:tc>
          <w:tcPr>
            <w:tcW w:w="2197" w:type="dxa"/>
          </w:tcPr>
          <w:p w:rsidR="0019262E" w:rsidRPr="000702E9" w:rsidRDefault="0019262E">
            <w:pPr>
              <w:pStyle w:val="Normaltindrag"/>
              <w:ind w:firstLine="0"/>
            </w:pPr>
            <w:r w:rsidRPr="000702E9">
              <w:t>Centerpartiet</w:t>
            </w:r>
          </w:p>
        </w:tc>
        <w:tc>
          <w:tcPr>
            <w:tcW w:w="1279" w:type="dxa"/>
          </w:tcPr>
          <w:p w:rsidR="0019262E" w:rsidRPr="000702E9" w:rsidRDefault="0019262E">
            <w:pPr>
              <w:pStyle w:val="Normaltindrag"/>
              <w:ind w:firstLine="0"/>
              <w:jc w:val="right"/>
            </w:pPr>
            <w:r w:rsidRPr="000702E9">
              <w:t>=</w:t>
            </w:r>
          </w:p>
        </w:tc>
        <w:tc>
          <w:tcPr>
            <w:tcW w:w="1280" w:type="dxa"/>
          </w:tcPr>
          <w:p w:rsidR="0019262E" w:rsidRPr="000702E9" w:rsidRDefault="0019262E">
            <w:pPr>
              <w:pStyle w:val="Normaltindrag"/>
              <w:ind w:firstLine="0"/>
              <w:jc w:val="right"/>
            </w:pPr>
            <w:r w:rsidRPr="000702E9">
              <w:t>=</w:t>
            </w:r>
          </w:p>
        </w:tc>
        <w:tc>
          <w:tcPr>
            <w:tcW w:w="1280" w:type="dxa"/>
          </w:tcPr>
          <w:p w:rsidR="0019262E" w:rsidRPr="000702E9" w:rsidRDefault="0019262E">
            <w:pPr>
              <w:pStyle w:val="Normaltindrag"/>
              <w:ind w:firstLine="0"/>
              <w:jc w:val="right"/>
            </w:pPr>
            <w:r w:rsidRPr="000702E9">
              <w:t>=</w:t>
            </w:r>
          </w:p>
        </w:tc>
      </w:tr>
      <w:tr w:rsidR="00000000" w:rsidRPr="000702E9">
        <w:tblPrEx>
          <w:tblCellMar>
            <w:top w:w="0" w:type="dxa"/>
            <w:bottom w:w="0" w:type="dxa"/>
          </w:tblCellMar>
        </w:tblPrEx>
        <w:tc>
          <w:tcPr>
            <w:tcW w:w="2197" w:type="dxa"/>
          </w:tcPr>
          <w:p w:rsidR="0019262E" w:rsidRPr="000702E9" w:rsidRDefault="0019262E">
            <w:pPr>
              <w:pStyle w:val="Normaltindrag"/>
              <w:ind w:firstLine="0"/>
            </w:pPr>
            <w:r w:rsidRPr="000702E9">
              <w:t>Folkpartiet liberalerna</w:t>
            </w:r>
          </w:p>
        </w:tc>
        <w:tc>
          <w:tcPr>
            <w:tcW w:w="1279" w:type="dxa"/>
          </w:tcPr>
          <w:p w:rsidR="0019262E" w:rsidRPr="000702E9" w:rsidRDefault="0019262E">
            <w:pPr>
              <w:pStyle w:val="Normaltindrag"/>
              <w:ind w:firstLine="0"/>
              <w:jc w:val="right"/>
            </w:pPr>
            <w:r w:rsidRPr="000702E9">
              <w:t>=</w:t>
            </w:r>
          </w:p>
        </w:tc>
        <w:tc>
          <w:tcPr>
            <w:tcW w:w="1280" w:type="dxa"/>
          </w:tcPr>
          <w:p w:rsidR="0019262E" w:rsidRPr="000702E9" w:rsidRDefault="0019262E">
            <w:pPr>
              <w:pStyle w:val="Normaltindrag"/>
              <w:ind w:firstLine="0"/>
              <w:jc w:val="right"/>
            </w:pPr>
            <w:r w:rsidRPr="000702E9">
              <w:t>=</w:t>
            </w:r>
          </w:p>
        </w:tc>
        <w:tc>
          <w:tcPr>
            <w:tcW w:w="1280" w:type="dxa"/>
          </w:tcPr>
          <w:p w:rsidR="0019262E" w:rsidRPr="000702E9" w:rsidRDefault="0019262E">
            <w:pPr>
              <w:pStyle w:val="Normaltindrag"/>
              <w:ind w:firstLine="0"/>
              <w:jc w:val="right"/>
            </w:pPr>
            <w:r w:rsidRPr="000702E9">
              <w:t>+ 1 000</w:t>
            </w:r>
          </w:p>
        </w:tc>
      </w:tr>
    </w:tbl>
    <w:p w:rsidR="0019262E" w:rsidRPr="000702E9" w:rsidRDefault="0019262E">
      <w:r w:rsidRPr="000702E9">
        <w:rPr>
          <w:i/>
        </w:rPr>
        <w:t>Försvarsutskottet</w:t>
      </w:r>
      <w:r w:rsidRPr="000702E9">
        <w:t xml:space="preserve"> konstaterar att regeringens förslag till preliminära ramar för utgiftsområde 6 Totalförsvar utgår från den överenskommelse om fö</w:t>
      </w:r>
      <w:r w:rsidRPr="000702E9">
        <w:t>r</w:t>
      </w:r>
      <w:r w:rsidRPr="000702E9">
        <w:t>svarspolitiken som regeringen och Centerpartiet träffade i februari 1999. Förslaget i den ekonomiska vårpropositionen för åren 2000–2002 överen</w:t>
      </w:r>
      <w:r w:rsidRPr="000702E9">
        <w:t>s</w:t>
      </w:r>
      <w:r w:rsidRPr="000702E9">
        <w:t>stämmer med dem i</w:t>
      </w:r>
      <w:r w:rsidRPr="000702E9">
        <w:rPr>
          <w:i/>
        </w:rPr>
        <w:t xml:space="preserve"> proposition 1998/99:74 Förändrad omvärld – omdanat försvar</w:t>
      </w:r>
      <w:r w:rsidRPr="000702E9">
        <w:t xml:space="preserve">, där de ekonomiska riktlinjerna för totalförsvaret läggs fast för nästa försvarsbeslutsperiod. </w:t>
      </w:r>
    </w:p>
    <w:p w:rsidR="0019262E" w:rsidRPr="000702E9" w:rsidRDefault="0019262E">
      <w:pPr>
        <w:pStyle w:val="Normaltindrag"/>
      </w:pPr>
      <w:r w:rsidRPr="000702E9">
        <w:t>Försvarsutskottet anser att det i grunden gynnsamma säkerhetspoli</w:t>
      </w:r>
      <w:r w:rsidRPr="000702E9">
        <w:t>tiska l</w:t>
      </w:r>
      <w:r w:rsidRPr="000702E9">
        <w:t>ä</w:t>
      </w:r>
      <w:r w:rsidRPr="000702E9">
        <w:t xml:space="preserve">get för Sverige motiverar en sänkning av utgifterna för totalförsvarsändamål. </w:t>
      </w:r>
    </w:p>
    <w:p w:rsidR="0019262E" w:rsidRPr="000702E9" w:rsidRDefault="0019262E">
      <w:pPr>
        <w:pStyle w:val="Normaltindrag"/>
      </w:pPr>
      <w:r w:rsidRPr="000702E9">
        <w:t>Den hittills tillämpade försvarsplaneringen medför långsiktiga ekonomiska åtaganden t.ex. för personal, anläggningar och beställd försvarsmateriel. Förutsättningarna för att åstadkomma snabba kostnadsbesparingar är begrä</w:t>
      </w:r>
      <w:r w:rsidRPr="000702E9">
        <w:t>n</w:t>
      </w:r>
      <w:r w:rsidRPr="000702E9">
        <w:t>sade. Dessutom behöver de närtidsproblem och obalanser som uppkommit för Försvarsma</w:t>
      </w:r>
      <w:r w:rsidRPr="000702E9">
        <w:t>k</w:t>
      </w:r>
      <w:r w:rsidRPr="000702E9">
        <w:t xml:space="preserve">ten hanteras. Ett omställningsbidrag behövs därför. </w:t>
      </w:r>
    </w:p>
    <w:p w:rsidR="0019262E" w:rsidRPr="000702E9" w:rsidRDefault="0019262E">
      <w:pPr>
        <w:pStyle w:val="Normaltindrag"/>
      </w:pPr>
      <w:r w:rsidRPr="000702E9">
        <w:t>Regeringen kommer att vidta ett antal åtgärder för att minska utgiftstrycket för Försvarsmakten, bl.a. genom att reducera värnplikts- och civilpliktsvol</w:t>
      </w:r>
      <w:r w:rsidRPr="000702E9">
        <w:t>y</w:t>
      </w:r>
      <w:r w:rsidRPr="000702E9">
        <w:t>merna, senarelägga materielleveranser m.m. Genom ett omställningsbidrag bör likviditetsproblemen i närtid kunna i huvudsak bemästras. Utskottet kan därför ställa sig bakom förslaget att inriktningen bör vara att ramen för tota</w:t>
      </w:r>
      <w:r w:rsidRPr="000702E9">
        <w:t>l</w:t>
      </w:r>
      <w:r w:rsidRPr="000702E9">
        <w:t>försvarsutgifterna sänks med början år 2002.</w:t>
      </w:r>
    </w:p>
    <w:p w:rsidR="0019262E" w:rsidRPr="000702E9" w:rsidRDefault="0019262E">
      <w:pPr>
        <w:pStyle w:val="Normaltindrag"/>
      </w:pPr>
      <w:r w:rsidRPr="000702E9">
        <w:t>Försvarsutskottet anser sålunda att riksdagen bör bifalla regeringens fö</w:t>
      </w:r>
      <w:r w:rsidRPr="000702E9">
        <w:t>r</w:t>
      </w:r>
      <w:r w:rsidRPr="000702E9">
        <w:t xml:space="preserve">slag till preliminära ramar för år 2000–2002 och bifalla motion Fi 16 yrkande 23 i denna del. </w:t>
      </w:r>
    </w:p>
    <w:p w:rsidR="0019262E" w:rsidRPr="000702E9" w:rsidRDefault="0019262E">
      <w:pPr>
        <w:pStyle w:val="Normaltindrag"/>
      </w:pPr>
      <w:r w:rsidRPr="000702E9">
        <w:t>Moderata samlingspartiets (Fi14 yrkande 5), Kristdemokraternas (Fi15 y</w:t>
      </w:r>
      <w:r w:rsidRPr="000702E9">
        <w:t>r</w:t>
      </w:r>
      <w:r w:rsidRPr="000702E9">
        <w:t>kande 4) och Folkpartiet liberalernas (Fi17 yrkande 4) motioner bör i denna del avslås.</w:t>
      </w:r>
    </w:p>
    <w:p w:rsidR="0019262E" w:rsidRPr="000702E9" w:rsidRDefault="0019262E">
      <w:pPr>
        <w:pStyle w:val="Stockholm"/>
        <w:rPr>
          <w:b/>
          <w:sz w:val="28"/>
        </w:rPr>
      </w:pPr>
    </w:p>
    <w:p w:rsidR="0019262E" w:rsidRPr="000702E9" w:rsidRDefault="0019262E">
      <w:pPr>
        <w:pStyle w:val="Stockholm"/>
        <w:spacing w:before="0"/>
      </w:pPr>
      <w:r w:rsidRPr="000702E9">
        <w:t>Stockholm den 6 maj 1999</w:t>
      </w:r>
    </w:p>
    <w:p w:rsidR="0019262E" w:rsidRPr="000702E9" w:rsidRDefault="0019262E">
      <w:pPr>
        <w:pStyle w:val="Vgnar"/>
      </w:pPr>
      <w:r w:rsidRPr="000702E9">
        <w:t>På försvarsutskottets vägnar</w:t>
      </w:r>
    </w:p>
    <w:p w:rsidR="0019262E" w:rsidRPr="000702E9" w:rsidRDefault="0019262E">
      <w:pPr>
        <w:spacing w:before="0"/>
      </w:pPr>
    </w:p>
    <w:p w:rsidR="0019262E" w:rsidRPr="000702E9" w:rsidRDefault="0019262E">
      <w:pPr>
        <w:pStyle w:val="Ordfnamn"/>
      </w:pPr>
      <w:bookmarkStart w:id="25" w:name="Ordförande"/>
      <w:bookmarkEnd w:id="25"/>
      <w:r w:rsidRPr="000702E9">
        <w:t xml:space="preserve">Henrik Landerholm </w:t>
      </w:r>
    </w:p>
    <w:p w:rsidR="0019262E" w:rsidRPr="000702E9" w:rsidRDefault="0019262E">
      <w:pPr>
        <w:pStyle w:val="Normaltindrag"/>
      </w:pPr>
    </w:p>
    <w:p w:rsidR="0019262E" w:rsidRPr="000702E9" w:rsidRDefault="0019262E">
      <w:pPr>
        <w:pStyle w:val="Deltagare"/>
        <w:spacing w:before="123"/>
      </w:pPr>
      <w:bookmarkStart w:id="26" w:name="Deltagare"/>
      <w:bookmarkEnd w:id="26"/>
      <w:r w:rsidRPr="000702E9">
        <w:t>I beslutet har deltagit: Henrik Landerholm (m), Tone Tingsgård (s), Christer Skoog (s), Karin Wegestål (s), Stig Sandström (v), Åke Carnerö (kd), Olle Lindström (m), Rolf Gunnarsson (m), Ola Rask (s), Håkan Juholt (s), Berit Jóhannesson (v), Margareta Viklund (kd), Anna Lilliehöök (m), Lars Ån</w:t>
      </w:r>
      <w:r w:rsidRPr="000702E9">
        <w:t>g</w:t>
      </w:r>
      <w:r w:rsidRPr="000702E9">
        <w:t>ström (mp), Erik Arthur Egervärn (c), Runar Patriksson (fp) och  Berndt Sköldestig (s).</w:t>
      </w:r>
    </w:p>
    <w:p w:rsidR="0019262E" w:rsidRPr="000702E9" w:rsidRDefault="0019262E">
      <w:pPr>
        <w:pStyle w:val="Rubrik1"/>
      </w:pPr>
    </w:p>
    <w:p w:rsidR="0019262E" w:rsidRPr="000702E9" w:rsidRDefault="0019262E">
      <w:pPr>
        <w:pStyle w:val="Rubrik1"/>
        <w:spacing w:before="0"/>
      </w:pPr>
      <w:r w:rsidRPr="000702E9">
        <w:br w:type="page"/>
      </w:r>
      <w:bookmarkStart w:id="27" w:name="_Toc450721873"/>
      <w:r w:rsidRPr="000702E9">
        <w:t>Avvikande meningar</w:t>
      </w:r>
      <w:bookmarkEnd w:id="27"/>
    </w:p>
    <w:p w:rsidR="0019262E" w:rsidRPr="000702E9" w:rsidRDefault="0019262E">
      <w:r w:rsidRPr="000702E9">
        <w:t>1. Henrik Landerholm, Olle Lindström, Rolf Gunnarsson och Anna Lilli</w:t>
      </w:r>
      <w:r w:rsidRPr="000702E9">
        <w:t>e</w:t>
      </w:r>
      <w:r w:rsidRPr="000702E9">
        <w:t>höök (alla m) anför:</w:t>
      </w:r>
    </w:p>
    <w:p w:rsidR="0019262E" w:rsidRPr="000702E9" w:rsidRDefault="0019262E">
      <w:r w:rsidRPr="000702E9">
        <w:t>Anslagen till Försvarsmakten är otillräckliga för att verksamheten skall ku</w:t>
      </w:r>
      <w:r w:rsidRPr="000702E9">
        <w:t>n</w:t>
      </w:r>
      <w:r w:rsidRPr="000702E9">
        <w:t>na bedrivas på ett ansvarsfullt sätt. Det föreligger en allvarlig likviditetsbrist även för år 2000. Försvarsmakten bör därför engångsvis kompenseras för den köpkraftsindragning som – i strid med riksdagens tidigare uttalanden – ske</w:t>
      </w:r>
      <w:r w:rsidRPr="000702E9">
        <w:t>d</w:t>
      </w:r>
      <w:r w:rsidRPr="000702E9">
        <w:t xml:space="preserve">de vid övergången till en full tillämpning av anslagsförordningen. Därutöver bör anslagen till materielanskaffning även fortsättningsvis räknas upp med den s.k. teknikfaktorn. De preliminära ramarna bör räknas upp med 3, 2,1 resp. 1,5 miljarder kronor under de tre åren jämfört </w:t>
      </w:r>
      <w:r w:rsidRPr="000702E9">
        <w:t>med regeringens förslag. Vidare bör anslaget A 2 Fredsfrämjande truppinsatser i sin helhet föras över till utgiftsområde 7 Internationellt bistånd. Moderata samlingspartiets förslag innebär att försvarets ekonomi sammantaget förstärks med ca. 7 miljarder kronor under tr</w:t>
      </w:r>
      <w:r w:rsidRPr="000702E9">
        <w:t>e</w:t>
      </w:r>
      <w:r w:rsidRPr="000702E9">
        <w:t xml:space="preserve">årsperioden 2000–2002. </w:t>
      </w:r>
    </w:p>
    <w:p w:rsidR="0019262E" w:rsidRPr="000702E9" w:rsidRDefault="0019262E"/>
    <w:p w:rsidR="0019262E" w:rsidRPr="000702E9" w:rsidRDefault="0019262E">
      <w:pPr>
        <w:spacing w:before="0"/>
      </w:pPr>
      <w:r w:rsidRPr="000702E9">
        <w:t>2. Åke Carnerö och Margareta Viklund (båda kd) anför:</w:t>
      </w:r>
    </w:p>
    <w:p w:rsidR="0019262E" w:rsidRPr="000702E9" w:rsidRDefault="0019262E">
      <w:r w:rsidRPr="000702E9">
        <w:t>De ekonomiska ramar som regeringen och Centerpartiet kommit överens om innebär dramatiska nedskärningar för Försvarsmakten. Kristdemokraterna kan inte medverka till ett sådant beslut i ett läge där konsekvenserna inte kan överblickas. Stora nedskärningar i ett läge när Försvarsmaktens ekonomi utsatts för enorma påfrestningar och instabila regler ger ingen trovärdighet åt viljan att utforma ett nytt försvar. För att lösa Försvarsmaktens akuta likv</w:t>
      </w:r>
      <w:r w:rsidRPr="000702E9">
        <w:t>i</w:t>
      </w:r>
      <w:r w:rsidRPr="000702E9">
        <w:t>ditetsproblem, undvika materielförstöring och en oordnad planeringsprocess avsätts 1,7 miljarder kronor för återstoden av innevarande försvarsbeslutsp</w:t>
      </w:r>
      <w:r w:rsidRPr="000702E9">
        <w:t>e</w:t>
      </w:r>
      <w:r w:rsidRPr="000702E9">
        <w:t>riod. År 2002, som är första året på nästa försvarsbeslutsperiod, tillförs 1 miljard kronor. För att höja dagersättningen för de totalförsvarspliktiga och förstärka Kustbevakningens resurser för gränskontroll och miljöskydd till sjöss avsätts sammanlagt 90 miljoner kronor år 2000.</w:t>
      </w:r>
    </w:p>
    <w:p w:rsidR="0019262E" w:rsidRPr="000702E9" w:rsidRDefault="0019262E"/>
    <w:p w:rsidR="0019262E" w:rsidRPr="000702E9" w:rsidRDefault="0019262E">
      <w:pPr>
        <w:spacing w:before="0"/>
      </w:pPr>
      <w:r w:rsidRPr="000702E9">
        <w:t>3. Runar Patriksson (fp) anför:</w:t>
      </w:r>
    </w:p>
    <w:p w:rsidR="0019262E" w:rsidRPr="000702E9" w:rsidRDefault="0019262E">
      <w:r w:rsidRPr="000702E9">
        <w:t>Folkpartiet vill ha en rationalisering och modernisering av försvaret. För att klara en sådan omställningsprocess behöver omställningsbidraget vara 1 miljard större än regeringen räknar med år 2002. Även en minskning av antalet värnpliktiga ger utrymme för en större materielbudget.</w:t>
      </w:r>
    </w:p>
    <w:p w:rsidR="0019262E" w:rsidRPr="000702E9" w:rsidRDefault="0019262E"/>
    <w:p w:rsidR="0019262E" w:rsidRPr="000702E9" w:rsidRDefault="0019262E">
      <w:pPr>
        <w:pStyle w:val="Normaltindrag"/>
      </w:pPr>
      <w:bookmarkStart w:id="28" w:name="Nästa_Reservation"/>
      <w:bookmarkEnd w:id="28"/>
    </w:p>
    <w:p w:rsidR="0019262E" w:rsidRPr="000702E9" w:rsidRDefault="0019262E">
      <w:pPr>
        <w:pStyle w:val="Normaltindrag"/>
        <w:sectPr w:rsidR="00000000" w:rsidRPr="000702E9">
          <w:headerReference w:type="default" r:id="rId9"/>
          <w:footerReference w:type="default" r:id="rId10"/>
          <w:pgSz w:w="11906" w:h="16838" w:code="9"/>
          <w:pgMar w:top="567" w:right="4876" w:bottom="4508" w:left="1134" w:header="227" w:footer="227" w:gutter="0"/>
          <w:cols w:space="720"/>
        </w:sectPr>
      </w:pPr>
    </w:p>
    <w:p w:rsidR="0019262E" w:rsidRPr="000702E9" w:rsidRDefault="0019262E">
      <w:pPr>
        <w:pStyle w:val="Innehll"/>
        <w:outlineLvl w:val="1"/>
      </w:pPr>
      <w:r w:rsidRPr="000702E9">
        <w:t>Innehållsförteckning</w:t>
      </w:r>
    </w:p>
    <w:p w:rsidR="0019262E" w:rsidRPr="000702E9" w:rsidRDefault="0019262E">
      <w:pPr>
        <w:pStyle w:val="Innehll1"/>
        <w:rPr>
          <w:noProof/>
        </w:rPr>
      </w:pPr>
      <w:r w:rsidRPr="000702E9">
        <w:rPr>
          <w:noProof/>
        </w:rPr>
        <w:t>Till finansutskottet</w:t>
      </w:r>
      <w:r w:rsidRPr="000702E9">
        <w:rPr>
          <w:noProof/>
        </w:rPr>
        <w:tab/>
        <w:t>1</w:t>
      </w:r>
    </w:p>
    <w:p w:rsidR="0019262E" w:rsidRPr="000702E9" w:rsidRDefault="0019262E">
      <w:pPr>
        <w:pStyle w:val="Innehll1"/>
        <w:rPr>
          <w:noProof/>
        </w:rPr>
      </w:pPr>
      <w:r w:rsidRPr="000702E9">
        <w:rPr>
          <w:noProof/>
        </w:rPr>
        <w:t>Försvarsutskottet</w:t>
      </w:r>
      <w:r w:rsidRPr="000702E9">
        <w:rPr>
          <w:noProof/>
        </w:rPr>
        <w:tab/>
        <w:t>1</w:t>
      </w:r>
    </w:p>
    <w:p w:rsidR="0019262E" w:rsidRPr="000702E9" w:rsidRDefault="0019262E">
      <w:pPr>
        <w:pStyle w:val="Innehll2"/>
        <w:rPr>
          <w:noProof/>
        </w:rPr>
      </w:pPr>
      <w:r w:rsidRPr="000702E9">
        <w:rPr>
          <w:noProof/>
        </w:rPr>
        <w:t>Regeringen</w:t>
      </w:r>
      <w:r w:rsidRPr="000702E9">
        <w:rPr>
          <w:noProof/>
        </w:rPr>
        <w:tab/>
        <w:t>1</w:t>
      </w:r>
    </w:p>
    <w:p w:rsidR="0019262E" w:rsidRPr="000702E9" w:rsidRDefault="0019262E">
      <w:pPr>
        <w:pStyle w:val="Innehll2"/>
        <w:rPr>
          <w:noProof/>
        </w:rPr>
      </w:pPr>
      <w:r w:rsidRPr="000702E9">
        <w:rPr>
          <w:noProof/>
        </w:rPr>
        <w:t>Motionerna</w:t>
      </w:r>
      <w:r w:rsidRPr="000702E9">
        <w:rPr>
          <w:noProof/>
        </w:rPr>
        <w:tab/>
        <w:t>2</w:t>
      </w:r>
    </w:p>
    <w:p w:rsidR="0019262E" w:rsidRPr="000702E9" w:rsidRDefault="0019262E">
      <w:pPr>
        <w:pStyle w:val="Innehll2"/>
        <w:rPr>
          <w:noProof/>
        </w:rPr>
      </w:pPr>
      <w:r w:rsidRPr="000702E9">
        <w:rPr>
          <w:noProof/>
        </w:rPr>
        <w:t>Försvarsutskottets överväganden</w:t>
      </w:r>
      <w:r w:rsidRPr="000702E9">
        <w:rPr>
          <w:noProof/>
        </w:rPr>
        <w:tab/>
        <w:t>2</w:t>
      </w:r>
    </w:p>
    <w:p w:rsidR="0019262E" w:rsidRPr="000702E9" w:rsidRDefault="0019262E">
      <w:pPr>
        <w:pStyle w:val="Innehll1"/>
        <w:rPr>
          <w:noProof/>
        </w:rPr>
      </w:pPr>
      <w:r w:rsidRPr="000702E9">
        <w:rPr>
          <w:noProof/>
        </w:rPr>
        <w:t>Avvikande meningar</w:t>
      </w:r>
      <w:r w:rsidRPr="000702E9">
        <w:rPr>
          <w:noProof/>
        </w:rPr>
        <w:tab/>
        <w:t>4</w:t>
      </w:r>
    </w:p>
    <w:p w:rsidR="0019262E" w:rsidRPr="000702E9" w:rsidRDefault="0019262E"/>
    <w:p w:rsidR="0019262E" w:rsidRPr="000702E9" w:rsidRDefault="0019262E">
      <w:pPr>
        <w:pStyle w:val="Tryckort"/>
        <w:framePr w:wrap="around"/>
      </w:pPr>
      <w:r w:rsidRPr="000702E9">
        <w:t>Elanders Gotab, Stockholm  1999</w:t>
      </w:r>
    </w:p>
    <w:p w:rsidR="0019262E" w:rsidRPr="000702E9" w:rsidRDefault="0019262E">
      <w:pPr>
        <w:pStyle w:val="Normaltindrag"/>
      </w:pPr>
    </w:p>
    <w:sectPr w:rsidR="0019262E" w:rsidRPr="000702E9">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62E" w:rsidRDefault="0019262E">
      <w:pPr>
        <w:spacing w:before="0" w:line="240" w:lineRule="auto"/>
      </w:pPr>
      <w:r>
        <w:separator/>
      </w:r>
    </w:p>
  </w:endnote>
  <w:endnote w:type="continuationSeparator" w:id="0">
    <w:p w:rsidR="0019262E" w:rsidRDefault="0019262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2E" w:rsidRDefault="0019262E">
    <w:pPr>
      <w:pStyle w:val="SidfotH"/>
      <w:framePr w:wrap="around"/>
    </w:pPr>
    <w:r>
      <w:fldChar w:fldCharType="begin" w:fldLock="1"/>
    </w:r>
    <w:r>
      <w:instrText xml:space="preserve"> PAGE </w:instrText>
    </w:r>
    <w:r>
      <w:fldChar w:fldCharType="separate"/>
    </w:r>
    <w:r>
      <w:rPr>
        <w:noProof/>
      </w:rPr>
      <w:t>1</w:t>
    </w:r>
    <w:r>
      <w:fldChar w:fldCharType="end"/>
    </w:r>
  </w:p>
  <w:p w:rsidR="0019262E" w:rsidRDefault="001926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2E" w:rsidRDefault="0019262E">
    <w:pPr>
      <w:pStyle w:val="SidfotH"/>
      <w:framePr w:wrap="around"/>
    </w:pPr>
    <w:r>
      <w:fldChar w:fldCharType="begin" w:fldLock="1"/>
    </w:r>
    <w:r>
      <w:instrText xml:space="preserve"> PAGE </w:instrText>
    </w:r>
    <w:r>
      <w:fldChar w:fldCharType="separate"/>
    </w:r>
    <w:r>
      <w:rPr>
        <w:noProof/>
      </w:rPr>
      <w:t>5</w:t>
    </w:r>
    <w:r>
      <w:fldChar w:fldCharType="end"/>
    </w:r>
  </w:p>
  <w:p w:rsidR="0019262E" w:rsidRDefault="00192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62E" w:rsidRDefault="0019262E">
      <w:pPr>
        <w:pStyle w:val="Sidfot"/>
      </w:pPr>
    </w:p>
  </w:footnote>
  <w:footnote w:type="continuationSeparator" w:id="0">
    <w:p w:rsidR="0019262E" w:rsidRDefault="0019262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2E" w:rsidRDefault="0019262E">
    <w:pPr>
      <w:pStyle w:val="SidhuvudKant"/>
      <w:framePr w:w="1985" w:h="2743" w:hRule="exact" w:wrap="around" w:vAnchor="page" w:hAnchor="page" w:x="7372" w:y="568" w:anchorLock="0"/>
      <w:rPr>
        <w:noProof/>
      </w:rPr>
    </w:pPr>
    <w:r>
      <w:rPr>
        <w:noProof/>
      </w:rPr>
      <w:t>1998/99:FöU3y</w:t>
    </w:r>
  </w:p>
  <w:p w:rsidR="0019262E" w:rsidRDefault="0019262E">
    <w:pPr>
      <w:pStyle w:val="SidhuvudKantBilaga"/>
      <w:framePr w:w="1985" w:h="2743" w:hRule="exact" w:wrap="around" w:vAnchor="page" w:hAnchor="page" w:x="7372" w:y="568" w:anchorLock="0"/>
      <w:rPr>
        <w:noProof/>
      </w:rPr>
    </w:pPr>
  </w:p>
  <w:p w:rsidR="0019262E" w:rsidRDefault="0019262E">
    <w:pPr>
      <w:pStyle w:val="SidhuvudKant"/>
      <w:framePr w:w="1985" w:h="2743" w:hRule="exact" w:wrap="around" w:vAnchor="page" w:hAnchor="page" w:x="7372" w:y="568" w:anchorLock="0"/>
    </w:pPr>
  </w:p>
  <w:p w:rsidR="0019262E" w:rsidRDefault="001926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62E" w:rsidRDefault="0019262E">
    <w:pPr>
      <w:pStyle w:val="SidhuvudKant"/>
      <w:framePr w:w="1985" w:h="2743" w:hRule="exact" w:wrap="around" w:vAnchor="page" w:hAnchor="page" w:x="7372" w:y="568" w:anchorLock="0"/>
      <w:rPr>
        <w:noProof/>
      </w:rPr>
    </w:pPr>
    <w:r>
      <w:rPr>
        <w:noProof/>
      </w:rPr>
      <w:t>1998/99:FöU3y</w:t>
    </w:r>
  </w:p>
  <w:p w:rsidR="0019262E" w:rsidRDefault="0019262E">
    <w:pPr>
      <w:pStyle w:val="SidhuvudKantBilaga"/>
      <w:framePr w:w="1985" w:h="2743" w:hRule="exact" w:wrap="around" w:vAnchor="page" w:hAnchor="page" w:x="7372" w:y="568" w:anchorLock="0"/>
      <w:rPr>
        <w:noProof/>
      </w:rPr>
    </w:pPr>
  </w:p>
  <w:p w:rsidR="0019262E" w:rsidRDefault="0019262E">
    <w:pPr>
      <w:pStyle w:val="SidhuvudKant"/>
      <w:framePr w:w="1985" w:h="2743" w:hRule="exact" w:wrap="around" w:vAnchor="page" w:hAnchor="page" w:x="7372" w:y="568" w:anchorLock="0"/>
    </w:pPr>
  </w:p>
  <w:p w:rsidR="0019262E" w:rsidRDefault="0019262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9038D5"/>
    <w:rsid w:val="000702E9"/>
    <w:rsid w:val="0019262E"/>
    <w:rsid w:val="009038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2A186D-1E7D-4B9B-8EC8-EE3FD604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Underrubrik">
    <w:name w:val="Tabell Underrubrik"/>
    <w:basedOn w:val="Normal"/>
    <w:next w:val="Brdtext"/>
    <w:pPr>
      <w:spacing w:before="0" w:after="120" w:line="200" w:lineRule="exact"/>
      <w:jc w:val="left"/>
    </w:pPr>
    <w:rPr>
      <w:rFonts w:ascii="TradeGothic" w:hAnsi="TradeGothic"/>
      <w:i/>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7684</Characters>
  <Application>Microsoft Office Word</Application>
  <DocSecurity>4</DocSecurity>
  <Lines>213</Lines>
  <Paragraphs>109</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Försvarsutskottets yttrande</vt:lpstr>
      <vt:lpstr>Till finansutskottet</vt:lpstr>
      <vt:lpstr>Försvarsutskottet</vt:lpstr>
      <vt:lpstr>    Regeringen</vt:lpstr>
      <vt:lpstr>    Motionerna</vt:lpstr>
      <vt:lpstr>    Försvarsutskottets överväganden</vt:lpstr>
      <vt:lpstr/>
      <vt:lpstr>Avvikande meningar</vt:lpstr>
      <vt:lpstr>    Innehållsförteckning</vt:lpstr>
    </vt:vector>
  </TitlesOfParts>
  <Company>Riksdagen</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1999-05-07T12:59:00Z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