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71EA6">
        <w:trPr>
          <w:gridAfter w:val="2"/>
          <w:wAfter w:w="1758" w:type="dxa"/>
          <w:cantSplit/>
          <w:trHeight w:val="1320"/>
        </w:trPr>
        <w:tc>
          <w:tcPr>
            <w:tcW w:w="5897" w:type="dxa"/>
          </w:tcPr>
          <w:p w:rsidR="00671B06" w:rsidRPr="00471EA6" w:rsidRDefault="00671B06">
            <w:pPr>
              <w:pStyle w:val="HuvudRubrik"/>
            </w:pPr>
            <w:r w:rsidRPr="00471EA6">
              <w:t>Regeringskansliet</w:t>
            </w:r>
          </w:p>
          <w:p w:rsidR="00671B06" w:rsidRPr="00471EA6" w:rsidRDefault="00671B06">
            <w:pPr>
              <w:pStyle w:val="HuvudRubrik"/>
            </w:pPr>
            <w:r w:rsidRPr="00471EA6">
              <w:t>Faktapromemoria  2011/12:FPM161</w:t>
            </w:r>
          </w:p>
        </w:tc>
      </w:tr>
      <w:tr w:rsidR="00000000" w:rsidRPr="00471EA6">
        <w:trPr>
          <w:gridAfter w:val="2"/>
          <w:wAfter w:w="1758" w:type="dxa"/>
          <w:cantSplit/>
          <w:trHeight w:val="240"/>
        </w:trPr>
        <w:tc>
          <w:tcPr>
            <w:tcW w:w="5897" w:type="dxa"/>
          </w:tcPr>
          <w:p w:rsidR="00671B06" w:rsidRPr="00471EA6" w:rsidRDefault="00671B06">
            <w:pPr>
              <w:pStyle w:val="HuvudRubrik"/>
              <w:rPr>
                <w:sz w:val="28"/>
              </w:rPr>
            </w:pPr>
            <w:r w:rsidRPr="00471EA6">
              <w:t>Meddelande om de nationella strategierna för integrering av romer</w:t>
            </w:r>
          </w:p>
        </w:tc>
      </w:tr>
      <w:tr w:rsidR="00000000" w:rsidRPr="00471EA6">
        <w:trPr>
          <w:cantSplit/>
          <w:trHeight w:val="285"/>
        </w:trPr>
        <w:tc>
          <w:tcPr>
            <w:tcW w:w="7655" w:type="dxa"/>
            <w:gridSpan w:val="3"/>
          </w:tcPr>
          <w:p w:rsidR="00671B06" w:rsidRPr="00471EA6" w:rsidRDefault="00671B06">
            <w:pPr>
              <w:pStyle w:val="Departement"/>
              <w:rPr>
                <w:sz w:val="28"/>
              </w:rPr>
            </w:pPr>
            <w:r w:rsidRPr="00471EA6">
              <w:t>Arbetsmarknadsdepartementet</w:t>
            </w:r>
          </w:p>
        </w:tc>
      </w:tr>
      <w:tr w:rsidR="00000000" w:rsidRPr="00471EA6">
        <w:trPr>
          <w:cantSplit/>
          <w:trHeight w:val="240"/>
        </w:trPr>
        <w:tc>
          <w:tcPr>
            <w:tcW w:w="7655" w:type="dxa"/>
            <w:gridSpan w:val="3"/>
          </w:tcPr>
          <w:p w:rsidR="00671B06" w:rsidRPr="00471EA6" w:rsidRDefault="00671B06">
            <w:pPr>
              <w:pStyle w:val="Dokumentdatum"/>
            </w:pPr>
            <w:r w:rsidRPr="00471EA6">
              <w:t>2012-07-02</w:t>
            </w:r>
          </w:p>
        </w:tc>
      </w:tr>
      <w:tr w:rsidR="00000000" w:rsidRPr="00471EA6">
        <w:trPr>
          <w:cantSplit/>
          <w:trHeight w:val="726"/>
        </w:trPr>
        <w:tc>
          <w:tcPr>
            <w:tcW w:w="7655" w:type="dxa"/>
            <w:gridSpan w:val="3"/>
            <w:vAlign w:val="bottom"/>
          </w:tcPr>
          <w:p w:rsidR="00671B06" w:rsidRPr="00471EA6" w:rsidRDefault="00671B06">
            <w:pPr>
              <w:pStyle w:val="Dokumentbeteckning"/>
            </w:pPr>
            <w:r w:rsidRPr="00471EA6">
              <w:t>Dokumentbeteckning</w:t>
            </w:r>
          </w:p>
        </w:tc>
      </w:tr>
      <w:tr w:rsidR="00000000" w:rsidRPr="00471EA6">
        <w:trPr>
          <w:gridAfter w:val="1"/>
          <w:wAfter w:w="1560" w:type="dxa"/>
          <w:trHeight w:val="120"/>
        </w:trPr>
        <w:tc>
          <w:tcPr>
            <w:tcW w:w="6095" w:type="dxa"/>
            <w:gridSpan w:val="2"/>
          </w:tcPr>
          <w:p w:rsidR="00671B06" w:rsidRPr="00471EA6" w:rsidRDefault="00671B06">
            <w:bookmarkStart w:id="0" w:name="KomNr"/>
            <w:bookmarkEnd w:id="0"/>
            <w:r w:rsidRPr="00471EA6">
              <w:t>KOM(2012) 226 slutlig</w:t>
            </w:r>
          </w:p>
        </w:tc>
      </w:tr>
      <w:tr w:rsidR="00000000" w:rsidRPr="00471EA6">
        <w:trPr>
          <w:gridAfter w:val="1"/>
          <w:wAfter w:w="1560" w:type="dxa"/>
          <w:trHeight w:val="120"/>
        </w:trPr>
        <w:tc>
          <w:tcPr>
            <w:tcW w:w="6095" w:type="dxa"/>
            <w:gridSpan w:val="2"/>
          </w:tcPr>
          <w:p w:rsidR="00671B06" w:rsidRPr="00471EA6" w:rsidRDefault="00671B06">
            <w:pPr>
              <w:pStyle w:val="Dokumentbeteckning-titel"/>
            </w:pPr>
            <w:r w:rsidRPr="00471EA6">
              <w:t>Nationella strategier för integrering av romer: ett första steg i genomförandet av EU-ramen</w:t>
            </w:r>
          </w:p>
        </w:tc>
      </w:tr>
    </w:tbl>
    <w:p w:rsidR="00671B06" w:rsidRPr="00471EA6" w:rsidRDefault="00671B06"/>
    <w:p w:rsidR="00671B06" w:rsidRPr="00471EA6" w:rsidRDefault="00671B06">
      <w:pPr>
        <w:pStyle w:val="Rubrik1"/>
        <w:numPr>
          <w:ilvl w:val="0"/>
          <w:numId w:val="0"/>
        </w:numPr>
      </w:pPr>
      <w:r w:rsidRPr="00471EA6">
        <w:t>Sammanfattning</w:t>
      </w:r>
    </w:p>
    <w:p w:rsidR="00671B06" w:rsidRPr="00471EA6" w:rsidRDefault="00671B06">
      <w:r w:rsidRPr="00471EA6">
        <w:t xml:space="preserve">Kommissionen har den 21 maj 2012 presenterat ett meddelande i vilket de utvärderat medlemsstaternas nationella strategier för integrering av romer eller motsvarande </w:t>
      </w:r>
      <w:r w:rsidRPr="00471EA6">
        <w:t>uppsättning strategiska åtgärder inom ramen för sin politik för social integrering i bredare bemärkelse</w:t>
      </w:r>
      <w:r w:rsidRPr="00471EA6">
        <w:t>. Regeringen välkomnar kommissionens meddelande.</w:t>
      </w:r>
    </w:p>
    <w:p w:rsidR="00671B06" w:rsidRPr="00471EA6" w:rsidRDefault="00671B06">
      <w:pPr>
        <w:pStyle w:val="Rubrik1"/>
      </w:pPr>
      <w:r w:rsidRPr="00471EA6">
        <w:t>Förslaget</w:t>
      </w:r>
    </w:p>
    <w:p w:rsidR="00671B06" w:rsidRPr="00471EA6" w:rsidRDefault="00671B06">
      <w:pPr>
        <w:pStyle w:val="Rubrik2"/>
      </w:pPr>
      <w:r w:rsidRPr="00471EA6">
        <w:t>Ärendets bakgrund</w:t>
      </w:r>
    </w:p>
    <w:p w:rsidR="00671B06" w:rsidRPr="00471EA6" w:rsidRDefault="00671B06">
      <w:r w:rsidRPr="00471EA6">
        <w:t>Kommissionen presenterade den 5 april 2011 ett meddelande om en EU-ram för nationella strategier för integrering av romer fram till 2020 (FPM 2010/11:136). Kommissionen uppmanade i detta medlemsstaterna att till december 2011 på grundval av den romska befolkningens storlek i landet i fråga och landets utgångsläge anta eller utveckla redan befintliga nationella strategier för romers integrering. Kommissionen angav i meddelandet sin avsikt att införa ett system för övervakning för att mäta framstegen i medle</w:t>
      </w:r>
      <w:r w:rsidRPr="00471EA6">
        <w:t xml:space="preserve">msstaterna vad gäller integrering av romer och att årligen rapportera till Europaparlamentet och rådet om detta. </w:t>
      </w:r>
      <w:r w:rsidRPr="00471EA6">
        <w:t xml:space="preserve">I mars 2012 hade alla medlemsstater lagt fram en nationell strategi för integrering av romer eller en motsvarande uppsättning strategiska åtgärder inom ramen för sin politik för social integrering i bredare bemärkelse. Sverige hade överlämnat den av regeringen beslutade skrivelsen En samordnad och långsiktig strategi för romsk inkludering </w:t>
      </w:r>
      <w:r w:rsidRPr="00471EA6">
        <w:lastRenderedPageBreak/>
        <w:t xml:space="preserve">2012–2032 (skr. 2011/12:56). </w:t>
      </w:r>
      <w:r w:rsidRPr="00471EA6">
        <w:t>Kommissionen har den 21 maj 2</w:t>
      </w:r>
      <w:r w:rsidRPr="00471EA6">
        <w:t xml:space="preserve">012 presenterat ett meddelande i vilket de utvärderat medlemsstaternas nationella strategier för integrering av romer eller motsvarande </w:t>
      </w:r>
      <w:r w:rsidRPr="00471EA6">
        <w:t>uppsättning strategiska åtgärder inom ramen för sin politik för social integrering i bredare bemärkelse</w:t>
      </w:r>
      <w:r w:rsidRPr="00471EA6">
        <w:t>.</w:t>
      </w:r>
    </w:p>
    <w:p w:rsidR="00671B06" w:rsidRPr="00471EA6" w:rsidRDefault="00671B06">
      <w:pPr>
        <w:pStyle w:val="Rubrik2"/>
      </w:pPr>
      <w:r w:rsidRPr="00471EA6">
        <w:t>Förslagets innehåll</w:t>
      </w:r>
    </w:p>
    <w:p w:rsidR="00671B06" w:rsidRPr="00471EA6" w:rsidRDefault="00671B06">
      <w:r w:rsidRPr="00471EA6">
        <w:t xml:space="preserve">Kommissionens utvärdering är inriktad på att bedöma medlemsstaternas strategier när det gäller de fyra nyckelområdena utbildning, sysselsättning, hälso- och sjukvård och bostäder, och hur strukturella krav – samarbete med det civila samhället och regionala och lokala myndigheter samt övervakning, åtgärder mot diskriminering och inrättande av en nationell kontaktpunkt – och frågor om finansiering hanteras. </w:t>
      </w:r>
    </w:p>
    <w:p w:rsidR="00671B06" w:rsidRPr="00471EA6" w:rsidRDefault="00671B06">
      <w:r w:rsidRPr="00471EA6">
        <w:t>På grundval av utvärdering</w:t>
      </w:r>
      <w:bookmarkStart w:id="1" w:name="_GoBack"/>
      <w:bookmarkEnd w:id="1"/>
      <w:r w:rsidRPr="00471EA6">
        <w:t>en har kommissionen utformat en rad generella rekommendationer till medlemsstaterna för det fortsatta arbetet på varje nyckelområde. Kommissionen rekommenderar också bl.a. att medlemsstaterna bör fortsätta föra en fortlöpande dialog med kommissionen och berörda intressenter för att främja och övervaka det konkreta genomförandet av strategierna, involvera regionala och lokala myndigheter i genomförandet, uppmana det civila samhället att spela en aktiv roll och anslå tillräckliga resurser för genomförandet. K</w:t>
      </w:r>
      <w:r w:rsidRPr="00471EA6">
        <w:t xml:space="preserve">ommissionen avser att ha en närmare dialog med respektive medlemsstat och medlemsstaterna uppmanas också informera kommissionen om resultaten från övervakningen av genomförandet av sina respektive strategier. </w:t>
      </w:r>
    </w:p>
    <w:p w:rsidR="00671B06" w:rsidRPr="00471EA6" w:rsidRDefault="00671B06">
      <w:r w:rsidRPr="00471EA6">
        <w:t>EU:s byrå för grundläggande rättigheter kommer att ha ett nära samarbete med medlemsstaterna för att hjälpa dem att utveckla tillförlitliga nationella övervakningssystem. Kommissionen kommer att stödja insatserna för att mobilisera den kapacitet som finns inom medlemsstaterna genom att inrätta ett nät</w:t>
      </w:r>
      <w:r w:rsidRPr="00471EA6">
        <w:t xml:space="preserve">verk av nationella kontaktpunkter i alla medlemsstater. I samband med rapporteringen 2013 om tillämpningen av </w:t>
      </w:r>
      <w:r w:rsidRPr="00471EA6">
        <w:t xml:space="preserve">Rådets direktiv 2000/43/EG av den 29 juni 2000 om genomförandet av principen om likabehandling av personer oavsett deras ras eller etniska ursprung </w:t>
      </w:r>
      <w:r w:rsidRPr="00471EA6">
        <w:rPr>
          <w:rStyle w:val="Fotnotsreferens"/>
        </w:rPr>
        <w:footnoteReference w:id="1"/>
      </w:r>
      <w:r w:rsidRPr="00471EA6">
        <w:t xml:space="preserve"> kommer kommissionen att ta upp rättsliga frågor med särskild betoning på aspekter som är av relevans för integreringen av romer.</w:t>
      </w:r>
    </w:p>
    <w:p w:rsidR="00671B06" w:rsidRPr="00471EA6" w:rsidRDefault="00671B06">
      <w:pPr>
        <w:pStyle w:val="Rubrik2"/>
      </w:pPr>
      <w:r w:rsidRPr="00471EA6">
        <w:t>Gällande svenska regler och förslagets effekt på dessa</w:t>
      </w:r>
    </w:p>
    <w:p w:rsidR="00671B06" w:rsidRPr="00471EA6" w:rsidRDefault="00671B06">
      <w:r w:rsidRPr="00471EA6">
        <w:t>Kommissionens meddelande innehåller inga förslag till lagtexter.</w:t>
      </w:r>
    </w:p>
    <w:p w:rsidR="00671B06" w:rsidRPr="00471EA6" w:rsidRDefault="00671B06">
      <w:pPr>
        <w:pStyle w:val="Rubrik2"/>
      </w:pPr>
      <w:r w:rsidRPr="00471EA6">
        <w:t>Budgetära konsekvenser / Konsekvensanalys</w:t>
      </w:r>
    </w:p>
    <w:p w:rsidR="00671B06" w:rsidRPr="00471EA6" w:rsidRDefault="00671B06">
      <w:r w:rsidRPr="00471EA6">
        <w:t xml:space="preserve">Inga budgetära konsekvenser. En budgetär analys bör vid behov tas fram mot bakgrund av kommissionens meddelande. </w:t>
      </w:r>
    </w:p>
    <w:p w:rsidR="00671B06" w:rsidRPr="00471EA6" w:rsidRDefault="00671B06">
      <w:pPr>
        <w:pStyle w:val="Rubrik1"/>
      </w:pPr>
      <w:r w:rsidRPr="00471EA6">
        <w:t>Ståndpunkter</w:t>
      </w:r>
    </w:p>
    <w:p w:rsidR="00671B06" w:rsidRPr="00471EA6" w:rsidRDefault="00671B06">
      <w:pPr>
        <w:pStyle w:val="Rubrik2"/>
      </w:pPr>
      <w:r w:rsidRPr="00471EA6">
        <w:t>Preliminär svensk ståndpunkt</w:t>
      </w:r>
    </w:p>
    <w:p w:rsidR="00671B06" w:rsidRPr="00471EA6" w:rsidRDefault="00671B06">
      <w:r w:rsidRPr="00471EA6">
        <w:t xml:space="preserve">Regeringen välkomnar kommissionens meddelande om Nationella strategier för integrering av romer: ett första steg i genomförandet av EU-ramen. Regeringen anser att det är viktigt att kommissionen följer upp och analyserar medlemsstaternas nationella strategier eller motsvarande </w:t>
      </w:r>
      <w:r w:rsidRPr="00471EA6">
        <w:t>uppsättning strategiska åtgärder inom ramen för sin politik för social integrering i bredare bemärkelse</w:t>
      </w:r>
      <w:r w:rsidRPr="00471EA6">
        <w:t xml:space="preserve">. Det är angeläget att fortsatt hålla frågan om romers inkludering högt på den politiska dagordningen då romer är en särskilt utsatt grupp i Europa när det gäller diskriminering samt social och ekonomisk exkludering. </w:t>
      </w:r>
    </w:p>
    <w:p w:rsidR="00671B06" w:rsidRPr="00471EA6" w:rsidRDefault="00671B06">
      <w:r w:rsidRPr="00471EA6">
        <w:t>Medlemsstaterna har huvudansvaret för romers inkludering. Kommissionens arbete med att stötta medlemsstaterna och att årligen rapportera till Europaparlamentet och rådet om utvecklingen i med</w:t>
      </w:r>
      <w:r w:rsidRPr="00471EA6">
        <w:t>lemsstaterna är dock ett viktigt komplement till medlemsstaternas arbete.</w:t>
      </w:r>
    </w:p>
    <w:p w:rsidR="00671B06" w:rsidRPr="00471EA6" w:rsidRDefault="00671B06">
      <w:pPr>
        <w:rPr>
          <w:szCs w:val="24"/>
        </w:rPr>
      </w:pPr>
      <w:r w:rsidRPr="00471EA6">
        <w:rPr>
          <w:szCs w:val="24"/>
        </w:rPr>
        <w:t>Regeringen anser att det är betydelsefullt för den fortsatta processen att kommissionen för en nära dialog med medlemsstaterna om deras strategier eftersom medlemsstaterna har olika välfärdssystem och situationen för romer skiljer sig i de olika medlemsstaterna.</w:t>
      </w:r>
    </w:p>
    <w:p w:rsidR="00671B06" w:rsidRPr="00471EA6" w:rsidRDefault="00671B06">
      <w:r w:rsidRPr="00471EA6">
        <w:t xml:space="preserve">Regeringen verkar för att arbetet med romers inkludering bör utgå från de mänskliga rättigheterna med särskild betoning på principen om icke-diskriminering och jämställdhet. Regeringen anser också att romska barns situation särskilt ska beaktas med utgångspunkt i FN:s konvention om barnets rättigheter inom alla frågor som berör barn. Antiziganism och intolerans mot personer som tillhör minoriteter är oacceptabelt. </w:t>
      </w:r>
    </w:p>
    <w:p w:rsidR="00671B06" w:rsidRPr="00471EA6" w:rsidRDefault="00671B06">
      <w:pPr>
        <w:pStyle w:val="Rubrik2"/>
      </w:pPr>
      <w:r w:rsidRPr="00471EA6">
        <w:t>Medlemsstaternas ståndpunkter</w:t>
      </w:r>
    </w:p>
    <w:p w:rsidR="00671B06" w:rsidRPr="00471EA6" w:rsidRDefault="00671B06">
      <w:r w:rsidRPr="00471EA6">
        <w:t xml:space="preserve">Medlemsstaternas ståndpunkter är ännu inte kända. </w:t>
      </w:r>
    </w:p>
    <w:p w:rsidR="00671B06" w:rsidRPr="00471EA6" w:rsidRDefault="00671B06">
      <w:pPr>
        <w:pStyle w:val="Rubrik2"/>
      </w:pPr>
      <w:r w:rsidRPr="00471EA6">
        <w:t>Institutionernas ståndpunkter</w:t>
      </w:r>
    </w:p>
    <w:p w:rsidR="00671B06" w:rsidRPr="00471EA6" w:rsidRDefault="00671B06">
      <w:r w:rsidRPr="00471EA6">
        <w:t>Institutionernas ståndpunkter är ännu inte kända.</w:t>
      </w:r>
    </w:p>
    <w:p w:rsidR="00671B06" w:rsidRPr="00471EA6" w:rsidRDefault="00671B06">
      <w:pPr>
        <w:pStyle w:val="Rubrik2"/>
      </w:pPr>
      <w:r w:rsidRPr="00471EA6">
        <w:t>Remissinstansernas ståndpunkter</w:t>
      </w:r>
    </w:p>
    <w:p w:rsidR="00671B06" w:rsidRPr="00471EA6" w:rsidRDefault="00671B06">
      <w:r w:rsidRPr="00471EA6">
        <w:t>Meddelandet har inte skickats ut på remiss.</w:t>
      </w:r>
    </w:p>
    <w:p w:rsidR="00671B06" w:rsidRPr="00471EA6" w:rsidRDefault="00671B06">
      <w:pPr>
        <w:pStyle w:val="Rubrik1"/>
      </w:pPr>
      <w:r w:rsidRPr="00471EA6">
        <w:t>Förslagets förutsättningar</w:t>
      </w:r>
    </w:p>
    <w:p w:rsidR="00671B06" w:rsidRPr="00471EA6" w:rsidRDefault="00671B06">
      <w:pPr>
        <w:pStyle w:val="Rubrik2"/>
      </w:pPr>
      <w:r w:rsidRPr="00471EA6">
        <w:t>Rättslig grund och beslutsförfarande</w:t>
      </w:r>
    </w:p>
    <w:p w:rsidR="00671B06" w:rsidRPr="00471EA6" w:rsidRDefault="00671B06">
      <w:r w:rsidRPr="00471EA6">
        <w:t>Ej tillämpligt då meddelandet inte innehåller lagförslag.</w:t>
      </w:r>
    </w:p>
    <w:p w:rsidR="00671B06" w:rsidRPr="00471EA6" w:rsidRDefault="00671B06">
      <w:pPr>
        <w:pStyle w:val="Rubrik2"/>
      </w:pPr>
      <w:r w:rsidRPr="00471EA6">
        <w:t>Subsidiaritets- och proportionalitetsprincipen</w:t>
      </w:r>
    </w:p>
    <w:p w:rsidR="00671B06" w:rsidRPr="00471EA6" w:rsidRDefault="00671B06">
      <w:r w:rsidRPr="00471EA6">
        <w:t>Ej tillämpligt då meddelandet inte innehåller lagförslag.</w:t>
      </w:r>
    </w:p>
    <w:p w:rsidR="00671B06" w:rsidRPr="00471EA6" w:rsidRDefault="00671B06">
      <w:pPr>
        <w:pStyle w:val="Rubrik1"/>
      </w:pPr>
      <w:r w:rsidRPr="00471EA6">
        <w:t>Övrigt</w:t>
      </w:r>
    </w:p>
    <w:p w:rsidR="00671B06" w:rsidRPr="00471EA6" w:rsidRDefault="00671B06">
      <w:pPr>
        <w:pStyle w:val="Rubrik2"/>
      </w:pPr>
      <w:r w:rsidRPr="00471EA6">
        <w:t>Fortsatt behandling av ärendet</w:t>
      </w:r>
    </w:p>
    <w:p w:rsidR="00671B06" w:rsidRPr="00471EA6" w:rsidRDefault="00671B06">
      <w:r w:rsidRPr="00471EA6">
        <w:t>Kommissionen kommer att fortsätta utveckla dialogen med medlemsstaterna. Kommissionen kommer även fortsatt utveckla ett system för övervakning för att mäta framstegen i medlemsstaterna vad gäller integrering av romer och årligen rapportera till Europaparlamentet och rådet om detta.</w:t>
      </w:r>
    </w:p>
    <w:p w:rsidR="00671B06" w:rsidRPr="00471EA6" w:rsidRDefault="00671B06">
      <w:pPr>
        <w:pStyle w:val="Rubrik2"/>
      </w:pPr>
      <w:r w:rsidRPr="00471EA6">
        <w:t>Fackuttryck/termer</w:t>
      </w:r>
    </w:p>
    <w:p w:rsidR="00671B06" w:rsidRPr="00471EA6" w:rsidRDefault="00671B06">
      <w:r w:rsidRPr="00471EA6">
        <w:t xml:space="preserve">Termen romer används som ett paraplybegrepp som inbegriper folkgrupper med mer eller mindre liknande kulturella kännetecken, såsom sinti, resande, kaale etc., oavsett om de är bofasta eller inte. Cirka 80 % av romerna uppskattas vara bofasta. </w:t>
      </w:r>
    </w:p>
    <w:p w:rsidR="00671B06" w:rsidRPr="00471EA6" w:rsidRDefault="00671B06"/>
    <w:sectPr w:rsidR="00671B06" w:rsidRPr="00471EA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B06" w:rsidRPr="00471EA6" w:rsidRDefault="00671B06">
      <w:r w:rsidRPr="00471EA6">
        <w:separator/>
      </w:r>
    </w:p>
  </w:endnote>
  <w:endnote w:type="continuationSeparator" w:id="0">
    <w:p w:rsidR="00671B06" w:rsidRPr="00471EA6" w:rsidRDefault="00671B06">
      <w:r w:rsidRPr="00471E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B06" w:rsidRPr="00471EA6" w:rsidRDefault="00671B0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B06" w:rsidRPr="00471EA6" w:rsidRDefault="00671B06">
    <w:pPr>
      <w:pStyle w:val="SidfotH"/>
      <w:framePr w:wrap="around"/>
    </w:pPr>
    <w:r w:rsidRPr="00471EA6">
      <w:fldChar w:fldCharType="begin" w:fldLock="1"/>
    </w:r>
    <w:r w:rsidRPr="00471EA6">
      <w:instrText xml:space="preserve"> PAGE </w:instrText>
    </w:r>
    <w:r w:rsidRPr="00471EA6">
      <w:fldChar w:fldCharType="separate"/>
    </w:r>
    <w:r w:rsidRPr="00471EA6">
      <w:t>4</w:t>
    </w:r>
    <w:r w:rsidRPr="00471EA6">
      <w:fldChar w:fldCharType="end"/>
    </w:r>
  </w:p>
  <w:p w:rsidR="00671B06" w:rsidRPr="00471EA6" w:rsidRDefault="00671B0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B06" w:rsidRPr="00471EA6" w:rsidRDefault="00671B06">
    <w:pPr>
      <w:pStyle w:val="SidfotH"/>
      <w:framePr w:wrap="around"/>
    </w:pPr>
    <w:r w:rsidRPr="00471EA6">
      <w:fldChar w:fldCharType="begin" w:fldLock="1"/>
    </w:r>
    <w:r w:rsidRPr="00471EA6">
      <w:instrText xml:space="preserve"> PAGE </w:instrText>
    </w:r>
    <w:r w:rsidRPr="00471EA6">
      <w:fldChar w:fldCharType="separate"/>
    </w:r>
    <w:r w:rsidRPr="00471EA6">
      <w:t>1</w:t>
    </w:r>
    <w:r w:rsidRPr="00471EA6">
      <w:fldChar w:fldCharType="end"/>
    </w:r>
  </w:p>
  <w:p w:rsidR="00671B06" w:rsidRPr="00471EA6" w:rsidRDefault="00671B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B06" w:rsidRPr="00471EA6" w:rsidRDefault="00671B06">
      <w:r w:rsidRPr="00471EA6">
        <w:separator/>
      </w:r>
    </w:p>
  </w:footnote>
  <w:footnote w:type="continuationSeparator" w:id="0">
    <w:p w:rsidR="00671B06" w:rsidRPr="00471EA6" w:rsidRDefault="00671B06">
      <w:r w:rsidRPr="00471EA6">
        <w:continuationSeparator/>
      </w:r>
    </w:p>
  </w:footnote>
  <w:footnote w:id="1">
    <w:p w:rsidR="00671B06" w:rsidRPr="00471EA6" w:rsidRDefault="00671B06">
      <w:pPr>
        <w:pStyle w:val="Fotnotstext"/>
      </w:pPr>
      <w:r w:rsidRPr="00471EA6">
        <w:rPr>
          <w:rStyle w:val="Fotnotsreferens"/>
        </w:rPr>
        <w:footnoteRef/>
      </w:r>
      <w:r w:rsidRPr="00471EA6">
        <w:t xml:space="preserve"> EGT L 180, 19.7.2000</w:t>
      </w:r>
      <w:r w:rsidRPr="00471EA6">
        <w:rPr>
          <w:lang w:eastAsia="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B06" w:rsidRPr="00471EA6" w:rsidRDefault="00671B0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B06" w:rsidRPr="00471EA6" w:rsidRDefault="00671B06">
    <w:pPr>
      <w:pStyle w:val="Kantrubrik"/>
      <w:framePr w:h="1157" w:hRule="exact" w:wrap="around" w:y="738"/>
    </w:pPr>
    <w:r w:rsidRPr="00471EA6">
      <w:t>2011/12:FPM161</w:t>
    </w:r>
  </w:p>
  <w:p w:rsidR="00671B06" w:rsidRPr="00471EA6" w:rsidRDefault="00671B0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B06" w:rsidRPr="00471EA6" w:rsidRDefault="00471EA6">
    <w:pPr>
      <w:pStyle w:val="Sidhuvud"/>
    </w:pPr>
    <w:r w:rsidRPr="00471EA6">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1B06" w:rsidRDefault="00671B0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65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71B06" w:rsidRDefault="00671B06">
                    <w:pPr>
                      <w:pStyle w:val="Logo"/>
                    </w:pPr>
                    <w:r>
                      <w:object w:dxaOrig="840" w:dyaOrig="1545">
                        <v:shape id="_x0000_i1025" type="#_x0000_t75" style="width:42pt;height:77.15pt" filled="t">
                          <v:imagedata r:id="rId1" o:title=""/>
                        </v:shape>
                        <o:OLEObject Type="Embed" ProgID="Word.Picture.8" ShapeID="_x0000_i1025" DrawAspect="Content" ObjectID="_182751665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720516297">
    <w:abstractNumId w:val="4"/>
  </w:num>
  <w:num w:numId="2" w16cid:durableId="833296317">
    <w:abstractNumId w:val="1"/>
  </w:num>
  <w:num w:numId="3" w16cid:durableId="1923836066">
    <w:abstractNumId w:val="2"/>
  </w:num>
  <w:num w:numId="4" w16cid:durableId="1289894540">
    <w:abstractNumId w:val="3"/>
  </w:num>
  <w:num w:numId="5" w16cid:durableId="1082917639">
    <w:abstractNumId w:val="5"/>
  </w:num>
  <w:num w:numId="6" w16cid:durableId="135935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7-02"/>
    <w:docVar w:name="Ar" w:val="2011/12"/>
    <w:docVar w:name="Dep" w:val="Arbetsmarknadsdepartementet"/>
    <w:docVar w:name="DepWeb" w:val="Arbetsmarknadsdepartementet"/>
    <w:docVar w:name="GDB1" w:val="KOM(2012) 22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Nationella strategier för integrering av romer: ett första steg i genomförandet av EU-ram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226 slutlig"/>
    <w:docVar w:name="Nr" w:val="161"/>
    <w:docVar w:name="RD_APPVERSION" w:val="3.00"/>
    <w:docVar w:name="Rub" w:val="Meddelande om de nationella strategierna för integrering av romer"/>
    <w:docVar w:name="UppDat" w:val="2012-07-02"/>
    <w:docVar w:name="Utsk" w:val="Konstitutionsutskottet"/>
  </w:docVars>
  <w:rsids>
    <w:rsidRoot w:val="00C30C02"/>
    <w:rsid w:val="00471EA6"/>
    <w:rsid w:val="00671B06"/>
    <w:rsid w:val="00C30C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0B8D89-82BA-471E-A0DE-416C4614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link w:val="RKnormal"/>
    <w:locked/>
    <w:rPr>
      <w:rFonts w:ascii="OrigGarmnd BT" w:hAnsi="OrigGarmnd BT"/>
      <w:sz w:val="24"/>
      <w:lang w:val="x-none" w:eastAsia="en-US"/>
    </w:rPr>
  </w:style>
  <w:style w:type="paragraph" w:customStyle="1" w:styleId="Text2">
    <w:name w:val="Text 2"/>
    <w:basedOn w:val="Normal"/>
    <w:pPr>
      <w:spacing w:before="120" w:after="120" w:line="240" w:lineRule="auto"/>
      <w:ind w:left="1417"/>
    </w:pPr>
    <w:rPr>
      <w:sz w:val="24"/>
      <w:szCs w:val="24"/>
      <w:lang w:eastAsia="en-US"/>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erChar">
    <w:name w:val="Kommentarer Char"/>
    <w:basedOn w:val="Standardstycketeckensnitt"/>
    <w:link w:val="Kommentarer"/>
    <w:semiHidden/>
    <w:locked/>
    <w:rPr>
      <w:rFonts w:cs="Times New Roman"/>
    </w:rPr>
  </w:style>
  <w:style w:type="character" w:customStyle="1" w:styleId="KommentarsmneChar">
    <w:name w:val="Kommentarsämne Char"/>
    <w:basedOn w:val="KommentarerChar"/>
    <w:link w:val="Kommentarsmne"/>
    <w:locke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883</Words>
  <Characters>5819</Characters>
  <Application>Microsoft Office Word</Application>
  <DocSecurity>4</DocSecurity>
  <Lines>116</Lines>
  <Paragraphs>48</Paragraphs>
  <ScaleCrop>false</ScaleCrop>
  <HeadingPairs>
    <vt:vector size="2" baseType="variant">
      <vt:variant>
        <vt:lpstr>Rubrik</vt:lpstr>
      </vt:variant>
      <vt:variant>
        <vt:i4>1</vt:i4>
      </vt:variant>
    </vt:vector>
  </HeadingPairs>
  <TitlesOfParts>
    <vt:vector size="1" baseType="lpstr">
      <vt:lpstr>FPM_201112__161</vt:lpstr>
    </vt:vector>
  </TitlesOfParts>
  <Company>RD-DTSL</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FPM_201112__161</dc:title>
  <dc:subject>FPM_201112__161</dc:subject>
  <dc:creator>Riksdagen</dc:creator>
  <cp:keywords>Riksdagen</cp:keywords>
  <dc:description>KP2004-version.  Ändringarna påverkar enbart användningen inom Riksdagen. 050429 nya departement DTSL.</dc:description>
  <cp:lastModifiedBy>Lars Brink</cp:lastModifiedBy>
  <cp:revision>2</cp:revision>
  <cp:lastPrinted>2012-07-02T12:49:00Z</cp:lastPrinted>
  <dcterms:created xsi:type="dcterms:W3CDTF">2025-12-17T21:03:00Z</dcterms:created>
  <dcterms:modified xsi:type="dcterms:W3CDTF">2025-12-17T21:03:00Z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161</vt:lpwstr>
  </property>
  <property fmtid="{D5CDD505-2E9C-101B-9397-08002B2CF9AE}" pid="4" name="GDB1">
    <vt:lpwstr>KOM(2012) 226 slutlig</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Meddelande om de nationella strategierna för integrering av romer</vt:lpwstr>
  </property>
  <property fmtid="{D5CDD505-2E9C-101B-9397-08002B2CF9AE}" pid="8" name="UppDat">
    <vt:lpwstr>2012-07-02</vt:lpwstr>
  </property>
  <property fmtid="{D5CDD505-2E9C-101B-9397-08002B2CF9AE}" pid="9" name="AnkDat">
    <vt:lpwstr>2012-07-02</vt:lpwstr>
  </property>
  <property fmtid="{D5CDD505-2E9C-101B-9397-08002B2CF9AE}" pid="10" name="Utsk">
    <vt:lpwstr>Konstitutionsutskottet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JA</vt:lpwstr>
  </property>
  <property fmtid="{D5CDD505-2E9C-101B-9397-08002B2CF9AE}" pid="38" name="Förvaltningsavdelningen">
    <vt:lpwstr>NEJ</vt:lpwstr>
  </property>
  <property fmtid="{D5CDD505-2E9C-101B-9397-08002B2CF9AE}" pid="39" name="DepID">
    <vt:lpwstr>18;0;0;514</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_dlc_DocIdItemGuid">
    <vt:lpwstr>ef9363ba-c11d-4a2a-bb48-79c35ca9b65f</vt:lpwstr>
  </property>
  <property fmtid="{D5CDD505-2E9C-101B-9397-08002B2CF9AE}" pid="44" name="Sekretess">
    <vt:lpwstr/>
  </property>
  <property fmtid="{D5CDD505-2E9C-101B-9397-08002B2CF9AE}" pid="45" name="RKOrdnaCheckInComment">
    <vt:lpwstr/>
  </property>
  <property fmtid="{D5CDD505-2E9C-101B-9397-08002B2CF9AE}" pid="46" name="k46d94c0acf84ab9a79866a9d8b1905f">
    <vt:lpwstr/>
  </property>
  <property fmtid="{D5CDD505-2E9C-101B-9397-08002B2CF9AE}" pid="47" name="TaxCatchAll">
    <vt:lpwstr/>
  </property>
  <property fmtid="{D5CDD505-2E9C-101B-9397-08002B2CF9AE}" pid="48" name="RKOrdnaClass">
    <vt:lpwstr/>
  </property>
  <property fmtid="{D5CDD505-2E9C-101B-9397-08002B2CF9AE}" pid="49" name="Diarienummer">
    <vt:lpwstr/>
  </property>
  <property fmtid="{D5CDD505-2E9C-101B-9397-08002B2CF9AE}" pid="50" name="c9cd366cc722410295b9eacffbd73909">
    <vt:lpwstr/>
  </property>
  <property fmtid="{D5CDD505-2E9C-101B-9397-08002B2CF9AE}" pid="51" name="_dlc_DocId">
    <vt:lpwstr>JE6N4JFJXNNF-9-49646</vt:lpwstr>
  </property>
  <property fmtid="{D5CDD505-2E9C-101B-9397-08002B2CF9AE}" pid="52" name="_dlc_DocIdUrl">
    <vt:lpwstr>http://rkdhs-sb/enhet/EUKansli/_layouts/DocIdRedir.aspx?ID=JE6N4JFJXNNF-9-49646, JE6N4JFJXNNF-9-49646</vt:lpwstr>
  </property>
  <property fmtid="{D5CDD505-2E9C-101B-9397-08002B2CF9AE}" pid="53" name="Integrations- och jämställdhetsdepartementet">
    <vt:lpwstr>NEJ</vt:lpwstr>
  </property>
  <property fmtid="{D5CDD505-2E9C-101B-9397-08002B2CF9AE}" pid="54" name="Jordbruksdepartementet">
    <vt:lpwstr>NEJ</vt:lpwstr>
  </property>
</Properties>
</file>