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163C">
        <w:tblPrEx>
          <w:tblCellMar>
            <w:top w:w="0" w:type="dxa"/>
            <w:left w:w="0" w:type="dxa"/>
            <w:bottom w:w="0" w:type="dxa"/>
            <w:right w:w="0" w:type="dxa"/>
          </w:tblCellMar>
        </w:tblPrEx>
        <w:trPr>
          <w:gridAfter w:val="2"/>
          <w:wAfter w:w="1758" w:type="dxa"/>
          <w:cantSplit/>
          <w:trHeight w:val="1320"/>
        </w:trPr>
        <w:tc>
          <w:tcPr>
            <w:tcW w:w="5897" w:type="dxa"/>
          </w:tcPr>
          <w:p w:rsidR="00AC1145" w:rsidRPr="009D163C" w:rsidRDefault="00AC1145">
            <w:pPr>
              <w:pStyle w:val="HuvudRubrik"/>
            </w:pPr>
            <w:r w:rsidRPr="009D163C">
              <w:t>Regeringskansliet</w:t>
            </w:r>
          </w:p>
          <w:p w:rsidR="00AC1145" w:rsidRPr="009D163C" w:rsidRDefault="00AC1145">
            <w:pPr>
              <w:pStyle w:val="HuvudRubrik"/>
            </w:pPr>
            <w:r w:rsidRPr="009D163C">
              <w:t>Faktapromemoria  2005/06:FPM68</w:t>
            </w:r>
          </w:p>
          <w:p w:rsidR="00AC1145" w:rsidRPr="009D163C" w:rsidRDefault="00AC1145">
            <w:pPr>
              <w:pStyle w:val="HuvudRubrik"/>
            </w:pPr>
          </w:p>
        </w:tc>
      </w:tr>
      <w:tr w:rsidR="00000000" w:rsidRPr="009D163C">
        <w:tblPrEx>
          <w:tblCellMar>
            <w:top w:w="0" w:type="dxa"/>
            <w:left w:w="0" w:type="dxa"/>
            <w:bottom w:w="0" w:type="dxa"/>
            <w:right w:w="0" w:type="dxa"/>
          </w:tblCellMar>
        </w:tblPrEx>
        <w:trPr>
          <w:gridAfter w:val="2"/>
          <w:wAfter w:w="1758" w:type="dxa"/>
          <w:cantSplit/>
          <w:trHeight w:val="240"/>
        </w:trPr>
        <w:tc>
          <w:tcPr>
            <w:tcW w:w="5897" w:type="dxa"/>
          </w:tcPr>
          <w:p w:rsidR="00AC1145" w:rsidRPr="009D163C" w:rsidRDefault="00AC1145">
            <w:pPr>
              <w:pStyle w:val="HuvudRubrik"/>
              <w:rPr>
                <w:sz w:val="28"/>
              </w:rPr>
            </w:pPr>
            <w:r w:rsidRPr="009D163C">
              <w:t>Beslut om papperslöst tullförfarande</w:t>
            </w:r>
          </w:p>
        </w:tc>
      </w:tr>
      <w:tr w:rsidR="00CF05C3" w:rsidRPr="009D163C">
        <w:tblPrEx>
          <w:tblCellMar>
            <w:top w:w="0" w:type="dxa"/>
            <w:left w:w="0" w:type="dxa"/>
            <w:bottom w:w="0" w:type="dxa"/>
            <w:right w:w="0" w:type="dxa"/>
          </w:tblCellMar>
        </w:tblPrEx>
        <w:trPr>
          <w:cantSplit/>
          <w:trHeight w:val="285"/>
        </w:trPr>
        <w:tc>
          <w:tcPr>
            <w:tcW w:w="7655" w:type="dxa"/>
            <w:gridSpan w:val="3"/>
          </w:tcPr>
          <w:p w:rsidR="00CF05C3" w:rsidRPr="009D163C" w:rsidRDefault="0046735F">
            <w:pPr>
              <w:pStyle w:val="Departement"/>
              <w:rPr>
                <w:b/>
                <w:bCs/>
                <w:sz w:val="28"/>
              </w:rPr>
            </w:pPr>
            <w:r w:rsidRPr="009D163C">
              <w:rPr>
                <w:b/>
                <w:bCs/>
              </w:rPr>
              <w:t>Finansdepartementet</w:t>
            </w:r>
          </w:p>
        </w:tc>
      </w:tr>
      <w:tr w:rsidR="00CF05C3" w:rsidRPr="009D163C">
        <w:tblPrEx>
          <w:tblCellMar>
            <w:top w:w="0" w:type="dxa"/>
            <w:left w:w="0" w:type="dxa"/>
            <w:bottom w:w="0" w:type="dxa"/>
            <w:right w:w="0" w:type="dxa"/>
          </w:tblCellMar>
        </w:tblPrEx>
        <w:trPr>
          <w:cantSplit/>
          <w:trHeight w:val="240"/>
        </w:trPr>
        <w:tc>
          <w:tcPr>
            <w:tcW w:w="7655" w:type="dxa"/>
            <w:gridSpan w:val="3"/>
          </w:tcPr>
          <w:p w:rsidR="00CF05C3" w:rsidRPr="009D163C" w:rsidRDefault="0046735F">
            <w:pPr>
              <w:pStyle w:val="Dokumentdatum"/>
            </w:pPr>
            <w:r w:rsidRPr="009D163C">
              <w:t>2006-03-31</w:t>
            </w:r>
          </w:p>
        </w:tc>
      </w:tr>
      <w:tr w:rsidR="00CF05C3" w:rsidRPr="009D163C">
        <w:tblPrEx>
          <w:tblCellMar>
            <w:top w:w="0" w:type="dxa"/>
            <w:left w:w="0" w:type="dxa"/>
            <w:bottom w:w="0" w:type="dxa"/>
            <w:right w:w="0" w:type="dxa"/>
          </w:tblCellMar>
        </w:tblPrEx>
        <w:trPr>
          <w:cantSplit/>
          <w:trHeight w:val="709"/>
        </w:trPr>
        <w:tc>
          <w:tcPr>
            <w:tcW w:w="7655" w:type="dxa"/>
            <w:gridSpan w:val="3"/>
            <w:vAlign w:val="bottom"/>
          </w:tcPr>
          <w:p w:rsidR="00CF05C3" w:rsidRPr="009D163C" w:rsidRDefault="00F0033A">
            <w:pPr>
              <w:pStyle w:val="Dokumentbeteckning"/>
            </w:pPr>
            <w:r w:rsidRPr="009D163C">
              <w:t>Dokumentbeteckning</w:t>
            </w:r>
          </w:p>
        </w:tc>
      </w:tr>
      <w:tr w:rsidR="00CF05C3" w:rsidRPr="009D163C">
        <w:tblPrEx>
          <w:tblCellMar>
            <w:top w:w="0" w:type="dxa"/>
            <w:left w:w="0" w:type="dxa"/>
            <w:bottom w:w="0" w:type="dxa"/>
            <w:right w:w="0" w:type="dxa"/>
          </w:tblCellMar>
        </w:tblPrEx>
        <w:trPr>
          <w:gridAfter w:val="1"/>
          <w:wAfter w:w="1560" w:type="dxa"/>
          <w:trHeight w:val="163"/>
        </w:trPr>
        <w:tc>
          <w:tcPr>
            <w:tcW w:w="6095" w:type="dxa"/>
            <w:gridSpan w:val="2"/>
          </w:tcPr>
          <w:p w:rsidR="00CF05C3" w:rsidRPr="009D163C" w:rsidRDefault="0046735F" w:rsidP="00F0033A">
            <w:bookmarkStart w:id="0" w:name="KomNr"/>
            <w:bookmarkEnd w:id="0"/>
            <w:r w:rsidRPr="009D163C">
              <w:t>15381/05  UD 153 ENFOCUSTOM 87 MI 139 COMER 187 TRANS 278 CODEC 1145</w:t>
            </w:r>
          </w:p>
        </w:tc>
      </w:tr>
      <w:tr w:rsidR="00F0033A" w:rsidRPr="009D163C">
        <w:tblPrEx>
          <w:tblCellMar>
            <w:top w:w="0" w:type="dxa"/>
            <w:left w:w="0" w:type="dxa"/>
            <w:bottom w:w="0" w:type="dxa"/>
            <w:right w:w="0" w:type="dxa"/>
          </w:tblCellMar>
        </w:tblPrEx>
        <w:trPr>
          <w:gridAfter w:val="1"/>
          <w:wAfter w:w="1560" w:type="dxa"/>
          <w:trHeight w:val="163"/>
        </w:trPr>
        <w:tc>
          <w:tcPr>
            <w:tcW w:w="6095" w:type="dxa"/>
            <w:gridSpan w:val="2"/>
          </w:tcPr>
          <w:p w:rsidR="00F0033A" w:rsidRPr="009D163C" w:rsidRDefault="0046735F" w:rsidP="00F0033A">
            <w:pPr>
              <w:pStyle w:val="Dokumentbeteckning-titel"/>
            </w:pPr>
            <w:r w:rsidRPr="009D163C">
              <w:t>Kommissionens förslag till Europaparlamentets och rådets beslut om en enkel och papperslös miljö för tullen och handeln</w:t>
            </w:r>
          </w:p>
        </w:tc>
      </w:tr>
    </w:tbl>
    <w:p w:rsidR="00CF05C3" w:rsidRPr="009D163C" w:rsidRDefault="00CF05C3">
      <w:pPr>
        <w:pStyle w:val="Rubrik1"/>
        <w:numPr>
          <w:ilvl w:val="0"/>
          <w:numId w:val="0"/>
        </w:numPr>
      </w:pPr>
      <w:r w:rsidRPr="009D163C">
        <w:t>Sammanfattning</w:t>
      </w:r>
    </w:p>
    <w:p w:rsidR="00CF05C3" w:rsidRPr="009D163C" w:rsidRDefault="00CF05C3">
      <w:pPr>
        <w:pStyle w:val="Rubrik1"/>
        <w:numPr>
          <w:ilvl w:val="0"/>
          <w:numId w:val="0"/>
        </w:numPr>
        <w:rPr>
          <w:sz w:val="19"/>
        </w:rPr>
      </w:pPr>
      <w:r w:rsidRPr="009D163C">
        <w:rPr>
          <w:sz w:val="19"/>
        </w:rPr>
        <w:t xml:space="preserve">Kommissionen har kommit med förslag till beslut om åtaganden gällande införande av elektroniska tullförfaranden. Syftet med beslutet är att fastslå vilka åtgärder som krävs och vilka tidsgränser som måste följas för att en förenklad och papperslös miljö för tullen och handeln skall kunna införas vid tidpunkten för ikraftträdandet av den moderniserade tullkodexen. </w:t>
      </w:r>
    </w:p>
    <w:p w:rsidR="00CF05C3" w:rsidRPr="009D163C" w:rsidRDefault="00CF05C3">
      <w:r w:rsidRPr="009D163C">
        <w:t>Sverige välkomnar i stort förslaget till beslut om en papperslös miljö för tullen och handeln.</w:t>
      </w:r>
    </w:p>
    <w:p w:rsidR="00CF05C3" w:rsidRPr="009D163C" w:rsidRDefault="00CF05C3">
      <w:pPr>
        <w:pStyle w:val="Rubrik1"/>
      </w:pPr>
      <w:r w:rsidRPr="009D163C">
        <w:t>Förslaget</w:t>
      </w:r>
    </w:p>
    <w:p w:rsidR="00CF05C3" w:rsidRPr="009D163C" w:rsidRDefault="00F0033A">
      <w:pPr>
        <w:pStyle w:val="Rubrik2"/>
      </w:pPr>
      <w:r w:rsidRPr="009D163C">
        <w:t>Innehåll</w:t>
      </w:r>
    </w:p>
    <w:p w:rsidR="00CF05C3" w:rsidRPr="009D163C" w:rsidRDefault="00CF05C3">
      <w:r w:rsidRPr="009D163C">
        <w:t>Kommissionen  har kommit med förslag till beslut om åtaganden gällande införande av elektroniska tullförfaranden. Medlemsstaterna har åtagit sig åtgärder på detta område genom vissa policybeslut, i synnerhet Lissabonstrategin, ”e-Government” och initiativet om bättre lagstiftning. Förslaget till beslut om elektroniska tullförfaranden har föregåtts av ett meddelande den 24 juli 2003 (KOM (2003) 452) från kommissionen till rådet, Europaparlamentet och Ekonomiska och sociala kommittén om en enkel och papperslös miljö för tullen och handeln (”e-tull”). I en resolution den 5 december 2003 (EUT 2003/C 305/01) har rådet besvarat kommissionens meddelande. I enlighet med resolutionen uppmanas kommissionen att, i samarbete med medlemsstaterna, upprätta en flerårig strategisk plan som syftar till att skapa en europeisk elektronisk miljö, som går hand i hand med den  operationella och legala utvecklingen inom tull- och skatte</w:t>
      </w:r>
      <w:r w:rsidRPr="009D163C">
        <w:lastRenderedPageBreak/>
        <w:t xml:space="preserve">området. Det är mot bakgrund av bl a denna strategiska plan som kommissionen nu utarbetat ett förslag till beslut som syftar till att ange de åtgärder som krävs för införandet av elektroniska tullförfaranden på bred front. </w:t>
      </w:r>
    </w:p>
    <w:p w:rsidR="00CF05C3" w:rsidRPr="009D163C" w:rsidRDefault="00CF05C3">
      <w:r w:rsidRPr="009D163C">
        <w:t>Medlemsstaterna har redan gjort omfattande investeringar när det gäller utvecklandet av datoriserade tullförfaranden. De skillnader som föreligger mellan de olika  nationella datasystemen har emellertid, särskilt med hänsyn till bristen på kompatibilitet mellan dessa, lett till att fördelarna med den vidtagna harmoniseringen motverkats. Det är väsentligt att de tulldatasystem som byggs upp kan utbyta elektronisk information sinsemellan och att de på basis av gemensam teknologi kan kommunicera med handeln.</w:t>
      </w:r>
    </w:p>
    <w:p w:rsidR="00CF05C3" w:rsidRPr="009D163C" w:rsidRDefault="00CF05C3">
      <w:r w:rsidRPr="009D163C">
        <w:t>Inom EU finns än så länge inte några gemensamma IT-applikationer för tullklarering med undantag för det nya gemensamma transiteringssystemet NCTS. NCTS har påvisat lämpligheten av gemensamma IT-system också för andra tullförfaranden än transitering.</w:t>
      </w:r>
    </w:p>
    <w:p w:rsidR="00CF05C3" w:rsidRPr="009D163C" w:rsidRDefault="00CF05C3">
      <w:r w:rsidRPr="009D163C">
        <w:t>I enlighet med rådets förordning (EG) nr 648/2005 om ändring av rådets förordning (EEG) nr 2913/92 om inrättandet av en tullkodex för gemenskapen kommer bestämmelser att införas som innebär att en summarisk deklaration skall lämnas innan varorna uppvisas för tullmyndigheten. Denna information kommer att bli föremål för  riskbaserad kontroll, i första hand säkerhetsrelaterad sådan. För att denna hantering skall fungera praktiskt krävs elektroniska förfaranden. Tillämpningsföreskrifter till den  aktuella förordningen diskuteras för närvarande bl a i Tullkodexkommittén.</w:t>
      </w:r>
    </w:p>
    <w:p w:rsidR="00CF05C3" w:rsidRPr="009D163C" w:rsidRDefault="00CF05C3">
      <w:r w:rsidRPr="009D163C">
        <w:t>Vid implementeringen av den nämnda strategiska planen är det angeläget att medlemsstaterna åtar sig att följa vissa bindande tidsgränser. Kommissionen och medlemsstaterna kommer enligt det nu föreliggande förslaget till beslut att åta sig att genomföra vissa åtgärder som kräver såväl finansiella som personella resurser. Åtagandena innebär också att man på ett tidsmässigt samordnat sätt skall införa gemensamma elektroniska datasystem som baseras på nu gällande lagstiftning, inklusive den ovannämnda ändringen i tullkodex. En anpassning kommer därefter att ske till den nya reviderade tullkodexen. Kommissionen och medlemsstaterna skall regelbundet samråda med de ekonomiska aktörerna under förberedandet, utvecklingen och användningen av nämnda elektroniska system. Kommissionen har samtidigt med det nu aktuella förslaget till beslut om införande av elektroniska tullförfaranden lagt fram ett förslag till en reviderad förordning om gemenskapens tullkodex (KOM (2005) 608 final, se faktapromemoria 2005-12-14.</w:t>
      </w:r>
    </w:p>
    <w:p w:rsidR="00CF05C3" w:rsidRPr="009D163C" w:rsidRDefault="00CF05C3">
      <w:r w:rsidRPr="009D163C">
        <w:t xml:space="preserve">Enligt kommissionen krävs det nu föreslagna beslutet för att en papperslös miljö skall kunna införas samtidigt i alla medlemsstater. Beslutet är också nödvändigt för att försäkra sig om medlemsstaternas medverkan när det gäller att ställa de finansiella resurser till förfogande som krävs för att de nya elektroniska tullförfarandena skall kunna införas samtidigt som den nya tullkodexen. Om nödvändiga medel inte tillförs skulle detta enligt kommissionens mening innebära onödiga kostnader för såväl tullmyndigheterna som handeln och dessutom negativt påverka näringslivets konkurrenskraft. Risken för brottslig verksamhet skulle öka och skyddet för hälsa och säkerhet minska.  </w:t>
      </w:r>
    </w:p>
    <w:p w:rsidR="00CF05C3" w:rsidRPr="009D163C" w:rsidRDefault="00CF05C3">
      <w:r w:rsidRPr="009D163C">
        <w:t xml:space="preserve">I förslaget till beslut uppställs vissa målsättningar som skall uppnås med hjälp av införandet av elektroniska förfaranden, t ex underlättande av import- och exportprocedurerna, en minskning av de administrativa kostnaderna och en effektivisering av varukontrollen. </w:t>
      </w:r>
    </w:p>
    <w:p w:rsidR="00CF05C3" w:rsidRPr="009D163C" w:rsidRDefault="00CF05C3" w:rsidP="00F0033A"/>
    <w:p w:rsidR="00CF05C3" w:rsidRPr="009D163C" w:rsidRDefault="00CF05C3" w:rsidP="00F0033A">
      <w:r w:rsidRPr="009D163C">
        <w:t xml:space="preserve">Enligt beslutet åtar sig medlemsstaterna att inom vissa tidsgränser upprätta ett antal datasystem för olika delar av tullhanteringen. Inom tre år skall således medlemsstaterna i samarbete med kommissionen upprätta system för import- och exportklarering såväl tullmyndigheterna emellan som mellan dessa och de ekonomiska aktörerna, system för registrering av ekonomiska aktörer, inklusive godkända ekonomiska aktörer, samt system som ger de ekonomiska aktörerna tillgång till den information som krävs för att genomföra import- och exporttransaktioner inom hela gemenskapen. Inom fem år från beslutets ikraftträdande skall upprättas ett system som möjliggör för de ekonomiska aktörerna att insända tulldeklarationerna centralt (s k single access point), även om själva tullhanteringen sker i en annan medlemsstat. Slutligen skall medlemsstaterna i samarbete med kommission sex år efter beslutets ikraftträdande upprätta system ( s k single window) som möjliggör för de ekonomiska aktörerna att lämna all information som krävs för import- eller exportklarering till tullmyndigheterna, även då de aktuella uppgifterna krävs enligt annan lagstiftning än tullagstiftningen. </w:t>
      </w:r>
    </w:p>
    <w:p w:rsidR="00CF05C3" w:rsidRPr="009D163C" w:rsidRDefault="00CF05C3" w:rsidP="00F0033A"/>
    <w:p w:rsidR="00CF05C3" w:rsidRPr="009D163C" w:rsidRDefault="00CF05C3" w:rsidP="00F0033A">
      <w:r w:rsidRPr="009D163C">
        <w:t xml:space="preserve">I utkastet till beslut anges vidare hur ansvaret för implementeringen av de olika delarna av de föreslagna datasystemen skall fördelas mellan gemenskapskomponenter och nationella komponenter. Det anges också att gemenskapen skall ansvara för tillhandahållandet av de personella, finansiella och tekniska resurser som krävs för upprättande, skötsel och förbättring av de nämnda gemenskapskomponenterna. Medlemsstaterna skall å sin sida tillhandahålla motsvarande resurser för de nationella komponenterna.        </w:t>
      </w:r>
    </w:p>
    <w:p w:rsidR="00CF05C3" w:rsidRPr="009D163C" w:rsidRDefault="00CF05C3">
      <w:r w:rsidRPr="009D163C">
        <w:t xml:space="preserve">                  </w:t>
      </w:r>
    </w:p>
    <w:p w:rsidR="00CF05C3" w:rsidRPr="009D163C" w:rsidRDefault="00CF05C3">
      <w:pPr>
        <w:pStyle w:val="Rubrik2"/>
      </w:pPr>
      <w:r w:rsidRPr="009D163C">
        <w:t>Gällande svenska regler och förslagets effekt på dessa</w:t>
      </w:r>
    </w:p>
    <w:p w:rsidR="00CF05C3" w:rsidRPr="009D163C" w:rsidRDefault="00CF05C3">
      <w:r w:rsidRPr="009D163C">
        <w:t>Kommissionens nu föreliggande förslag till Europaparlamentets och rådets beslut om en papperslös miljö för tullen och handeln är nära kopplat till kommissionens förslag till Europaparlamentets och rådets förordning om inrättandet av en tullkodex för gemenskapen (KOM (2005) 608 final, se faktapromemoria 2005-12-14). En ny tullkodex utgör en nödvändig rättslig grund för genomförandet av förslaget om en papperslös miljö för tullen och handeln. Ett genomförande av den föreslagna nya tullkodexen skulle medföra ändringar av de svenska tullbestämmelserna.</w:t>
      </w:r>
    </w:p>
    <w:p w:rsidR="00CF05C3" w:rsidRPr="009D163C" w:rsidRDefault="00CF05C3">
      <w:pPr>
        <w:pStyle w:val="Rubrik2"/>
      </w:pPr>
      <w:r w:rsidRPr="009D163C">
        <w:t>Budgetära konsekvenser</w:t>
      </w:r>
    </w:p>
    <w:p w:rsidR="00CF05C3" w:rsidRPr="009D163C" w:rsidRDefault="00CF05C3">
      <w:r w:rsidRPr="009D163C">
        <w:t>Sverige ligger idag långt framme när det gäller användning av elektroniska förfaranden  i tullhanteringen. Sverige ligger i detta sammanhang bättre till än de flesta av EU:s medlemsstater. Ett genomförande av de i beslutet föreslagna åtgärderna skulle medföra att de nationella system Sverige för närvarande har skulle behöva anpassas, vilket kommer att medföra stora kostnader för såväl myndigheter som näringsliv, något beroende på vilka lösningar som väljs. Ett utvecklingsarbete pågår för att analysera de kostnadsmässiga konsekvenserna av en sådan anpassning. De slutliga kostnaderna är i detta skede svåra att bedöma. Regeringen avser att återkomma i frågan när det finns förutsättningar för tillförlitliga kostnadsberäkningar.  Det kan tilläggas att det svenska Tullverket deltar mycket aktivt i EU-arbetet med e-tull i syfte att ta fram så kostnadseffektiva och smidiga lösningar som möjligt.</w:t>
      </w:r>
    </w:p>
    <w:p w:rsidR="00CF05C3" w:rsidRPr="009D163C" w:rsidRDefault="00CF05C3"/>
    <w:p w:rsidR="00CF05C3" w:rsidRPr="009D163C" w:rsidRDefault="00CF05C3">
      <w:pPr>
        <w:pStyle w:val="Rubrik1"/>
      </w:pPr>
      <w:r w:rsidRPr="009D163C">
        <w:t>Ståndpunkter</w:t>
      </w:r>
    </w:p>
    <w:p w:rsidR="00CF05C3" w:rsidRPr="009D163C" w:rsidRDefault="00CF05C3">
      <w:pPr>
        <w:pStyle w:val="Rubrik2"/>
      </w:pPr>
      <w:r w:rsidRPr="009D163C">
        <w:t>Svensk ståndpunkt</w:t>
      </w:r>
    </w:p>
    <w:p w:rsidR="00CF05C3" w:rsidRPr="009D163C" w:rsidRDefault="00CF05C3">
      <w:r w:rsidRPr="009D163C">
        <w:t xml:space="preserve">Sverige välkomnar i stort förslaget till beslut om en papperslös miljö för tullen och handeln. Förslaget ligger väl i linje med det arbete Sverige sedan länge bedrivit när det gäller elektroniska tullförfaranden. Förslaget stämmer också väl överens med svenska strävanden att förenkla och modernisera tullagstiftningen i syfte att möjliggöra ett fullt utnyttjande av den moderna informationsteknologin. </w:t>
      </w:r>
    </w:p>
    <w:p w:rsidR="00CF05C3" w:rsidRPr="009D163C" w:rsidRDefault="00CF05C3">
      <w:r w:rsidRPr="009D163C">
        <w:t xml:space="preserve">När det gäller de olika tidsgränser som föreslås i förslaget till beslut anser Sverige att de närmare konsekvenserna av dessa tidsgränser måste analyseras ytterligare. Den föreslagna tidtabellen för införande av elektroniska tullförfaranden måste ses i ljuset av förhandlingarna om en ny tullkodex och de tidsgränser som anges i tullkodexförslaget. </w:t>
      </w:r>
    </w:p>
    <w:p w:rsidR="00CF05C3" w:rsidRPr="009D163C" w:rsidRDefault="00CF05C3" w:rsidP="00F0033A"/>
    <w:p w:rsidR="00CF05C3" w:rsidRPr="009D163C" w:rsidRDefault="00CF05C3">
      <w:pPr>
        <w:pStyle w:val="Rubrik2"/>
      </w:pPr>
      <w:r w:rsidRPr="009D163C">
        <w:t>Medlemsstaternas ståndpunkter</w:t>
      </w:r>
    </w:p>
    <w:p w:rsidR="00CF05C3" w:rsidRPr="009D163C" w:rsidRDefault="00CF05C3"/>
    <w:p w:rsidR="00CF05C3" w:rsidRPr="009D163C" w:rsidRDefault="00CF05C3">
      <w:pPr>
        <w:pStyle w:val="Rubrik2"/>
      </w:pPr>
      <w:r w:rsidRPr="009D163C">
        <w:t>Institutionernas ståndpunkter</w:t>
      </w:r>
    </w:p>
    <w:p w:rsidR="00CF05C3" w:rsidRPr="009D163C" w:rsidRDefault="00CF05C3"/>
    <w:p w:rsidR="00CF05C3" w:rsidRPr="009D163C" w:rsidRDefault="00CF05C3">
      <w:pPr>
        <w:pStyle w:val="Rubrik2"/>
      </w:pPr>
      <w:r w:rsidRPr="009D163C">
        <w:t>Remissinstansernas ståndpunkter</w:t>
      </w:r>
    </w:p>
    <w:p w:rsidR="00CF05C3" w:rsidRPr="009D163C" w:rsidRDefault="00CF05C3"/>
    <w:p w:rsidR="00CF05C3" w:rsidRPr="009D163C" w:rsidRDefault="00CF05C3">
      <w:pPr>
        <w:pStyle w:val="Rubrik1"/>
      </w:pPr>
      <w:r w:rsidRPr="009D163C">
        <w:t>Övrigt</w:t>
      </w:r>
    </w:p>
    <w:p w:rsidR="00CF05C3" w:rsidRPr="009D163C" w:rsidRDefault="00CF05C3">
      <w:pPr>
        <w:pStyle w:val="Rubrik2"/>
      </w:pPr>
      <w:r w:rsidRPr="009D163C">
        <w:t>Fortsatt behandling av ärendet</w:t>
      </w:r>
    </w:p>
    <w:p w:rsidR="00CF05C3" w:rsidRPr="009D163C" w:rsidRDefault="00CF05C3">
      <w:pPr>
        <w:rPr>
          <w:sz w:val="18"/>
        </w:rPr>
      </w:pPr>
      <w:r w:rsidRPr="009D163C">
        <w:rPr>
          <w:sz w:val="18"/>
        </w:rPr>
        <w:t>Ärendet kommer att tas upp i bland annat Customs Policy Group (CPG) och Rådsarbetsgruppen för tullunionen (tullagstiftning- och policy) under våren.</w:t>
      </w:r>
    </w:p>
    <w:p w:rsidR="00CF05C3" w:rsidRPr="009D163C" w:rsidRDefault="00CF05C3"/>
    <w:p w:rsidR="00CF05C3" w:rsidRPr="009D163C" w:rsidRDefault="00CF05C3">
      <w:pPr>
        <w:pStyle w:val="Rubrik2"/>
      </w:pPr>
      <w:r w:rsidRPr="009D163C">
        <w:t>Rättslig grund och beslutsförfarande</w:t>
      </w:r>
    </w:p>
    <w:p w:rsidR="00CF05C3" w:rsidRPr="009D163C" w:rsidRDefault="00CF05C3">
      <w:pPr>
        <w:rPr>
          <w:sz w:val="18"/>
        </w:rPr>
      </w:pPr>
      <w:r w:rsidRPr="009D163C">
        <w:rPr>
          <w:sz w:val="18"/>
        </w:rPr>
        <w:t>Enligt kommissionens förslag artiklarna 95 och 135 i EG-fördraget. Kvalificerad majoritet. Medbeslutandeförfarandet.</w:t>
      </w:r>
    </w:p>
    <w:p w:rsidR="00CF05C3" w:rsidRPr="009D163C" w:rsidRDefault="00CF05C3">
      <w:pPr>
        <w:rPr>
          <w:sz w:val="18"/>
        </w:rPr>
      </w:pPr>
    </w:p>
    <w:p w:rsidR="00CF05C3" w:rsidRPr="009D163C" w:rsidRDefault="00CF05C3">
      <w:pPr>
        <w:pStyle w:val="Rubrik2"/>
      </w:pPr>
      <w:r w:rsidRPr="009D163C">
        <w:t>Fackuttryck/termer</w:t>
      </w:r>
    </w:p>
    <w:p w:rsidR="00CF05C3" w:rsidRPr="009D163C" w:rsidRDefault="00CF05C3"/>
    <w:sectPr w:rsidR="00CF05C3" w:rsidRPr="009D163C">
      <w:headerReference w:type="even" r:id="rId7"/>
      <w:headerReference w:type="default" r:id="rId8"/>
      <w:footerReference w:type="even" r:id="rId9"/>
      <w:footerReference w:type="default" r:id="rId10"/>
      <w:headerReference w:type="first" r:id="rId11"/>
      <w:footerReference w:type="first" r:id="rId12"/>
      <w:pgSz w:w="11906" w:h="16838" w:code="9"/>
      <w:pgMar w:top="737" w:right="4109"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145" w:rsidRPr="009D163C" w:rsidRDefault="00AC1145">
      <w:r w:rsidRPr="009D163C">
        <w:separator/>
      </w:r>
    </w:p>
  </w:endnote>
  <w:endnote w:type="continuationSeparator" w:id="0">
    <w:p w:rsidR="00AC1145" w:rsidRPr="009D163C" w:rsidRDefault="00AC1145">
      <w:r w:rsidRPr="009D1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CF05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204761">
    <w:pPr>
      <w:pStyle w:val="SidfotH"/>
      <w:framePr w:wrap="around"/>
    </w:pPr>
    <w:r w:rsidRPr="009D163C">
      <w:t>5</w:t>
    </w:r>
  </w:p>
  <w:p w:rsidR="00CF05C3" w:rsidRPr="009D163C" w:rsidRDefault="00CF05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AC1145">
    <w:pPr>
      <w:pStyle w:val="SidfotH"/>
      <w:framePr w:wrap="around"/>
    </w:pPr>
    <w:r w:rsidRPr="009D163C">
      <w:t>1</w:t>
    </w:r>
  </w:p>
  <w:p w:rsidR="00CF05C3" w:rsidRPr="009D163C" w:rsidRDefault="00CF0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145" w:rsidRPr="009D163C" w:rsidRDefault="00AC1145">
      <w:r w:rsidRPr="009D163C">
        <w:separator/>
      </w:r>
    </w:p>
  </w:footnote>
  <w:footnote w:type="continuationSeparator" w:id="0">
    <w:p w:rsidR="00AC1145" w:rsidRPr="009D163C" w:rsidRDefault="00AC1145">
      <w:r w:rsidRPr="009D1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CF05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CF05C3">
    <w:pPr>
      <w:pStyle w:val="Kantrubrik"/>
      <w:framePr w:h="1157" w:hRule="exact" w:wrap="around" w:y="738"/>
    </w:pPr>
    <w:r w:rsidRPr="009D163C">
      <w:t>2005/06:FPM68</w:t>
    </w:r>
  </w:p>
  <w:p w:rsidR="00CF05C3" w:rsidRPr="009D163C" w:rsidRDefault="00CF05C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5C3" w:rsidRPr="009D163C" w:rsidRDefault="009D163C">
    <w:pPr>
      <w:pStyle w:val="Sidhuvud"/>
    </w:pPr>
    <w:r w:rsidRPr="009D163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3279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5C3" w:rsidRDefault="00CF05C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F05C3" w:rsidRDefault="00CF05C3">
                    <w:pPr>
                      <w:pStyle w:val="Logo"/>
                    </w:pPr>
                    <w:r>
                      <w:object w:dxaOrig="840" w:dyaOrig="1545">
                        <v:shape id="_x0000_i1025" type="#_x0000_t75" style="width:42pt;height:77.15pt" fillcolor="window">
                          <v:imagedata r:id="rId1" o:title=""/>
                        </v:shape>
                        <o:OLEObject Type="Embed" ProgID="Word.Picture.8" ShapeID="_x0000_i1025" DrawAspect="Content" ObjectID="_18274390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884149">
    <w:abstractNumId w:val="4"/>
  </w:num>
  <w:num w:numId="2" w16cid:durableId="100609208">
    <w:abstractNumId w:val="1"/>
  </w:num>
  <w:num w:numId="3" w16cid:durableId="1063405353">
    <w:abstractNumId w:val="2"/>
  </w:num>
  <w:num w:numId="4" w16cid:durableId="997686828">
    <w:abstractNumId w:val="3"/>
  </w:num>
  <w:num w:numId="5" w16cid:durableId="1096290513">
    <w:abstractNumId w:val="5"/>
  </w:num>
  <w:num w:numId="6" w16cid:durableId="158822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3"/>
    <w:docVar w:name="Ar" w:val="2005/06"/>
    <w:docVar w:name="Dep" w:val="Finansdepartementet"/>
    <w:docVar w:name="DepWeb" w:val="Finansdepartementet"/>
    <w:docVar w:name="GDB1" w:val="15381/05  UD 153 ENFOCUSTOM 87 MI 139 COMER 187 TRANS 278 CODEC 11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s beslut om en enkel och papperslös miljö för tullen och handel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5381/05  UD 153 ENFOCUSTOM 87 MI 139 COMER 187 TRANS 278 CODEC 1145"/>
    <w:docVar w:name="Nr" w:val="68"/>
    <w:docVar w:name="RD_APPVERSION" w:val="3.00"/>
    <w:docVar w:name="Rub" w:val="Beslut om papperslöst tullförfarande"/>
    <w:docVar w:name="UppDat" w:val="2006-03-31"/>
    <w:docVar w:name="Utsk" w:val="Skatteutskottet"/>
  </w:docVars>
  <w:rsids>
    <w:rsidRoot w:val="009D163C"/>
    <w:rsid w:val="00204761"/>
    <w:rsid w:val="0046735F"/>
    <w:rsid w:val="00975C41"/>
    <w:rsid w:val="009D163C"/>
    <w:rsid w:val="00A4502C"/>
    <w:rsid w:val="00AC1145"/>
    <w:rsid w:val="00CF05C3"/>
    <w:rsid w:val="00F003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FE250A-CF85-4CAE-B656-D616B2EF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1320</Words>
  <Characters>8439</Characters>
  <Application>Microsoft Office Word</Application>
  <DocSecurity>4</DocSecurity>
  <Lines>150</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2006-04-03T13:10:00Z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68</vt:lpwstr>
  </property>
  <property fmtid="{D5CDD505-2E9C-101B-9397-08002B2CF9AE}" pid="4" name="GDB1">
    <vt:lpwstr>15381/05  UD 153 ENFOCUSTOM 87 MI 139 COMER 187 TRANS 278 CODEC 1145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Beslut om papperslöst tullförfarande</vt:lpwstr>
  </property>
  <property fmtid="{D5CDD505-2E9C-101B-9397-08002B2CF9AE}" pid="8" name="UppDat">
    <vt:lpwstr>2006-03-31</vt:lpwstr>
  </property>
  <property fmtid="{D5CDD505-2E9C-101B-9397-08002B2CF9AE}" pid="9" name="AnkDat">
    <vt:lpwstr>2006-04-03</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ies>
</file>