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6030F" w:rsidRPr="001C24AD">
        <w:tblPrEx>
          <w:tblCellMar>
            <w:top w:w="0" w:type="dxa"/>
            <w:bottom w:w="0" w:type="dxa"/>
          </w:tblCellMar>
        </w:tblPrEx>
        <w:tc>
          <w:tcPr>
            <w:tcW w:w="2268" w:type="dxa"/>
          </w:tcPr>
          <w:p w:rsidR="0006030F" w:rsidRPr="001C24AD" w:rsidRDefault="0006030F">
            <w:pPr>
              <w:framePr w:w="4400" w:h="1644" w:wrap="notBeside" w:vAnchor="page" w:hAnchor="page" w:x="6573" w:y="721"/>
              <w:rPr>
                <w:rFonts w:ascii="TradeGothic" w:hAnsi="TradeGothic"/>
                <w:i/>
                <w:sz w:val="18"/>
              </w:rPr>
            </w:pPr>
          </w:p>
        </w:tc>
        <w:tc>
          <w:tcPr>
            <w:tcW w:w="2347" w:type="dxa"/>
            <w:gridSpan w:val="2"/>
          </w:tcPr>
          <w:p w:rsidR="0006030F" w:rsidRPr="001C24AD" w:rsidRDefault="0006030F">
            <w:pPr>
              <w:framePr w:w="4400" w:h="1644" w:wrap="notBeside" w:vAnchor="page" w:hAnchor="page" w:x="6573" w:y="721"/>
              <w:rPr>
                <w:rFonts w:ascii="TradeGothic" w:hAnsi="TradeGothic"/>
                <w:i/>
                <w:sz w:val="18"/>
              </w:rPr>
            </w:pPr>
          </w:p>
        </w:tc>
      </w:tr>
      <w:tr w:rsidR="0006030F" w:rsidRPr="001C24AD">
        <w:tblPrEx>
          <w:tblCellMar>
            <w:top w:w="0" w:type="dxa"/>
            <w:bottom w:w="0" w:type="dxa"/>
          </w:tblCellMar>
        </w:tblPrEx>
        <w:trPr>
          <w:cantSplit/>
        </w:trPr>
        <w:tc>
          <w:tcPr>
            <w:tcW w:w="4615" w:type="dxa"/>
            <w:gridSpan w:val="3"/>
          </w:tcPr>
          <w:p w:rsidR="0006030F" w:rsidRPr="001C24AD" w:rsidRDefault="0006030F">
            <w:pPr>
              <w:framePr w:w="4400" w:h="1644" w:wrap="notBeside" w:vAnchor="page" w:hAnchor="page" w:x="6573" w:y="721"/>
              <w:rPr>
                <w:rFonts w:ascii="TradeGothic" w:hAnsi="TradeGothic"/>
                <w:b/>
                <w:sz w:val="22"/>
              </w:rPr>
            </w:pPr>
            <w:r w:rsidRPr="001C24AD">
              <w:rPr>
                <w:rFonts w:ascii="TradeGothic" w:hAnsi="TradeGothic"/>
                <w:b/>
                <w:sz w:val="22"/>
              </w:rPr>
              <w:t>Rådspromemoria</w:t>
            </w:r>
          </w:p>
        </w:tc>
      </w:tr>
      <w:tr w:rsidR="0006030F" w:rsidRPr="001C24AD">
        <w:tblPrEx>
          <w:tblCellMar>
            <w:top w:w="0" w:type="dxa"/>
            <w:bottom w:w="0" w:type="dxa"/>
          </w:tblCellMar>
        </w:tblPrEx>
        <w:tc>
          <w:tcPr>
            <w:tcW w:w="3402" w:type="dxa"/>
            <w:gridSpan w:val="2"/>
          </w:tcPr>
          <w:p w:rsidR="0006030F" w:rsidRPr="001C24AD" w:rsidRDefault="0006030F">
            <w:pPr>
              <w:framePr w:w="4400" w:h="1644" w:wrap="notBeside" w:vAnchor="page" w:hAnchor="page" w:x="6573" w:y="721"/>
            </w:pPr>
          </w:p>
        </w:tc>
        <w:tc>
          <w:tcPr>
            <w:tcW w:w="1213" w:type="dxa"/>
          </w:tcPr>
          <w:p w:rsidR="0006030F" w:rsidRPr="001C24AD" w:rsidRDefault="0006030F">
            <w:pPr>
              <w:framePr w:w="4400" w:h="1644" w:wrap="notBeside" w:vAnchor="page" w:hAnchor="page" w:x="6573" w:y="721"/>
            </w:pPr>
          </w:p>
        </w:tc>
      </w:tr>
      <w:tr w:rsidR="0006030F" w:rsidRPr="001C24AD">
        <w:tblPrEx>
          <w:tblCellMar>
            <w:top w:w="0" w:type="dxa"/>
            <w:bottom w:w="0" w:type="dxa"/>
          </w:tblCellMar>
        </w:tblPrEx>
        <w:tc>
          <w:tcPr>
            <w:tcW w:w="2268" w:type="dxa"/>
          </w:tcPr>
          <w:p w:rsidR="0006030F" w:rsidRPr="001C24AD" w:rsidRDefault="0006030F">
            <w:pPr>
              <w:framePr w:w="4400" w:h="1644" w:wrap="notBeside" w:vAnchor="page" w:hAnchor="page" w:x="6573" w:y="721"/>
            </w:pPr>
            <w:r w:rsidRPr="001C24AD">
              <w:t>200</w:t>
            </w:r>
            <w:r w:rsidR="00B45BC4" w:rsidRPr="001C24AD">
              <w:t>7</w:t>
            </w:r>
            <w:r w:rsidRPr="001C24AD">
              <w:t>-0</w:t>
            </w:r>
            <w:r w:rsidR="00A63ACB" w:rsidRPr="001C24AD">
              <w:t>6-04</w:t>
            </w:r>
          </w:p>
        </w:tc>
        <w:tc>
          <w:tcPr>
            <w:tcW w:w="2347" w:type="dxa"/>
            <w:gridSpan w:val="2"/>
          </w:tcPr>
          <w:p w:rsidR="0006030F" w:rsidRPr="001C24AD" w:rsidRDefault="0006030F">
            <w:pPr>
              <w:framePr w:w="4400" w:h="1644" w:wrap="notBeside" w:vAnchor="page" w:hAnchor="page" w:x="6573" w:y="721"/>
            </w:pPr>
          </w:p>
        </w:tc>
      </w:tr>
      <w:tr w:rsidR="0006030F" w:rsidRPr="001C24AD">
        <w:tblPrEx>
          <w:tblCellMar>
            <w:top w:w="0" w:type="dxa"/>
            <w:bottom w:w="0" w:type="dxa"/>
          </w:tblCellMar>
        </w:tblPrEx>
        <w:tc>
          <w:tcPr>
            <w:tcW w:w="2268" w:type="dxa"/>
          </w:tcPr>
          <w:p w:rsidR="0006030F" w:rsidRPr="001C24AD" w:rsidRDefault="0006030F">
            <w:pPr>
              <w:framePr w:w="4400" w:h="1644" w:wrap="notBeside" w:vAnchor="page" w:hAnchor="page" w:x="6573" w:y="721"/>
            </w:pPr>
          </w:p>
        </w:tc>
        <w:tc>
          <w:tcPr>
            <w:tcW w:w="2347" w:type="dxa"/>
            <w:gridSpan w:val="2"/>
          </w:tcPr>
          <w:p w:rsidR="0006030F" w:rsidRPr="001C24AD" w:rsidRDefault="0006030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6030F" w:rsidRPr="001C24AD">
        <w:tblPrEx>
          <w:tblCellMar>
            <w:top w:w="0" w:type="dxa"/>
            <w:bottom w:w="0" w:type="dxa"/>
          </w:tblCellMar>
        </w:tblPrEx>
        <w:trPr>
          <w:trHeight w:val="284"/>
        </w:trPr>
        <w:tc>
          <w:tcPr>
            <w:tcW w:w="4911" w:type="dxa"/>
          </w:tcPr>
          <w:p w:rsidR="0006030F" w:rsidRPr="001C24AD" w:rsidRDefault="0006030F">
            <w:pPr>
              <w:pStyle w:val="Avsndare"/>
              <w:framePr w:h="2483" w:wrap="notBeside" w:x="1504"/>
              <w:rPr>
                <w:b/>
                <w:i w:val="0"/>
                <w:sz w:val="22"/>
              </w:rPr>
            </w:pPr>
            <w:r w:rsidRPr="001C24AD">
              <w:rPr>
                <w:b/>
                <w:i w:val="0"/>
                <w:sz w:val="22"/>
              </w:rPr>
              <w:t>Justitiedepartementet</w:t>
            </w:r>
          </w:p>
        </w:tc>
      </w:tr>
      <w:tr w:rsidR="0006030F" w:rsidRPr="001C24AD">
        <w:tblPrEx>
          <w:tblCellMar>
            <w:top w:w="0" w:type="dxa"/>
            <w:bottom w:w="0" w:type="dxa"/>
          </w:tblCellMar>
        </w:tblPrEx>
        <w:trPr>
          <w:trHeight w:val="284"/>
        </w:trPr>
        <w:tc>
          <w:tcPr>
            <w:tcW w:w="4911" w:type="dxa"/>
          </w:tcPr>
          <w:p w:rsidR="0006030F" w:rsidRPr="001C24AD" w:rsidRDefault="0006030F">
            <w:pPr>
              <w:pStyle w:val="Avsndare"/>
              <w:framePr w:h="2483" w:wrap="notBeside" w:x="1504"/>
              <w:rPr>
                <w:bCs/>
                <w:iCs/>
              </w:rPr>
            </w:pPr>
          </w:p>
        </w:tc>
      </w:tr>
      <w:tr w:rsidR="0006030F" w:rsidRPr="001C24AD">
        <w:tblPrEx>
          <w:tblCellMar>
            <w:top w:w="0" w:type="dxa"/>
            <w:bottom w:w="0" w:type="dxa"/>
          </w:tblCellMar>
        </w:tblPrEx>
        <w:trPr>
          <w:trHeight w:val="284"/>
        </w:trPr>
        <w:tc>
          <w:tcPr>
            <w:tcW w:w="4911" w:type="dxa"/>
          </w:tcPr>
          <w:p w:rsidR="0006030F" w:rsidRPr="001C24AD" w:rsidRDefault="00B45BC4">
            <w:pPr>
              <w:pStyle w:val="Avsndare"/>
              <w:framePr w:h="2483" w:wrap="notBeside" w:x="1504"/>
              <w:rPr>
                <w:bCs/>
                <w:iCs/>
              </w:rPr>
            </w:pPr>
            <w:r w:rsidRPr="001C24AD">
              <w:rPr>
                <w:bCs/>
                <w:iCs/>
              </w:rPr>
              <w:t>Enheten för polisfrågor samt allmän ordning och säkerhet</w:t>
            </w:r>
          </w:p>
        </w:tc>
      </w:tr>
      <w:tr w:rsidR="0006030F" w:rsidRPr="001C24AD">
        <w:tblPrEx>
          <w:tblCellMar>
            <w:top w:w="0" w:type="dxa"/>
            <w:bottom w:w="0" w:type="dxa"/>
          </w:tblCellMar>
        </w:tblPrEx>
        <w:trPr>
          <w:trHeight w:val="284"/>
        </w:trPr>
        <w:tc>
          <w:tcPr>
            <w:tcW w:w="4911" w:type="dxa"/>
          </w:tcPr>
          <w:p w:rsidR="0006030F" w:rsidRPr="001C24AD" w:rsidRDefault="0006030F">
            <w:pPr>
              <w:pStyle w:val="Avsndare"/>
              <w:framePr w:h="2483" w:wrap="notBeside" w:x="1504"/>
              <w:rPr>
                <w:bCs/>
                <w:iCs/>
              </w:rPr>
            </w:pPr>
          </w:p>
        </w:tc>
      </w:tr>
      <w:tr w:rsidR="0006030F" w:rsidRPr="001C24AD">
        <w:tblPrEx>
          <w:tblCellMar>
            <w:top w:w="0" w:type="dxa"/>
            <w:bottom w:w="0" w:type="dxa"/>
          </w:tblCellMar>
        </w:tblPrEx>
        <w:trPr>
          <w:trHeight w:val="284"/>
        </w:trPr>
        <w:tc>
          <w:tcPr>
            <w:tcW w:w="4911" w:type="dxa"/>
          </w:tcPr>
          <w:p w:rsidR="0006030F" w:rsidRPr="001C24AD" w:rsidRDefault="0006030F">
            <w:pPr>
              <w:pStyle w:val="Avsndare"/>
              <w:framePr w:h="2483" w:wrap="notBeside" w:x="1504"/>
              <w:rPr>
                <w:bCs/>
                <w:iCs/>
              </w:rPr>
            </w:pPr>
          </w:p>
        </w:tc>
      </w:tr>
      <w:tr w:rsidR="0006030F" w:rsidRPr="001C24AD">
        <w:tblPrEx>
          <w:tblCellMar>
            <w:top w:w="0" w:type="dxa"/>
            <w:bottom w:w="0" w:type="dxa"/>
          </w:tblCellMar>
        </w:tblPrEx>
        <w:trPr>
          <w:trHeight w:val="284"/>
        </w:trPr>
        <w:tc>
          <w:tcPr>
            <w:tcW w:w="4911" w:type="dxa"/>
          </w:tcPr>
          <w:p w:rsidR="0006030F" w:rsidRPr="001C24AD" w:rsidRDefault="0006030F">
            <w:pPr>
              <w:pStyle w:val="Avsndare"/>
              <w:framePr w:h="2483" w:wrap="notBeside" w:x="1504"/>
              <w:rPr>
                <w:bCs/>
                <w:iCs/>
              </w:rPr>
            </w:pPr>
          </w:p>
        </w:tc>
      </w:tr>
      <w:tr w:rsidR="0006030F" w:rsidRPr="001C24AD">
        <w:tblPrEx>
          <w:tblCellMar>
            <w:top w:w="0" w:type="dxa"/>
            <w:bottom w:w="0" w:type="dxa"/>
          </w:tblCellMar>
        </w:tblPrEx>
        <w:trPr>
          <w:trHeight w:val="284"/>
        </w:trPr>
        <w:tc>
          <w:tcPr>
            <w:tcW w:w="4911" w:type="dxa"/>
          </w:tcPr>
          <w:p w:rsidR="0006030F" w:rsidRPr="001C24AD" w:rsidRDefault="0006030F">
            <w:pPr>
              <w:pStyle w:val="Avsndare"/>
              <w:framePr w:h="2483" w:wrap="notBeside" w:x="1504"/>
              <w:rPr>
                <w:bCs/>
                <w:iCs/>
              </w:rPr>
            </w:pPr>
          </w:p>
        </w:tc>
      </w:tr>
      <w:tr w:rsidR="0006030F" w:rsidRPr="001C24AD">
        <w:tblPrEx>
          <w:tblCellMar>
            <w:top w:w="0" w:type="dxa"/>
            <w:bottom w:w="0" w:type="dxa"/>
          </w:tblCellMar>
        </w:tblPrEx>
        <w:trPr>
          <w:trHeight w:val="284"/>
        </w:trPr>
        <w:tc>
          <w:tcPr>
            <w:tcW w:w="4911" w:type="dxa"/>
          </w:tcPr>
          <w:p w:rsidR="0006030F" w:rsidRPr="001C24AD" w:rsidRDefault="0006030F">
            <w:pPr>
              <w:pStyle w:val="Avsndare"/>
              <w:framePr w:h="2483" w:wrap="notBeside" w:x="1504"/>
              <w:rPr>
                <w:bCs/>
                <w:iCs/>
              </w:rPr>
            </w:pPr>
          </w:p>
        </w:tc>
      </w:tr>
      <w:tr w:rsidR="0006030F" w:rsidRPr="001C24AD">
        <w:tblPrEx>
          <w:tblCellMar>
            <w:top w:w="0" w:type="dxa"/>
            <w:bottom w:w="0" w:type="dxa"/>
          </w:tblCellMar>
        </w:tblPrEx>
        <w:trPr>
          <w:trHeight w:val="284"/>
        </w:trPr>
        <w:tc>
          <w:tcPr>
            <w:tcW w:w="4911" w:type="dxa"/>
          </w:tcPr>
          <w:p w:rsidR="0006030F" w:rsidRPr="001C24AD" w:rsidRDefault="0006030F">
            <w:pPr>
              <w:pStyle w:val="Avsndare"/>
              <w:framePr w:h="2483" w:wrap="notBeside" w:x="1504"/>
              <w:rPr>
                <w:bCs/>
                <w:iCs/>
              </w:rPr>
            </w:pPr>
          </w:p>
        </w:tc>
      </w:tr>
    </w:tbl>
    <w:p w:rsidR="0006030F" w:rsidRPr="001C24AD" w:rsidRDefault="0006030F">
      <w:pPr>
        <w:framePr w:w="4400" w:h="2523" w:wrap="notBeside" w:vAnchor="page" w:hAnchor="page" w:x="6453" w:y="2445"/>
        <w:ind w:left="142"/>
        <w:rPr>
          <w:b/>
        </w:rPr>
      </w:pPr>
    </w:p>
    <w:p w:rsidR="0006030F" w:rsidRPr="001C24AD" w:rsidRDefault="0006030F">
      <w:pPr>
        <w:pStyle w:val="RKrubrik"/>
        <w:pBdr>
          <w:bottom w:val="single" w:sz="6" w:space="1" w:color="auto"/>
        </w:pBdr>
      </w:pPr>
      <w:bookmarkStart w:id="0" w:name="bRubrik"/>
      <w:bookmarkEnd w:id="0"/>
      <w:r w:rsidRPr="001C24AD">
        <w:t>Rådets möte (</w:t>
      </w:r>
      <w:r w:rsidR="00056954" w:rsidRPr="001C24AD">
        <w:t>rättsliga och inrikes frågor)</w:t>
      </w:r>
      <w:r w:rsidRPr="001C24AD">
        <w:t xml:space="preserve"> den </w:t>
      </w:r>
      <w:r w:rsidR="00B45BC4" w:rsidRPr="001C24AD">
        <w:t>12-13 juni 2007</w:t>
      </w:r>
    </w:p>
    <w:p w:rsidR="0006030F" w:rsidRPr="001C24AD" w:rsidRDefault="0006030F">
      <w:pPr>
        <w:pStyle w:val="RKnormal"/>
      </w:pPr>
    </w:p>
    <w:p w:rsidR="0006030F" w:rsidRPr="001C24AD" w:rsidRDefault="00B45BC4">
      <w:pPr>
        <w:pStyle w:val="RKnormal"/>
        <w:rPr>
          <w:b/>
        </w:rPr>
      </w:pPr>
      <w:r w:rsidRPr="001C24AD">
        <w:rPr>
          <w:b/>
        </w:rPr>
        <w:t>Dagordningspunkt 3</w:t>
      </w:r>
    </w:p>
    <w:p w:rsidR="0006030F" w:rsidRPr="001C24AD" w:rsidRDefault="0006030F">
      <w:pPr>
        <w:pStyle w:val="RKnormal"/>
      </w:pPr>
    </w:p>
    <w:p w:rsidR="0006030F" w:rsidRPr="001C24AD" w:rsidRDefault="00B45BC4">
      <w:pPr>
        <w:pStyle w:val="RKnormal"/>
        <w:rPr>
          <w:b/>
        </w:rPr>
      </w:pPr>
      <w:r w:rsidRPr="001C24AD">
        <w:rPr>
          <w:b/>
        </w:rPr>
        <w:t>Förslag till rådsbeslut om inrättande av en europeisk polisbyrå (Europol)</w:t>
      </w:r>
    </w:p>
    <w:p w:rsidR="005858B1" w:rsidRPr="001C24AD" w:rsidRDefault="005858B1">
      <w:pPr>
        <w:pStyle w:val="RKnormal"/>
        <w:rPr>
          <w:b/>
        </w:rPr>
      </w:pPr>
    </w:p>
    <w:p w:rsidR="008A13A1" w:rsidRPr="001C24AD" w:rsidRDefault="008A13A1" w:rsidP="005858B1">
      <w:pPr>
        <w:pStyle w:val="RKnormal"/>
        <w:numPr>
          <w:ilvl w:val="0"/>
          <w:numId w:val="6"/>
        </w:numPr>
        <w:rPr>
          <w:b/>
        </w:rPr>
      </w:pPr>
      <w:r w:rsidRPr="001C24AD">
        <w:rPr>
          <w:b/>
        </w:rPr>
        <w:t>Slutförande (politisk överenskommelse om) kapitel 1 i förslaget</w:t>
      </w:r>
    </w:p>
    <w:p w:rsidR="00B45BC4" w:rsidRPr="001C24AD" w:rsidRDefault="008A13A1" w:rsidP="005858B1">
      <w:pPr>
        <w:pStyle w:val="RKnormal"/>
        <w:numPr>
          <w:ilvl w:val="0"/>
          <w:numId w:val="6"/>
        </w:numPr>
        <w:rPr>
          <w:b/>
        </w:rPr>
      </w:pPr>
      <w:r w:rsidRPr="001C24AD">
        <w:rPr>
          <w:b/>
        </w:rPr>
        <w:t xml:space="preserve">Antagande av rådsslutsatser </w:t>
      </w:r>
      <w:r w:rsidR="00B45BC4" w:rsidRPr="001C24AD">
        <w:rPr>
          <w:b/>
        </w:rPr>
        <w:t xml:space="preserve">om </w:t>
      </w:r>
      <w:r w:rsidRPr="001C24AD">
        <w:rPr>
          <w:b/>
        </w:rPr>
        <w:t xml:space="preserve">ersättandet av Europolkonventionen med ett rådsbeslut </w:t>
      </w:r>
      <w:r w:rsidR="00F21AF8" w:rsidRPr="001C24AD">
        <w:rPr>
          <w:b/>
        </w:rPr>
        <w:t>(A</w:t>
      </w:r>
      <w:r w:rsidRPr="001C24AD">
        <w:rPr>
          <w:b/>
        </w:rPr>
        <w:t xml:space="preserve">vser endast frågan om den </w:t>
      </w:r>
      <w:r w:rsidR="00B45BC4" w:rsidRPr="001C24AD">
        <w:rPr>
          <w:b/>
        </w:rPr>
        <w:t>framtida finansiering</w:t>
      </w:r>
      <w:r w:rsidR="00F21AF8" w:rsidRPr="001C24AD">
        <w:rPr>
          <w:b/>
        </w:rPr>
        <w:t>en</w:t>
      </w:r>
      <w:r w:rsidR="00B45BC4" w:rsidRPr="001C24AD">
        <w:rPr>
          <w:b/>
        </w:rPr>
        <w:t xml:space="preserve"> av Europol)</w:t>
      </w:r>
    </w:p>
    <w:p w:rsidR="0006030F" w:rsidRPr="001C24AD" w:rsidRDefault="0006030F">
      <w:pPr>
        <w:pStyle w:val="RKnormal"/>
      </w:pPr>
    </w:p>
    <w:p w:rsidR="0006030F" w:rsidRPr="001C24AD" w:rsidRDefault="0006030F">
      <w:pPr>
        <w:pStyle w:val="RKnormal"/>
      </w:pPr>
      <w:r w:rsidRPr="001C24AD">
        <w:t>Dokument:</w:t>
      </w:r>
    </w:p>
    <w:p w:rsidR="005858B1" w:rsidRPr="001C24AD" w:rsidRDefault="005858B1" w:rsidP="005858B1">
      <w:pPr>
        <w:numPr>
          <w:ilvl w:val="0"/>
          <w:numId w:val="9"/>
        </w:numPr>
        <w:tabs>
          <w:tab w:val="left" w:pos="851"/>
        </w:tabs>
        <w:rPr>
          <w:szCs w:val="24"/>
        </w:rPr>
      </w:pPr>
      <w:r w:rsidRPr="001C24AD">
        <w:rPr>
          <w:szCs w:val="24"/>
        </w:rPr>
        <w:t>9923/07 EUROPOL64 (förslaget till ny lydelse av kapitel 1</w:t>
      </w:r>
      <w:r w:rsidR="007F2584" w:rsidRPr="001C24AD">
        <w:rPr>
          <w:szCs w:val="24"/>
        </w:rPr>
        <w:t>)</w:t>
      </w:r>
      <w:r w:rsidRPr="001C24AD">
        <w:rPr>
          <w:szCs w:val="24"/>
        </w:rPr>
        <w:t xml:space="preserve"> </w:t>
      </w:r>
      <w:r w:rsidR="00484F4A" w:rsidRPr="001C24AD">
        <w:rPr>
          <w:szCs w:val="24"/>
        </w:rPr>
        <w:t>(bifogas)</w:t>
      </w:r>
    </w:p>
    <w:p w:rsidR="00B45BC4" w:rsidRPr="001C24AD" w:rsidRDefault="005858B1" w:rsidP="00F21AF8">
      <w:pPr>
        <w:numPr>
          <w:ilvl w:val="0"/>
          <w:numId w:val="9"/>
        </w:numPr>
        <w:tabs>
          <w:tab w:val="left" w:pos="851"/>
        </w:tabs>
      </w:pPr>
      <w:r w:rsidRPr="001C24AD">
        <w:t>9921/07 EUROPOL 63 (förslage</w:t>
      </w:r>
      <w:r w:rsidR="00F21AF8" w:rsidRPr="001C24AD">
        <w:t>t till rådsslutsatser)</w:t>
      </w:r>
      <w:r w:rsidR="00484F4A" w:rsidRPr="001C24AD">
        <w:t xml:space="preserve"> (bifogas)</w:t>
      </w:r>
    </w:p>
    <w:p w:rsidR="00F21AF8" w:rsidRPr="001C24AD" w:rsidRDefault="00F21AF8" w:rsidP="00F21AF8">
      <w:pPr>
        <w:tabs>
          <w:tab w:val="left" w:pos="851"/>
        </w:tabs>
      </w:pPr>
    </w:p>
    <w:p w:rsidR="00B45BC4" w:rsidRPr="001C24AD" w:rsidRDefault="00B45BC4">
      <w:pPr>
        <w:pStyle w:val="RKnormal"/>
      </w:pPr>
      <w:r w:rsidRPr="001C24AD">
        <w:t>Tidigare dokument:</w:t>
      </w:r>
    </w:p>
    <w:p w:rsidR="005858B1" w:rsidRPr="001C24AD" w:rsidRDefault="005858B1" w:rsidP="00F21AF8">
      <w:pPr>
        <w:pStyle w:val="RKnormal"/>
        <w:ind w:left="720"/>
      </w:pPr>
      <w:r w:rsidRPr="001C24AD">
        <w:t xml:space="preserve">Kommissionens ursprungliga förslag till rådsbeslut: </w:t>
      </w:r>
    </w:p>
    <w:p w:rsidR="005858B1" w:rsidRPr="001C24AD" w:rsidRDefault="00B45BC4" w:rsidP="00F21AF8">
      <w:pPr>
        <w:pStyle w:val="RKnormal"/>
        <w:numPr>
          <w:ilvl w:val="0"/>
          <w:numId w:val="10"/>
        </w:numPr>
        <w:tabs>
          <w:tab w:val="clear" w:pos="720"/>
          <w:tab w:val="num" w:pos="1080"/>
        </w:tabs>
        <w:ind w:left="1080"/>
      </w:pPr>
      <w:r w:rsidRPr="001C24AD">
        <w:t>KOM (2006) 817 slutlig (5055/07 EUROPOL 2)</w:t>
      </w:r>
    </w:p>
    <w:p w:rsidR="005858B1" w:rsidRPr="001C24AD" w:rsidRDefault="005858B1" w:rsidP="005858B1">
      <w:pPr>
        <w:pStyle w:val="RKnormal"/>
      </w:pPr>
    </w:p>
    <w:p w:rsidR="0006030F" w:rsidRPr="001C24AD" w:rsidRDefault="0006030F">
      <w:pPr>
        <w:pStyle w:val="RKnormal"/>
      </w:pPr>
      <w:r w:rsidRPr="001C24AD">
        <w:t xml:space="preserve">Fakta-PM </w:t>
      </w:r>
      <w:r w:rsidR="00B45BC4" w:rsidRPr="001C24AD">
        <w:t>2006/07:FPM63 Justitie</w:t>
      </w:r>
      <w:r w:rsidRPr="001C24AD">
        <w:t>dep</w:t>
      </w:r>
      <w:r w:rsidR="00B45BC4" w:rsidRPr="001C24AD">
        <w:t>artementet</w:t>
      </w:r>
      <w:r w:rsidRPr="001C24AD">
        <w:t xml:space="preserve"> </w:t>
      </w:r>
    </w:p>
    <w:p w:rsidR="00B45BC4" w:rsidRPr="001C24AD" w:rsidRDefault="00B45BC4">
      <w:pPr>
        <w:pStyle w:val="RKnormal"/>
      </w:pPr>
    </w:p>
    <w:p w:rsidR="0006030F" w:rsidRPr="001C24AD" w:rsidRDefault="0006030F">
      <w:pPr>
        <w:pStyle w:val="RKnormal"/>
      </w:pPr>
      <w:r w:rsidRPr="001C24AD">
        <w:t>Tidigare behandlad vid samråd med EU-nämnden</w:t>
      </w:r>
      <w:r w:rsidR="00B45BC4" w:rsidRPr="001C24AD">
        <w:t xml:space="preserve"> den </w:t>
      </w:r>
      <w:r w:rsidR="00F21AF8" w:rsidRPr="001C24AD">
        <w:t xml:space="preserve">13 </w:t>
      </w:r>
      <w:r w:rsidR="00B45BC4" w:rsidRPr="001C24AD">
        <w:t>april 2007</w:t>
      </w:r>
      <w:r w:rsidR="00F21AF8" w:rsidRPr="001C24AD">
        <w:t>.</w:t>
      </w:r>
    </w:p>
    <w:p w:rsidR="00B45BC4" w:rsidRPr="001C24AD" w:rsidRDefault="00B45BC4" w:rsidP="00B45BC4">
      <w:pPr>
        <w:pStyle w:val="RKnormal"/>
      </w:pPr>
      <w:r w:rsidRPr="001C24AD">
        <w:t>Justitieutskottet har informerats om rådsbeslutet den 1 mars 2007.</w:t>
      </w:r>
    </w:p>
    <w:p w:rsidR="0006030F" w:rsidRPr="001C24AD" w:rsidRDefault="0006030F">
      <w:pPr>
        <w:pStyle w:val="RKnormal"/>
      </w:pPr>
    </w:p>
    <w:p w:rsidR="00133A65" w:rsidRPr="001C24AD" w:rsidRDefault="000A78A2" w:rsidP="00484F4A">
      <w:pPr>
        <w:pStyle w:val="RKrubrik"/>
      </w:pPr>
      <w:r w:rsidRPr="001C24AD">
        <w:br w:type="page"/>
      </w:r>
      <w:r w:rsidR="0006030F" w:rsidRPr="001C24AD">
        <w:lastRenderedPageBreak/>
        <w:t>Bakgrund</w:t>
      </w:r>
    </w:p>
    <w:p w:rsidR="00133A65" w:rsidRPr="001C24AD" w:rsidRDefault="00133A65" w:rsidP="00133A65">
      <w:pPr>
        <w:tabs>
          <w:tab w:val="left" w:pos="567"/>
          <w:tab w:val="left" w:pos="1134"/>
          <w:tab w:val="left" w:pos="1701"/>
        </w:tabs>
        <w:rPr>
          <w:szCs w:val="24"/>
        </w:rPr>
      </w:pPr>
      <w:r w:rsidRPr="001C24AD">
        <w:rPr>
          <w:szCs w:val="24"/>
        </w:rPr>
        <w:t>Rådet enades i slutsatser om Europols framtid i december 2006 att E</w:t>
      </w:r>
      <w:r w:rsidRPr="001C24AD">
        <w:rPr>
          <w:szCs w:val="24"/>
        </w:rPr>
        <w:t>u</w:t>
      </w:r>
      <w:r w:rsidRPr="001C24AD">
        <w:rPr>
          <w:szCs w:val="24"/>
        </w:rPr>
        <w:t xml:space="preserve">ropolkonventionen skall ersättas av ett rådsbeslut. Syftet är att </w:t>
      </w:r>
      <w:r w:rsidRPr="001C24AD">
        <w:t>underlä</w:t>
      </w:r>
      <w:r w:rsidRPr="001C24AD">
        <w:t>t</w:t>
      </w:r>
      <w:r w:rsidRPr="001C24AD">
        <w:t>ta en snabbare anpassning av Europols verksamhet</w:t>
      </w:r>
      <w:r w:rsidRPr="001C24AD">
        <w:rPr>
          <w:szCs w:val="24"/>
        </w:rPr>
        <w:t xml:space="preserve"> för att möta nya krav från medlemsstaterna och förändringar i omvärlden. De senast genomfö</w:t>
      </w:r>
      <w:r w:rsidRPr="001C24AD">
        <w:rPr>
          <w:szCs w:val="24"/>
        </w:rPr>
        <w:t>r</w:t>
      </w:r>
      <w:r w:rsidRPr="001C24AD">
        <w:rPr>
          <w:szCs w:val="24"/>
        </w:rPr>
        <w:t xml:space="preserve">da ändringarna i Europolkonventionen har tagit 4-7 år att sätta i kraft. </w:t>
      </w:r>
    </w:p>
    <w:p w:rsidR="00133A65" w:rsidRPr="001C24AD" w:rsidRDefault="00133A65" w:rsidP="00133A65">
      <w:pPr>
        <w:tabs>
          <w:tab w:val="left" w:pos="567"/>
          <w:tab w:val="left" w:pos="1134"/>
          <w:tab w:val="left" w:pos="1701"/>
        </w:tabs>
        <w:rPr>
          <w:szCs w:val="24"/>
        </w:rPr>
      </w:pPr>
    </w:p>
    <w:p w:rsidR="00133A65" w:rsidRPr="001C24AD" w:rsidRDefault="00133A65" w:rsidP="00133A65">
      <w:pPr>
        <w:tabs>
          <w:tab w:val="left" w:pos="567"/>
          <w:tab w:val="left" w:pos="1134"/>
          <w:tab w:val="left" w:pos="1701"/>
        </w:tabs>
        <w:rPr>
          <w:szCs w:val="24"/>
        </w:rPr>
      </w:pPr>
      <w:r w:rsidRPr="001C24AD">
        <w:rPr>
          <w:szCs w:val="24"/>
        </w:rPr>
        <w:t>Som förutsättning för övergång till ett rådsbeslut angavs särskilt att en fullständig analys skall göras av konsekvenserna för E</w:t>
      </w:r>
      <w:r w:rsidRPr="001C24AD">
        <w:rPr>
          <w:szCs w:val="24"/>
        </w:rPr>
        <w:t>u</w:t>
      </w:r>
      <w:r w:rsidRPr="001C24AD">
        <w:rPr>
          <w:szCs w:val="24"/>
        </w:rPr>
        <w:t xml:space="preserve">ropol av </w:t>
      </w:r>
    </w:p>
    <w:p w:rsidR="00133A65" w:rsidRPr="001C24AD" w:rsidRDefault="00133A65" w:rsidP="00133A65">
      <w:pPr>
        <w:numPr>
          <w:ilvl w:val="0"/>
          <w:numId w:val="13"/>
        </w:numPr>
        <w:tabs>
          <w:tab w:val="left" w:pos="567"/>
          <w:tab w:val="left" w:pos="1134"/>
          <w:tab w:val="left" w:pos="1701"/>
        </w:tabs>
        <w:rPr>
          <w:szCs w:val="24"/>
        </w:rPr>
      </w:pPr>
      <w:r w:rsidRPr="001C24AD">
        <w:rPr>
          <w:szCs w:val="24"/>
        </w:rPr>
        <w:t xml:space="preserve"> gemenskapsfinansiering </w:t>
      </w:r>
    </w:p>
    <w:p w:rsidR="00133A65" w:rsidRPr="001C24AD" w:rsidRDefault="00133A65" w:rsidP="00133A65">
      <w:pPr>
        <w:numPr>
          <w:ilvl w:val="0"/>
          <w:numId w:val="13"/>
        </w:numPr>
        <w:tabs>
          <w:tab w:val="left" w:pos="567"/>
          <w:tab w:val="left" w:pos="1134"/>
          <w:tab w:val="left" w:pos="1701"/>
        </w:tabs>
        <w:rPr>
          <w:szCs w:val="24"/>
        </w:rPr>
      </w:pPr>
      <w:r w:rsidRPr="001C24AD">
        <w:rPr>
          <w:szCs w:val="24"/>
        </w:rPr>
        <w:t xml:space="preserve"> tillämpning av EU:s tjänsteföreskrifter om personal samt </w:t>
      </w:r>
    </w:p>
    <w:p w:rsidR="00133A65" w:rsidRPr="001C24AD" w:rsidRDefault="00133A65" w:rsidP="00133A65">
      <w:pPr>
        <w:numPr>
          <w:ilvl w:val="0"/>
          <w:numId w:val="13"/>
        </w:numPr>
        <w:tabs>
          <w:tab w:val="left" w:pos="567"/>
          <w:tab w:val="left" w:pos="1134"/>
          <w:tab w:val="left" w:pos="1701"/>
        </w:tabs>
        <w:rPr>
          <w:szCs w:val="24"/>
        </w:rPr>
      </w:pPr>
      <w:r w:rsidRPr="001C24AD">
        <w:rPr>
          <w:szCs w:val="24"/>
        </w:rPr>
        <w:t xml:space="preserve"> tillämpning av EU:s protokoll om immunitet och privilegier.</w:t>
      </w:r>
    </w:p>
    <w:p w:rsidR="00133A65" w:rsidRPr="001C24AD" w:rsidRDefault="00133A65" w:rsidP="00133A65">
      <w:pPr>
        <w:tabs>
          <w:tab w:val="left" w:pos="567"/>
          <w:tab w:val="left" w:pos="1134"/>
          <w:tab w:val="left" w:pos="1701"/>
        </w:tabs>
        <w:rPr>
          <w:szCs w:val="24"/>
        </w:rPr>
      </w:pPr>
      <w:r w:rsidRPr="001C24AD">
        <w:rPr>
          <w:szCs w:val="24"/>
        </w:rPr>
        <w:t>Analysen skall göras mot bakgrund av principen om budgetneutralitet och med hänsyn till de speciella krav som följer av Europols mandat och uppgi</w:t>
      </w:r>
      <w:r w:rsidRPr="001C24AD">
        <w:rPr>
          <w:szCs w:val="24"/>
        </w:rPr>
        <w:t>f</w:t>
      </w:r>
      <w:r w:rsidRPr="001C24AD">
        <w:rPr>
          <w:szCs w:val="24"/>
        </w:rPr>
        <w:t>ter.</w:t>
      </w:r>
    </w:p>
    <w:p w:rsidR="005E5F1F" w:rsidRPr="001C24AD" w:rsidRDefault="005E5F1F" w:rsidP="005E5F1F">
      <w:pPr>
        <w:tabs>
          <w:tab w:val="left" w:pos="567"/>
          <w:tab w:val="left" w:pos="1134"/>
          <w:tab w:val="left" w:pos="1701"/>
        </w:tabs>
      </w:pPr>
    </w:p>
    <w:p w:rsidR="00A63ACB" w:rsidRPr="001C24AD" w:rsidRDefault="005E5F1F" w:rsidP="00133A65">
      <w:pPr>
        <w:tabs>
          <w:tab w:val="left" w:pos="567"/>
          <w:tab w:val="left" w:pos="1134"/>
          <w:tab w:val="left" w:pos="1701"/>
        </w:tabs>
      </w:pPr>
      <w:r w:rsidRPr="001C24AD">
        <w:t>Kommissionen lade i början av januari fram sitt förslag till rådsbeslut (5055/07 EUROPOL 2, KOM (2006) 817 slutlig).</w:t>
      </w:r>
      <w:r w:rsidR="00133A65" w:rsidRPr="001C24AD">
        <w:t xml:space="preserve"> </w:t>
      </w:r>
    </w:p>
    <w:p w:rsidR="00A63ACB" w:rsidRPr="001C24AD" w:rsidRDefault="00A63ACB" w:rsidP="00133A65">
      <w:pPr>
        <w:tabs>
          <w:tab w:val="left" w:pos="567"/>
          <w:tab w:val="left" w:pos="1134"/>
          <w:tab w:val="left" w:pos="1701"/>
        </w:tabs>
      </w:pPr>
    </w:p>
    <w:p w:rsidR="00483925" w:rsidRPr="001C24AD" w:rsidRDefault="00483925" w:rsidP="00133A65">
      <w:pPr>
        <w:tabs>
          <w:tab w:val="left" w:pos="567"/>
          <w:tab w:val="left" w:pos="1134"/>
          <w:tab w:val="left" w:pos="1701"/>
        </w:tabs>
      </w:pPr>
      <w:r w:rsidRPr="001C24AD">
        <w:t xml:space="preserve">RIF-rådet den 12-13 juni 2007 förväntas </w:t>
      </w:r>
    </w:p>
    <w:p w:rsidR="00483925" w:rsidRPr="001C24AD" w:rsidRDefault="00483925" w:rsidP="00133A65">
      <w:pPr>
        <w:tabs>
          <w:tab w:val="left" w:pos="567"/>
          <w:tab w:val="left" w:pos="1134"/>
          <w:tab w:val="left" w:pos="1701"/>
        </w:tabs>
      </w:pPr>
      <w:r w:rsidRPr="001C24AD">
        <w:t>a) nå politisk överenskommelse om kapitel 1 i förslaget till rådsbeslut och</w:t>
      </w:r>
    </w:p>
    <w:p w:rsidR="00483925" w:rsidRPr="001C24AD" w:rsidRDefault="00483925" w:rsidP="00133A65">
      <w:pPr>
        <w:tabs>
          <w:tab w:val="left" w:pos="567"/>
          <w:tab w:val="left" w:pos="1134"/>
          <w:tab w:val="left" w:pos="1701"/>
        </w:tabs>
      </w:pPr>
      <w:r w:rsidRPr="001C24AD">
        <w:t xml:space="preserve">b) anta rådsslutsatser om ersättandet av Europolkonventionen med ett rådsbeslut (avser endast frågan om den framtida finansieringen av Europol). </w:t>
      </w:r>
    </w:p>
    <w:p w:rsidR="00483925" w:rsidRPr="001C24AD" w:rsidRDefault="00483925" w:rsidP="00133A65">
      <w:pPr>
        <w:tabs>
          <w:tab w:val="left" w:pos="567"/>
          <w:tab w:val="left" w:pos="1134"/>
          <w:tab w:val="left" w:pos="1701"/>
        </w:tabs>
      </w:pPr>
    </w:p>
    <w:p w:rsidR="005E5F1F" w:rsidRPr="001C24AD" w:rsidRDefault="005E5F1F" w:rsidP="00133A65">
      <w:pPr>
        <w:tabs>
          <w:tab w:val="left" w:pos="567"/>
          <w:tab w:val="left" w:pos="1134"/>
          <w:tab w:val="left" w:pos="1701"/>
        </w:tabs>
      </w:pPr>
      <w:r w:rsidRPr="001C24AD">
        <w:t xml:space="preserve">Nedan beskrivs </w:t>
      </w:r>
      <w:r w:rsidR="00363788" w:rsidRPr="001C24AD">
        <w:t xml:space="preserve">förhandlingarna och </w:t>
      </w:r>
      <w:r w:rsidRPr="001C24AD">
        <w:t>ändring</w:t>
      </w:r>
      <w:r w:rsidR="00363788" w:rsidRPr="001C24AD">
        <w:t>sförslagen</w:t>
      </w:r>
      <w:r w:rsidRPr="001C24AD">
        <w:t xml:space="preserve"> i de delar de omfattas av behandlingen vid rådsmötet i juni.</w:t>
      </w:r>
      <w:r w:rsidR="00133A65" w:rsidRPr="001C24AD">
        <w:t xml:space="preserve"> I övriga dela</w:t>
      </w:r>
      <w:r w:rsidR="00363788" w:rsidRPr="001C24AD">
        <w:t>r hänvisas till faktapromemoria</w:t>
      </w:r>
      <w:r w:rsidR="00133A65" w:rsidRPr="001C24AD">
        <w:t>.</w:t>
      </w:r>
    </w:p>
    <w:p w:rsidR="008820B8" w:rsidRPr="001C24AD" w:rsidRDefault="00483925" w:rsidP="00483925">
      <w:pPr>
        <w:pStyle w:val="Rubrik2"/>
      </w:pPr>
      <w:r w:rsidRPr="001C24AD">
        <w:t xml:space="preserve">a) </w:t>
      </w:r>
      <w:r w:rsidR="00363788" w:rsidRPr="001C24AD">
        <w:t>K</w:t>
      </w:r>
      <w:r w:rsidR="000853BE" w:rsidRPr="001C24AD">
        <w:t>apitel I, artiklarna 1-9 (”Inrä</w:t>
      </w:r>
      <w:r w:rsidR="000853BE" w:rsidRPr="001C24AD">
        <w:t>t</w:t>
      </w:r>
      <w:r w:rsidR="000853BE" w:rsidRPr="001C24AD">
        <w:t>tande och uppgifter”).</w:t>
      </w:r>
    </w:p>
    <w:p w:rsidR="00A63ACB" w:rsidRPr="001C24AD" w:rsidRDefault="00A63ACB" w:rsidP="00A63ACB">
      <w:pPr>
        <w:pStyle w:val="RKnormal"/>
      </w:pPr>
      <w:r w:rsidRPr="001C24AD">
        <w:t>Texten har behandlats vid upprepade möten under våren samt genom skriftligt förfarande. Delar av texten har varit svåra att enas kring, främst på grund av skiftande förhållanden i medlemsstaterna, men det råder nu enighet om dessa.</w:t>
      </w:r>
    </w:p>
    <w:p w:rsidR="00F21AF8" w:rsidRPr="001C24AD" w:rsidRDefault="00483925" w:rsidP="00363788">
      <w:pPr>
        <w:pStyle w:val="Rubrik2"/>
      </w:pPr>
      <w:r w:rsidRPr="001C24AD">
        <w:t>b) Rådsslutsatser om f</w:t>
      </w:r>
      <w:r w:rsidR="00F21AF8" w:rsidRPr="001C24AD">
        <w:t>rågan om finansiering och personal.</w:t>
      </w:r>
    </w:p>
    <w:p w:rsidR="000853BE" w:rsidRPr="001C24AD" w:rsidRDefault="00F21AF8" w:rsidP="000853BE">
      <w:pPr>
        <w:overflowPunct/>
        <w:spacing w:line="240" w:lineRule="atLeast"/>
        <w:textAlignment w:val="auto"/>
        <w:rPr>
          <w:szCs w:val="24"/>
        </w:rPr>
      </w:pPr>
      <w:r w:rsidRPr="001C24AD">
        <w:rPr>
          <w:szCs w:val="24"/>
        </w:rPr>
        <w:t xml:space="preserve">På </w:t>
      </w:r>
      <w:r w:rsidR="00483925" w:rsidRPr="001C24AD">
        <w:rPr>
          <w:szCs w:val="24"/>
        </w:rPr>
        <w:t xml:space="preserve">basis av </w:t>
      </w:r>
      <w:r w:rsidRPr="001C24AD">
        <w:rPr>
          <w:szCs w:val="24"/>
        </w:rPr>
        <w:t xml:space="preserve">de underlag som presenterats (beräkningar av </w:t>
      </w:r>
      <w:r w:rsidR="000853BE" w:rsidRPr="001C24AD">
        <w:rPr>
          <w:szCs w:val="24"/>
        </w:rPr>
        <w:t>kommissionen</w:t>
      </w:r>
      <w:r w:rsidRPr="001C24AD">
        <w:rPr>
          <w:szCs w:val="24"/>
        </w:rPr>
        <w:t xml:space="preserve"> och Europol samt yttranden från arbetsgruppen Statut och från rådets rättstjänst) har Europolarbetsgruppen konstaterat att budgetneu</w:t>
      </w:r>
      <w:r w:rsidRPr="001C24AD">
        <w:rPr>
          <w:szCs w:val="24"/>
        </w:rPr>
        <w:t>t</w:t>
      </w:r>
      <w:r w:rsidRPr="001C24AD">
        <w:rPr>
          <w:szCs w:val="24"/>
        </w:rPr>
        <w:t>ralitet sannolikt inte kan uppnås och att verksamheten t</w:t>
      </w:r>
      <w:r w:rsidR="001A4AC4" w:rsidRPr="001C24AD">
        <w:rPr>
          <w:szCs w:val="24"/>
        </w:rPr>
        <w:t>roligen</w:t>
      </w:r>
      <w:r w:rsidRPr="001C24AD">
        <w:rPr>
          <w:szCs w:val="24"/>
        </w:rPr>
        <w:t xml:space="preserve"> ko</w:t>
      </w:r>
      <w:r w:rsidRPr="001C24AD">
        <w:rPr>
          <w:szCs w:val="24"/>
        </w:rPr>
        <w:t>m</w:t>
      </w:r>
      <w:r w:rsidRPr="001C24AD">
        <w:rPr>
          <w:szCs w:val="24"/>
        </w:rPr>
        <w:t xml:space="preserve">mer att påverkas negativt om förändringarna i denna del genomförs. </w:t>
      </w:r>
    </w:p>
    <w:p w:rsidR="00F21AF8" w:rsidRPr="001C24AD" w:rsidRDefault="00F21AF8" w:rsidP="00F21AF8">
      <w:pPr>
        <w:overflowPunct/>
        <w:spacing w:line="240" w:lineRule="atLeast"/>
        <w:textAlignment w:val="auto"/>
        <w:rPr>
          <w:szCs w:val="24"/>
        </w:rPr>
      </w:pPr>
      <w:r w:rsidRPr="001C24AD">
        <w:rPr>
          <w:szCs w:val="24"/>
        </w:rPr>
        <w:t xml:space="preserve">De främsta anledningarna till </w:t>
      </w:r>
      <w:r w:rsidR="000853BE" w:rsidRPr="001C24AD">
        <w:rPr>
          <w:szCs w:val="24"/>
        </w:rPr>
        <w:t>Sveriges</w:t>
      </w:r>
      <w:r w:rsidRPr="001C24AD">
        <w:rPr>
          <w:szCs w:val="24"/>
        </w:rPr>
        <w:t xml:space="preserve"> och andra </w:t>
      </w:r>
      <w:r w:rsidR="000853BE" w:rsidRPr="001C24AD">
        <w:rPr>
          <w:szCs w:val="24"/>
        </w:rPr>
        <w:t>medlemsstaters</w:t>
      </w:r>
      <w:r w:rsidRPr="001C24AD">
        <w:rPr>
          <w:szCs w:val="24"/>
        </w:rPr>
        <w:t xml:space="preserve"> tve</w:t>
      </w:r>
      <w:r w:rsidRPr="001C24AD">
        <w:rPr>
          <w:szCs w:val="24"/>
        </w:rPr>
        <w:t>k</w:t>
      </w:r>
      <w:r w:rsidRPr="001C24AD">
        <w:rPr>
          <w:szCs w:val="24"/>
        </w:rPr>
        <w:t>samhet är att</w:t>
      </w:r>
    </w:p>
    <w:p w:rsidR="00F21AF8" w:rsidRPr="001C24AD" w:rsidRDefault="00F21AF8" w:rsidP="00F21AF8">
      <w:pPr>
        <w:numPr>
          <w:ilvl w:val="0"/>
          <w:numId w:val="14"/>
        </w:numPr>
        <w:overflowPunct/>
        <w:spacing w:line="240" w:lineRule="atLeast"/>
        <w:textAlignment w:val="auto"/>
        <w:rPr>
          <w:szCs w:val="24"/>
        </w:rPr>
      </w:pPr>
      <w:r w:rsidRPr="001C24AD">
        <w:rPr>
          <w:szCs w:val="24"/>
        </w:rPr>
        <w:t>kostnaderna (särskilt för löner och pensioner) tycks öka med gemenskapsfinansiering</w:t>
      </w:r>
    </w:p>
    <w:p w:rsidR="00F21AF8" w:rsidRPr="001C24AD" w:rsidRDefault="00F21AF8" w:rsidP="00F21AF8">
      <w:pPr>
        <w:numPr>
          <w:ilvl w:val="0"/>
          <w:numId w:val="14"/>
        </w:numPr>
        <w:overflowPunct/>
        <w:spacing w:line="240" w:lineRule="atLeast"/>
        <w:textAlignment w:val="auto"/>
        <w:rPr>
          <w:szCs w:val="24"/>
        </w:rPr>
      </w:pPr>
      <w:r w:rsidRPr="001C24AD">
        <w:rPr>
          <w:szCs w:val="24"/>
        </w:rPr>
        <w:t xml:space="preserve">Europols rekrytering av (polisiär) specialistkompetens riskerar att försvåras genom att tjänsteföreskrifterna hindrar </w:t>
      </w:r>
      <w:r w:rsidR="000853BE" w:rsidRPr="001C24AD">
        <w:rPr>
          <w:szCs w:val="24"/>
        </w:rPr>
        <w:t xml:space="preserve">eller försvårar </w:t>
      </w:r>
      <w:r w:rsidRPr="001C24AD">
        <w:rPr>
          <w:szCs w:val="24"/>
        </w:rPr>
        <w:t>öronmär</w:t>
      </w:r>
      <w:r w:rsidRPr="001C24AD">
        <w:rPr>
          <w:szCs w:val="24"/>
        </w:rPr>
        <w:t>k</w:t>
      </w:r>
      <w:r w:rsidRPr="001C24AD">
        <w:rPr>
          <w:szCs w:val="24"/>
        </w:rPr>
        <w:t xml:space="preserve">ning av </w:t>
      </w:r>
      <w:r w:rsidR="000853BE" w:rsidRPr="001C24AD">
        <w:rPr>
          <w:szCs w:val="24"/>
        </w:rPr>
        <w:t>vissa särskilda tjänster</w:t>
      </w:r>
      <w:r w:rsidRPr="001C24AD">
        <w:rPr>
          <w:szCs w:val="24"/>
        </w:rPr>
        <w:t xml:space="preserve"> för personal från MS brottsbekämpande myndigheter</w:t>
      </w:r>
    </w:p>
    <w:p w:rsidR="00F21AF8" w:rsidRPr="001C24AD" w:rsidRDefault="00F21AF8" w:rsidP="00F21AF8">
      <w:pPr>
        <w:numPr>
          <w:ilvl w:val="0"/>
          <w:numId w:val="14"/>
        </w:numPr>
        <w:overflowPunct/>
        <w:spacing w:line="240" w:lineRule="atLeast"/>
        <w:textAlignment w:val="auto"/>
        <w:rPr>
          <w:szCs w:val="24"/>
        </w:rPr>
      </w:pPr>
      <w:r w:rsidRPr="001C24AD">
        <w:rPr>
          <w:szCs w:val="24"/>
        </w:rPr>
        <w:t>Europolpersonalens deltagande i gemensamma utredningsgru</w:t>
      </w:r>
      <w:r w:rsidRPr="001C24AD">
        <w:rPr>
          <w:szCs w:val="24"/>
        </w:rPr>
        <w:t>p</w:t>
      </w:r>
      <w:r w:rsidR="000853BE" w:rsidRPr="001C24AD">
        <w:rPr>
          <w:szCs w:val="24"/>
        </w:rPr>
        <w:t>per</w:t>
      </w:r>
      <w:r w:rsidRPr="001C24AD">
        <w:rPr>
          <w:szCs w:val="24"/>
        </w:rPr>
        <w:t xml:space="preserve"> </w:t>
      </w:r>
      <w:r w:rsidR="000853BE" w:rsidRPr="001C24AD">
        <w:rPr>
          <w:szCs w:val="24"/>
        </w:rPr>
        <w:t>(</w:t>
      </w:r>
      <w:r w:rsidRPr="001C24AD">
        <w:rPr>
          <w:szCs w:val="24"/>
        </w:rPr>
        <w:t>som möjliggörs genom et</w:t>
      </w:r>
      <w:r w:rsidR="000853BE" w:rsidRPr="001C24AD">
        <w:rPr>
          <w:szCs w:val="24"/>
        </w:rPr>
        <w:t>t</w:t>
      </w:r>
      <w:r w:rsidRPr="001C24AD">
        <w:rPr>
          <w:szCs w:val="24"/>
        </w:rPr>
        <w:t xml:space="preserve"> nyss ikraftträ</w:t>
      </w:r>
      <w:r w:rsidR="000853BE" w:rsidRPr="001C24AD">
        <w:rPr>
          <w:szCs w:val="24"/>
        </w:rPr>
        <w:t>tt</w:t>
      </w:r>
      <w:r w:rsidRPr="001C24AD">
        <w:rPr>
          <w:szCs w:val="24"/>
        </w:rPr>
        <w:t xml:space="preserve"> ändringsprot</w:t>
      </w:r>
      <w:r w:rsidRPr="001C24AD">
        <w:rPr>
          <w:szCs w:val="24"/>
        </w:rPr>
        <w:t>o</w:t>
      </w:r>
      <w:r w:rsidRPr="001C24AD">
        <w:rPr>
          <w:szCs w:val="24"/>
        </w:rPr>
        <w:t>koll från år 2002</w:t>
      </w:r>
      <w:r w:rsidR="000853BE" w:rsidRPr="001C24AD">
        <w:rPr>
          <w:szCs w:val="24"/>
        </w:rPr>
        <w:t>)</w:t>
      </w:r>
      <w:r w:rsidRPr="001C24AD">
        <w:rPr>
          <w:szCs w:val="24"/>
        </w:rPr>
        <w:t xml:space="preserve">, förhindras av </w:t>
      </w:r>
      <w:r w:rsidR="000853BE" w:rsidRPr="001C24AD">
        <w:rPr>
          <w:szCs w:val="24"/>
        </w:rPr>
        <w:t>EU:s regler om immunitet</w:t>
      </w:r>
    </w:p>
    <w:p w:rsidR="00F21AF8" w:rsidRPr="001C24AD" w:rsidRDefault="00F21AF8" w:rsidP="00F21AF8">
      <w:pPr>
        <w:numPr>
          <w:ilvl w:val="0"/>
          <w:numId w:val="14"/>
        </w:numPr>
        <w:overflowPunct/>
        <w:spacing w:line="240" w:lineRule="atLeast"/>
        <w:textAlignment w:val="auto"/>
        <w:rPr>
          <w:szCs w:val="24"/>
        </w:rPr>
      </w:pPr>
      <w:r w:rsidRPr="001C24AD">
        <w:t xml:space="preserve">de </w:t>
      </w:r>
      <w:r w:rsidR="000853BE" w:rsidRPr="001C24AD">
        <w:t xml:space="preserve">av kommissionen </w:t>
      </w:r>
      <w:r w:rsidRPr="001C24AD">
        <w:t>föreslagna lösningarna i nämnda regelverk snarast är av kara</w:t>
      </w:r>
      <w:r w:rsidRPr="001C24AD">
        <w:t>k</w:t>
      </w:r>
      <w:r w:rsidRPr="001C24AD">
        <w:t>tären nödlösningar och konstruktioner som inte tillfredsställer verksamhetens krav.</w:t>
      </w:r>
      <w:r w:rsidRPr="001C24AD">
        <w:rPr>
          <w:szCs w:val="24"/>
        </w:rPr>
        <w:t xml:space="preserve"> </w:t>
      </w:r>
    </w:p>
    <w:p w:rsidR="00F21AF8" w:rsidRPr="001C24AD" w:rsidRDefault="00F21AF8" w:rsidP="00F21AF8">
      <w:pPr>
        <w:tabs>
          <w:tab w:val="left" w:pos="567"/>
          <w:tab w:val="left" w:pos="1134"/>
          <w:tab w:val="left" w:pos="1701"/>
        </w:tabs>
        <w:rPr>
          <w:szCs w:val="24"/>
        </w:rPr>
      </w:pPr>
    </w:p>
    <w:p w:rsidR="00DB3EC4" w:rsidRPr="001C24AD" w:rsidRDefault="00366DE5" w:rsidP="00DB3EC4">
      <w:pPr>
        <w:tabs>
          <w:tab w:val="left" w:pos="567"/>
          <w:tab w:val="left" w:pos="1134"/>
          <w:tab w:val="left" w:pos="1701"/>
        </w:tabs>
        <w:rPr>
          <w:szCs w:val="24"/>
        </w:rPr>
      </w:pPr>
      <w:r w:rsidRPr="001C24AD">
        <w:rPr>
          <w:szCs w:val="24"/>
        </w:rPr>
        <w:t xml:space="preserve">Hittills har medlemsstaterna därför varit eniga om att </w:t>
      </w:r>
      <w:r w:rsidR="00F21AF8" w:rsidRPr="001C24AD">
        <w:rPr>
          <w:szCs w:val="24"/>
        </w:rPr>
        <w:t>ersä</w:t>
      </w:r>
      <w:r w:rsidR="00F21AF8" w:rsidRPr="001C24AD">
        <w:rPr>
          <w:szCs w:val="24"/>
        </w:rPr>
        <w:t>t</w:t>
      </w:r>
      <w:r w:rsidR="00F21AF8" w:rsidRPr="001C24AD">
        <w:rPr>
          <w:szCs w:val="24"/>
        </w:rPr>
        <w:t>ta konventionen med ett rådsbeslut men att samtidigt stå kvar vid medlemsstatsfinansiering</w:t>
      </w:r>
      <w:r w:rsidR="00502334" w:rsidRPr="001C24AD">
        <w:rPr>
          <w:szCs w:val="24"/>
        </w:rPr>
        <w:t>en</w:t>
      </w:r>
      <w:r w:rsidR="00F21AF8" w:rsidRPr="001C24AD">
        <w:rPr>
          <w:szCs w:val="24"/>
        </w:rPr>
        <w:t xml:space="preserve"> och behålla Europols egna personalstatuter och prot</w:t>
      </w:r>
      <w:r w:rsidR="00F21AF8" w:rsidRPr="001C24AD">
        <w:rPr>
          <w:szCs w:val="24"/>
        </w:rPr>
        <w:t>o</w:t>
      </w:r>
      <w:r w:rsidR="00F21AF8" w:rsidRPr="001C24AD">
        <w:rPr>
          <w:szCs w:val="24"/>
        </w:rPr>
        <w:t>koll om immunitet och privilegier. Enighet har också rått om att ett framtida beslut om gemenskapsfinansiering kräver ett bättre underlag i kostnadsdelen samt mer genomarbet</w:t>
      </w:r>
      <w:r w:rsidR="00F21AF8" w:rsidRPr="001C24AD">
        <w:rPr>
          <w:szCs w:val="24"/>
        </w:rPr>
        <w:t>a</w:t>
      </w:r>
      <w:r w:rsidR="00F21AF8" w:rsidRPr="001C24AD">
        <w:rPr>
          <w:szCs w:val="24"/>
        </w:rPr>
        <w:t>de förslag till ändringar i EU:s personalstatuter och immunitet</w:t>
      </w:r>
      <w:r w:rsidR="00F21AF8" w:rsidRPr="001C24AD">
        <w:rPr>
          <w:szCs w:val="24"/>
        </w:rPr>
        <w:t>s</w:t>
      </w:r>
      <w:r w:rsidR="00F21AF8" w:rsidRPr="001C24AD">
        <w:rPr>
          <w:szCs w:val="24"/>
        </w:rPr>
        <w:t xml:space="preserve">regler för att dessa ska passa även för den typ av verksamhet som Europol ansvarar för. </w:t>
      </w:r>
    </w:p>
    <w:p w:rsidR="00DB3EC4" w:rsidRPr="001C24AD" w:rsidRDefault="00DB3EC4" w:rsidP="00DB3EC4">
      <w:pPr>
        <w:tabs>
          <w:tab w:val="left" w:pos="567"/>
          <w:tab w:val="left" w:pos="1134"/>
          <w:tab w:val="left" w:pos="1701"/>
        </w:tabs>
        <w:rPr>
          <w:szCs w:val="24"/>
        </w:rPr>
      </w:pPr>
    </w:p>
    <w:p w:rsidR="00F21AF8" w:rsidRPr="001C24AD" w:rsidRDefault="00DB3EC4" w:rsidP="00DB3EC4">
      <w:pPr>
        <w:tabs>
          <w:tab w:val="left" w:pos="567"/>
          <w:tab w:val="left" w:pos="1134"/>
          <w:tab w:val="left" w:pos="1701"/>
        </w:tabs>
        <w:rPr>
          <w:szCs w:val="24"/>
        </w:rPr>
      </w:pPr>
      <w:r w:rsidRPr="001C24AD">
        <w:rPr>
          <w:color w:val="000000"/>
        </w:rPr>
        <w:t xml:space="preserve">De nya </w:t>
      </w:r>
      <w:r w:rsidR="00F21AF8" w:rsidRPr="001C24AD">
        <w:rPr>
          <w:color w:val="000000"/>
        </w:rPr>
        <w:t>förslag</w:t>
      </w:r>
      <w:r w:rsidRPr="001C24AD">
        <w:rPr>
          <w:color w:val="000000"/>
        </w:rPr>
        <w:t>en</w:t>
      </w:r>
      <w:r w:rsidR="00F21AF8" w:rsidRPr="001C24AD">
        <w:rPr>
          <w:color w:val="000000"/>
        </w:rPr>
        <w:t xml:space="preserve"> </w:t>
      </w:r>
      <w:r w:rsidR="00170760" w:rsidRPr="001C24AD">
        <w:rPr>
          <w:color w:val="000000"/>
        </w:rPr>
        <w:t xml:space="preserve">från ordförandeskapet </w:t>
      </w:r>
      <w:r w:rsidRPr="001C24AD">
        <w:rPr>
          <w:color w:val="000000"/>
        </w:rPr>
        <w:t xml:space="preserve">har </w:t>
      </w:r>
      <w:r w:rsidR="00F21AF8" w:rsidRPr="001C24AD">
        <w:rPr>
          <w:color w:val="000000"/>
        </w:rPr>
        <w:t>in</w:t>
      </w:r>
      <w:r w:rsidRPr="001C24AD">
        <w:rPr>
          <w:color w:val="000000"/>
        </w:rPr>
        <w:t>nefattat</w:t>
      </w:r>
      <w:r w:rsidR="00F21AF8" w:rsidRPr="001C24AD">
        <w:rPr>
          <w:color w:val="000000"/>
        </w:rPr>
        <w:t xml:space="preserve"> bl.a. att gemenskap</w:t>
      </w:r>
      <w:r w:rsidR="00F21AF8" w:rsidRPr="001C24AD">
        <w:rPr>
          <w:color w:val="000000"/>
        </w:rPr>
        <w:t>s</w:t>
      </w:r>
      <w:r w:rsidR="00F21AF8" w:rsidRPr="001C24AD">
        <w:rPr>
          <w:color w:val="000000"/>
        </w:rPr>
        <w:t>finansiering sk</w:t>
      </w:r>
      <w:r w:rsidRPr="001C24AD">
        <w:rPr>
          <w:color w:val="000000"/>
        </w:rPr>
        <w:t>a</w:t>
      </w:r>
      <w:r w:rsidR="00F21AF8" w:rsidRPr="001C24AD">
        <w:rPr>
          <w:color w:val="000000"/>
        </w:rPr>
        <w:t>ll ske från 1 januari 2010 om inte rådet dessföri</w:t>
      </w:r>
      <w:r w:rsidR="00F21AF8" w:rsidRPr="001C24AD">
        <w:rPr>
          <w:color w:val="000000"/>
        </w:rPr>
        <w:t>n</w:t>
      </w:r>
      <w:r w:rsidR="00F21AF8" w:rsidRPr="001C24AD">
        <w:rPr>
          <w:color w:val="000000"/>
        </w:rPr>
        <w:t>nan enhälligt beslutat om motsatsen</w:t>
      </w:r>
      <w:r w:rsidRPr="001C24AD">
        <w:rPr>
          <w:color w:val="000000"/>
        </w:rPr>
        <w:t xml:space="preserve">. Många medlemsstater har </w:t>
      </w:r>
      <w:r w:rsidR="00170760" w:rsidRPr="001C24AD">
        <w:t>invänt</w:t>
      </w:r>
      <w:r w:rsidRPr="001C24AD">
        <w:t xml:space="preserve"> mot </w:t>
      </w:r>
      <w:r w:rsidR="00F21AF8" w:rsidRPr="001C24AD">
        <w:t>automatiken i förfarandet</w:t>
      </w:r>
      <w:r w:rsidRPr="001C24AD">
        <w:t xml:space="preserve"> och mot att de</w:t>
      </w:r>
      <w:r w:rsidR="00F21AF8" w:rsidRPr="001C24AD">
        <w:t xml:space="preserve"> föreslagna lösningarna i personalregelverket inte </w:t>
      </w:r>
      <w:r w:rsidRPr="001C24AD">
        <w:t>tillfredsställer verksamhetens krav</w:t>
      </w:r>
      <w:r w:rsidR="003A1855" w:rsidRPr="001C24AD">
        <w:t>. Dessutom är man missnöjd med  s</w:t>
      </w:r>
      <w:r w:rsidR="00F21AF8" w:rsidRPr="001C24AD">
        <w:t xml:space="preserve">ättet att hantera </w:t>
      </w:r>
      <w:r w:rsidR="003A1855" w:rsidRPr="001C24AD">
        <w:t>kravet på</w:t>
      </w:r>
      <w:r w:rsidR="00F21AF8" w:rsidRPr="001C24AD">
        <w:t xml:space="preserve"> budgetneutralitet</w:t>
      </w:r>
      <w:r w:rsidRPr="001C24AD">
        <w:t>.</w:t>
      </w:r>
    </w:p>
    <w:p w:rsidR="0006030F" w:rsidRPr="001C24AD" w:rsidRDefault="0006030F">
      <w:pPr>
        <w:pStyle w:val="RKrubrik"/>
      </w:pPr>
      <w:r w:rsidRPr="001C24AD">
        <w:t>Rättslig grund och beslutsförfarande</w:t>
      </w:r>
    </w:p>
    <w:p w:rsidR="00B45BC4" w:rsidRPr="001C24AD" w:rsidRDefault="00B45BC4" w:rsidP="00B45BC4">
      <w:r w:rsidRPr="001C24AD">
        <w:t>Artikel 30.1 b, artikel 30.2 samt artikel 34.2 c i EU-fördraget. Beslut fa</w:t>
      </w:r>
      <w:r w:rsidRPr="001C24AD">
        <w:t>t</w:t>
      </w:r>
      <w:r w:rsidRPr="001C24AD">
        <w:t>tas med enhällighet.</w:t>
      </w:r>
    </w:p>
    <w:p w:rsidR="0006030F" w:rsidRPr="001C24AD" w:rsidRDefault="0006030F">
      <w:pPr>
        <w:pStyle w:val="RKrubrik"/>
        <w:rPr>
          <w:i/>
          <w:iCs/>
        </w:rPr>
      </w:pPr>
      <w:r w:rsidRPr="001C24AD">
        <w:rPr>
          <w:i/>
          <w:iCs/>
        </w:rPr>
        <w:t>Svensk ståndpunkt</w:t>
      </w:r>
    </w:p>
    <w:p w:rsidR="000853BE" w:rsidRPr="001C24AD" w:rsidRDefault="000853BE" w:rsidP="000853BE">
      <w:pPr>
        <w:pStyle w:val="Rubrik3"/>
        <w:numPr>
          <w:ilvl w:val="0"/>
          <w:numId w:val="30"/>
        </w:numPr>
        <w:rPr>
          <w:b/>
        </w:rPr>
      </w:pPr>
      <w:r w:rsidRPr="001C24AD">
        <w:rPr>
          <w:b/>
        </w:rPr>
        <w:t>Förslaget till kapitel I (”Inrä</w:t>
      </w:r>
      <w:r w:rsidRPr="001C24AD">
        <w:rPr>
          <w:b/>
        </w:rPr>
        <w:t>t</w:t>
      </w:r>
      <w:r w:rsidRPr="001C24AD">
        <w:rPr>
          <w:b/>
        </w:rPr>
        <w:t>tande och uppgifter”).</w:t>
      </w:r>
    </w:p>
    <w:p w:rsidR="000853BE" w:rsidRPr="001C24AD" w:rsidRDefault="00366DE5" w:rsidP="000853BE">
      <w:pPr>
        <w:tabs>
          <w:tab w:val="left" w:pos="567"/>
          <w:tab w:val="left" w:pos="1134"/>
          <w:tab w:val="left" w:pos="1701"/>
        </w:tabs>
        <w:rPr>
          <w:b/>
        </w:rPr>
      </w:pPr>
      <w:r w:rsidRPr="001C24AD">
        <w:t xml:space="preserve">Sverige står bakom de utvidgningar av mandatet och de effektiviseringar av verksamheten som föreslås i inledningskapitlet. Texten kan godtas som den ser ut i det senaste utkastet. </w:t>
      </w:r>
      <w:r w:rsidR="001E07AD" w:rsidRPr="001C24AD">
        <w:t>Den får granskas igen mot bakgrund av resultatet av förhandlingarna i övriga delar.</w:t>
      </w:r>
    </w:p>
    <w:p w:rsidR="000853BE" w:rsidRPr="001C24AD" w:rsidRDefault="000853BE" w:rsidP="00F21AF8">
      <w:pPr>
        <w:pStyle w:val="RKnormal"/>
      </w:pPr>
    </w:p>
    <w:p w:rsidR="000853BE" w:rsidRPr="001C24AD" w:rsidRDefault="00086465" w:rsidP="000853BE">
      <w:pPr>
        <w:pStyle w:val="Rubrik3"/>
        <w:numPr>
          <w:ilvl w:val="0"/>
          <w:numId w:val="30"/>
        </w:numPr>
        <w:rPr>
          <w:b/>
        </w:rPr>
      </w:pPr>
      <w:r w:rsidRPr="001C24AD">
        <w:rPr>
          <w:b/>
        </w:rPr>
        <w:t>Rådslutsatser om f</w:t>
      </w:r>
      <w:r w:rsidR="000853BE" w:rsidRPr="001C24AD">
        <w:rPr>
          <w:b/>
        </w:rPr>
        <w:t>rågan om finansiering och personal.</w:t>
      </w:r>
    </w:p>
    <w:p w:rsidR="00F21AF8" w:rsidRPr="001C24AD" w:rsidRDefault="003A1855" w:rsidP="00F21AF8">
      <w:pPr>
        <w:pStyle w:val="RKnormal"/>
        <w:rPr>
          <w:b/>
        </w:rPr>
      </w:pPr>
      <w:r w:rsidRPr="001C24AD">
        <w:t>Sverige</w:t>
      </w:r>
      <w:r w:rsidR="00F21AF8" w:rsidRPr="001C24AD">
        <w:t xml:space="preserve"> står bakom förslaget att överföra Europolkonventionen till ett rådsbeslut om förändringen är budgetneutral och inte påverkar Europols verksamhet negativt. </w:t>
      </w:r>
    </w:p>
    <w:p w:rsidR="00F21AF8" w:rsidRPr="001C24AD" w:rsidRDefault="00F21AF8" w:rsidP="00F21AF8">
      <w:pPr>
        <w:pStyle w:val="RKnormal"/>
        <w:rPr>
          <w:b/>
        </w:rPr>
      </w:pPr>
    </w:p>
    <w:p w:rsidR="00F21AF8" w:rsidRPr="001C24AD" w:rsidRDefault="003A1855" w:rsidP="00F21AF8">
      <w:pPr>
        <w:pStyle w:val="RKnormal"/>
        <w:rPr>
          <w:u w:val="single"/>
        </w:rPr>
      </w:pPr>
      <w:r w:rsidRPr="001C24AD">
        <w:t>Sverige</w:t>
      </w:r>
      <w:r w:rsidR="003D62AE" w:rsidRPr="001C24AD">
        <w:t xml:space="preserve"> kan utifrån</w:t>
      </w:r>
      <w:r w:rsidR="00F21AF8" w:rsidRPr="001C24AD">
        <w:t xml:space="preserve"> det underlag som </w:t>
      </w:r>
      <w:r w:rsidR="00936E53" w:rsidRPr="001C24AD">
        <w:t xml:space="preserve">hittills tagits fram </w:t>
      </w:r>
      <w:r w:rsidR="00F21AF8" w:rsidRPr="001C24AD">
        <w:t xml:space="preserve">inte stödja något annat förslag än </w:t>
      </w:r>
      <w:r w:rsidR="00DB3EC4" w:rsidRPr="001C24AD">
        <w:t>att</w:t>
      </w:r>
      <w:r w:rsidR="00F21AF8" w:rsidRPr="001C24AD">
        <w:t xml:space="preserve"> överför</w:t>
      </w:r>
      <w:r w:rsidR="00DB3EC4" w:rsidRPr="001C24AD">
        <w:t>a</w:t>
      </w:r>
      <w:r w:rsidR="00F21AF8" w:rsidRPr="001C24AD">
        <w:t xml:space="preserve"> Europolkonventionen till ett rådsbeslut med bibehållande av nuvarande finansieringsform och personalstatuter och en senare, stegvis övergång </w:t>
      </w:r>
      <w:r w:rsidR="00936E53" w:rsidRPr="001C24AD">
        <w:t xml:space="preserve">till gemenskapsfinansiering </w:t>
      </w:r>
      <w:r w:rsidR="00F21AF8" w:rsidRPr="001C24AD">
        <w:t>om det anses möjligt</w:t>
      </w:r>
      <w:r w:rsidR="00607CA7" w:rsidRPr="001C24AD">
        <w:t>, bl.a. utifrån kriteriet om budgetneutralitet</w:t>
      </w:r>
      <w:r w:rsidR="00F21AF8" w:rsidRPr="001C24AD">
        <w:t>.</w:t>
      </w:r>
    </w:p>
    <w:p w:rsidR="00F21AF8" w:rsidRPr="001C24AD" w:rsidRDefault="00F21AF8" w:rsidP="00F21AF8">
      <w:pPr>
        <w:pStyle w:val="RKnormal"/>
      </w:pPr>
    </w:p>
    <w:p w:rsidR="00F21AF8" w:rsidRPr="001C24AD" w:rsidRDefault="00F21AF8" w:rsidP="00F21AF8">
      <w:pPr>
        <w:pStyle w:val="RKnormal"/>
      </w:pPr>
      <w:r w:rsidRPr="001C24AD">
        <w:t xml:space="preserve">Ordförandeskapets </w:t>
      </w:r>
      <w:r w:rsidR="00F15F58" w:rsidRPr="001C24AD">
        <w:t>senaste förslag</w:t>
      </w:r>
      <w:r w:rsidRPr="001C24AD">
        <w:t xml:space="preserve"> motsvarar inte </w:t>
      </w:r>
      <w:r w:rsidR="00DB3EC4" w:rsidRPr="001C24AD">
        <w:t>medlemsstaternas</w:t>
      </w:r>
      <w:r w:rsidRPr="001C24AD">
        <w:t xml:space="preserve"> klart deklarerade uppfattning och </w:t>
      </w:r>
      <w:r w:rsidR="003A1855" w:rsidRPr="001C24AD">
        <w:t>Sverige</w:t>
      </w:r>
      <w:r w:rsidRPr="001C24AD">
        <w:t xml:space="preserve"> kan inte stödja </w:t>
      </w:r>
      <w:r w:rsidR="0041334F" w:rsidRPr="001C24AD">
        <w:t>detta</w:t>
      </w:r>
      <w:r w:rsidRPr="001C24AD">
        <w:t xml:space="preserve"> utan att nya underlag och trovärdiga motiveringar presenteras.</w:t>
      </w:r>
    </w:p>
    <w:p w:rsidR="00F21AF8" w:rsidRPr="001C24AD" w:rsidRDefault="00F21AF8" w:rsidP="00F21AF8">
      <w:pPr>
        <w:pStyle w:val="RKnormal"/>
      </w:pPr>
    </w:p>
    <w:p w:rsidR="00EB333B" w:rsidRPr="001C24AD" w:rsidRDefault="00F21AF8" w:rsidP="00EB333B">
      <w:pPr>
        <w:pStyle w:val="RKnormal"/>
      </w:pPr>
      <w:r w:rsidRPr="001C24AD">
        <w:t xml:space="preserve">I det dokument som </w:t>
      </w:r>
      <w:r w:rsidR="00EB333B" w:rsidRPr="001C24AD">
        <w:t>förelades</w:t>
      </w:r>
      <w:r w:rsidRPr="001C24AD">
        <w:t xml:space="preserve"> COREPER </w:t>
      </w:r>
      <w:r w:rsidR="00D62774" w:rsidRPr="001C24AD">
        <w:t xml:space="preserve">(9921/07 EUROPOL 63) </w:t>
      </w:r>
      <w:r w:rsidRPr="001C24AD">
        <w:t>ha</w:t>
      </w:r>
      <w:r w:rsidR="00EB333B" w:rsidRPr="001C24AD">
        <w:t>de</w:t>
      </w:r>
      <w:r w:rsidRPr="001C24AD">
        <w:t xml:space="preserve"> inga egentliga ändringar gjorts, utom att tidpunkten för beslutet(n) skjutits ett år framåt till senast den 30 juni 2008. </w:t>
      </w:r>
      <w:r w:rsidR="00EB333B" w:rsidRPr="001C24AD">
        <w:t xml:space="preserve">Från COREPER-mötet noteras bl.a. att </w:t>
      </w:r>
    </w:p>
    <w:p w:rsidR="00EB333B" w:rsidRPr="001C24AD" w:rsidRDefault="00EB333B" w:rsidP="00EB333B">
      <w:pPr>
        <w:pStyle w:val="RKnormal"/>
        <w:numPr>
          <w:ilvl w:val="0"/>
          <w:numId w:val="10"/>
        </w:numPr>
      </w:pPr>
      <w:r w:rsidRPr="001C24AD">
        <w:t>ORDF stödde förslaget att stryka satsen ”unless the Council decides otherwise by unanimity”, samt ersätta ”ensure” med ”enable” när det gäller förberedelserna för gemenskapsfinansiering</w:t>
      </w:r>
    </w:p>
    <w:p w:rsidR="00EB333B" w:rsidRPr="001C24AD" w:rsidRDefault="00B55F48" w:rsidP="00EB333B">
      <w:pPr>
        <w:pStyle w:val="RKnormal"/>
        <w:numPr>
          <w:ilvl w:val="0"/>
          <w:numId w:val="10"/>
        </w:numPr>
      </w:pPr>
      <w:r w:rsidRPr="001C24AD">
        <w:t>ORDF uttryckte stöd för Sveriges</w:t>
      </w:r>
      <w:r w:rsidR="00EB333B" w:rsidRPr="001C24AD">
        <w:t xml:space="preserve"> synpunkter att det är nödvändigt att lösa budget- och personalfrågorna innan gemenskapsfinansiering kan komma ifråga. </w:t>
      </w:r>
    </w:p>
    <w:p w:rsidR="00EB333B" w:rsidRPr="001C24AD" w:rsidRDefault="00EB333B" w:rsidP="00EB333B">
      <w:pPr>
        <w:pStyle w:val="RKnormal"/>
        <w:numPr>
          <w:ilvl w:val="0"/>
          <w:numId w:val="10"/>
        </w:numPr>
      </w:pPr>
      <w:r w:rsidRPr="001C24AD">
        <w:t xml:space="preserve">ORDF föreslog </w:t>
      </w:r>
      <w:r w:rsidR="00D62774" w:rsidRPr="001C24AD">
        <w:t xml:space="preserve">(efter önskemål att det borde anges som ett villkor för gemenskapsfinansiering att den inte får negativ effekt på Europols verksamhet) att </w:t>
      </w:r>
      <w:r w:rsidRPr="001C24AD">
        <w:t>den inledande meningen formuleras: “Therefore – and in line with the Council Conclusions of 5 December 2006 – the Council agrees to the following:”.</w:t>
      </w:r>
      <w:r w:rsidR="00D62774" w:rsidRPr="001C24AD">
        <w:t xml:space="preserve"> </w:t>
      </w:r>
    </w:p>
    <w:p w:rsidR="00EB333B" w:rsidRPr="001C24AD" w:rsidRDefault="00D62774" w:rsidP="00EB333B">
      <w:pPr>
        <w:pStyle w:val="RKnormal"/>
        <w:numPr>
          <w:ilvl w:val="0"/>
          <w:numId w:val="10"/>
        </w:numPr>
      </w:pPr>
      <w:r w:rsidRPr="001C24AD">
        <w:t xml:space="preserve">ORDF bekräftade att texten skulle tolkas så </w:t>
      </w:r>
      <w:r w:rsidR="00EB333B" w:rsidRPr="001C24AD">
        <w:t>att rådsslutsatserna i dess nuvarande version innebär att det krävs ett enhälligt rådsbeslut för att fastslå att tillfredsställande lösningar har uppnåtts i budget-, personal- och immunitetsfrågorna innan gemenskapsfinansiering skall börja gälla</w:t>
      </w:r>
      <w:r w:rsidRPr="001C24AD">
        <w:t>.</w:t>
      </w:r>
    </w:p>
    <w:p w:rsidR="00EB333B" w:rsidRPr="001C24AD" w:rsidRDefault="00EB333B" w:rsidP="00EB333B">
      <w:pPr>
        <w:pStyle w:val="RKnormal"/>
        <w:numPr>
          <w:ilvl w:val="0"/>
          <w:numId w:val="10"/>
        </w:numPr>
      </w:pPr>
      <w:r w:rsidRPr="001C24AD">
        <w:t>ORDF konstaterade härefter att det råder enighet om rådsslutsatsernas lydelse.</w:t>
      </w:r>
    </w:p>
    <w:p w:rsidR="00EB333B" w:rsidRPr="001C24AD" w:rsidRDefault="00EB333B" w:rsidP="00EB333B">
      <w:pPr>
        <w:pStyle w:val="RKnormal"/>
      </w:pPr>
    </w:p>
    <w:p w:rsidR="00F21AF8" w:rsidRPr="001C24AD" w:rsidRDefault="00D62774" w:rsidP="00F21AF8">
      <w:pPr>
        <w:pStyle w:val="RKnormal"/>
      </w:pPr>
      <w:r w:rsidRPr="001C24AD">
        <w:t>Med dessa ändringar kan Sverige stödja utkastet till rådsslutsatser. Något nytt dokument finns dock ännu ej tillgängligt</w:t>
      </w:r>
      <w:r w:rsidR="00AD04EB" w:rsidRPr="001C24AD">
        <w:t xml:space="preserve">. </w:t>
      </w:r>
      <w:r w:rsidRPr="001C24AD">
        <w:t xml:space="preserve"> </w:t>
      </w:r>
    </w:p>
    <w:p w:rsidR="0006030F" w:rsidRPr="001C24AD" w:rsidRDefault="003A1855">
      <w:pPr>
        <w:pStyle w:val="RKrubrik"/>
      </w:pPr>
      <w:r w:rsidRPr="001C24AD">
        <w:t>E</w:t>
      </w:r>
      <w:r w:rsidR="0006030F" w:rsidRPr="001C24AD">
        <w:t>uropaparlamentets inställning</w:t>
      </w:r>
    </w:p>
    <w:p w:rsidR="00F03D07" w:rsidRPr="001C24AD" w:rsidRDefault="0011229A" w:rsidP="00F03D07">
      <w:pPr>
        <w:pStyle w:val="RKnormal"/>
      </w:pPr>
      <w:r w:rsidRPr="001C24AD">
        <w:t>Europaparlamentet har ännu inte yttrat sig om förslaget.</w:t>
      </w:r>
    </w:p>
    <w:p w:rsidR="0006030F" w:rsidRPr="001C24AD" w:rsidRDefault="0006030F">
      <w:pPr>
        <w:pStyle w:val="RKrubrik"/>
        <w:rPr>
          <w:i/>
          <w:iCs/>
        </w:rPr>
      </w:pPr>
      <w:r w:rsidRPr="001C24AD">
        <w:rPr>
          <w:i/>
          <w:iCs/>
        </w:rPr>
        <w:t>Förslaget</w:t>
      </w:r>
    </w:p>
    <w:p w:rsidR="0037094A" w:rsidRPr="001C24AD" w:rsidRDefault="0037094A" w:rsidP="0037094A">
      <w:pPr>
        <w:pStyle w:val="RKnormal"/>
      </w:pPr>
      <w:r w:rsidRPr="001C24AD">
        <w:t>Nedan beskrivs ändringsförslagen i de delar de omfattas av behandlingen vid rådsmötet i juni.</w:t>
      </w:r>
    </w:p>
    <w:p w:rsidR="0011229A" w:rsidRPr="001C24AD" w:rsidRDefault="0011229A" w:rsidP="0011229A">
      <w:pPr>
        <w:pStyle w:val="RKnormal"/>
        <w:rPr>
          <w:b/>
        </w:rPr>
      </w:pPr>
    </w:p>
    <w:p w:rsidR="00950EDE" w:rsidRPr="001C24AD" w:rsidRDefault="00950EDE" w:rsidP="0011229A">
      <w:pPr>
        <w:pStyle w:val="RKnormal"/>
        <w:rPr>
          <w:b/>
        </w:rPr>
      </w:pPr>
      <w:r w:rsidRPr="001C24AD">
        <w:rPr>
          <w:b/>
        </w:rPr>
        <w:t xml:space="preserve">Kapitel I –”Inrättande och uppgifter” </w:t>
      </w:r>
    </w:p>
    <w:p w:rsidR="0011229A" w:rsidRPr="001C24AD" w:rsidRDefault="0011229A" w:rsidP="0011229A">
      <w:pPr>
        <w:pStyle w:val="RKnormal"/>
      </w:pPr>
      <w:r w:rsidRPr="001C24AD">
        <w:t>Förslaget utvidgar Europols mandat till att även omfatta brottslighet som inte har ett strikt samband med organiserad brottslighet (artikel 4). Detta kommer att göra det lättare för Europol att stödja medlemsstater vid utredningar av gränsöverskridande brottslighet där det inte från början har visats att det är fråga om organiserad brottslighet.</w:t>
      </w:r>
    </w:p>
    <w:p w:rsidR="00FF055B" w:rsidRPr="001C24AD" w:rsidRDefault="00FF055B" w:rsidP="0011229A">
      <w:pPr>
        <w:pStyle w:val="RKnormal"/>
      </w:pPr>
    </w:p>
    <w:p w:rsidR="0011229A" w:rsidRPr="001C24AD" w:rsidRDefault="0011229A" w:rsidP="0011229A">
      <w:pPr>
        <w:pStyle w:val="RKnormal"/>
      </w:pPr>
      <w:r w:rsidRPr="001C24AD">
        <w:t xml:space="preserve">Det införs även en möjlighet att stödja en medlemsstat med underrättelser och analysresurser i samband med större internationella händelser som kräver polisinsatser för att upprätthålla allmän ordning och säkerhet (artikel 5.1 </w:t>
      </w:r>
      <w:r w:rsidR="00FF055B" w:rsidRPr="001C24AD">
        <w:t>e</w:t>
      </w:r>
      <w:r w:rsidRPr="001C24AD">
        <w:t xml:space="preserve">). </w:t>
      </w:r>
      <w:r w:rsidR="00FF055B" w:rsidRPr="001C24AD">
        <w:t>Europol ges också till uppgift att stödja medlemsstaterna i att samla in och analysera information från Internet för att identifiera kriminella aktiviteter som begås med hjälp av eller underlättas av Internet.</w:t>
      </w:r>
    </w:p>
    <w:p w:rsidR="0011229A" w:rsidRPr="001C24AD" w:rsidRDefault="0011229A" w:rsidP="0011229A">
      <w:pPr>
        <w:pStyle w:val="RKnormal"/>
        <w:rPr>
          <w:b/>
        </w:rPr>
      </w:pPr>
    </w:p>
    <w:p w:rsidR="00950EDE" w:rsidRPr="001C24AD" w:rsidRDefault="00950EDE" w:rsidP="0011229A">
      <w:pPr>
        <w:pStyle w:val="RKnormal"/>
        <w:rPr>
          <w:b/>
        </w:rPr>
      </w:pPr>
      <w:r w:rsidRPr="001C24AD">
        <w:rPr>
          <w:b/>
        </w:rPr>
        <w:t>De bestämmelser i förslaget till rådsbeslut om Europol som är relevanta för rådsslutsatserna (finansiering och personal)</w:t>
      </w:r>
    </w:p>
    <w:p w:rsidR="00950EDE" w:rsidRPr="001C24AD" w:rsidRDefault="00950EDE" w:rsidP="0011229A">
      <w:pPr>
        <w:pStyle w:val="RKnormal"/>
        <w:rPr>
          <w:b/>
        </w:rPr>
      </w:pPr>
    </w:p>
    <w:p w:rsidR="0011229A" w:rsidRPr="001C24AD" w:rsidRDefault="0011229A" w:rsidP="0011229A">
      <w:pPr>
        <w:pStyle w:val="RKnormal"/>
        <w:rPr>
          <w:b/>
          <w:i/>
        </w:rPr>
      </w:pPr>
      <w:r w:rsidRPr="001C24AD">
        <w:rPr>
          <w:b/>
          <w:i/>
        </w:rPr>
        <w:t>Organisation</w:t>
      </w:r>
    </w:p>
    <w:p w:rsidR="0011229A" w:rsidRPr="001C24AD" w:rsidRDefault="0011229A" w:rsidP="0011229A">
      <w:pPr>
        <w:pStyle w:val="RKnormal"/>
      </w:pPr>
      <w:r w:rsidRPr="001C24AD">
        <w:t>Till följd av förslaget om gemenskapsfinansiering upphör finanskommittén och finanskontrollören att vara Europolorgan (artikel 35). Kommissionen tar säte i styrelsen och får tre röster, utom vid antagandet av budgeten då den tilldelas sex röster. Styrelsen skall fatta samtliga beslut med kvalificerad majoritet (artikel 36).</w:t>
      </w:r>
    </w:p>
    <w:p w:rsidR="0011229A" w:rsidRPr="001C24AD" w:rsidRDefault="0011229A" w:rsidP="0011229A">
      <w:pPr>
        <w:pStyle w:val="RKnormal"/>
        <w:rPr>
          <w:b/>
        </w:rPr>
      </w:pPr>
    </w:p>
    <w:p w:rsidR="0011229A" w:rsidRPr="001C24AD" w:rsidRDefault="0011229A" w:rsidP="0011229A">
      <w:pPr>
        <w:pStyle w:val="RKnormal"/>
        <w:rPr>
          <w:b/>
          <w:i/>
        </w:rPr>
      </w:pPr>
      <w:r w:rsidRPr="001C24AD">
        <w:rPr>
          <w:b/>
          <w:i/>
        </w:rPr>
        <w:t>Personalbestämmelser</w:t>
      </w:r>
    </w:p>
    <w:p w:rsidR="0011229A" w:rsidRPr="001C24AD" w:rsidRDefault="0011229A" w:rsidP="0011229A">
      <w:pPr>
        <w:pStyle w:val="RKnormal"/>
      </w:pPr>
      <w:r w:rsidRPr="001C24AD">
        <w:t xml:space="preserve">Europeiska gemenskapernas tjänsteföreskrifter och de tillämpningsföreskrifter som antagits gemensamt av Europeiska gemenskapernas institutioner för tillämpningen av tjänsteföreskrifterna och anställningsvillkoren, skall gälla för personal vid Europol som anställs efter det att rådsbeslutet har börjat tillämpas (artikel 38). </w:t>
      </w:r>
    </w:p>
    <w:p w:rsidR="0011229A" w:rsidRPr="001C24AD" w:rsidRDefault="0011229A" w:rsidP="0011229A">
      <w:pPr>
        <w:pStyle w:val="RKnormal"/>
      </w:pPr>
      <w:r w:rsidRPr="001C24AD">
        <w:t>Protokollet om immunitet och privilegier för Europeiska gemenskaperna skall tillämpas på Europols personal. I bilaga II till rådsbeslutet finns särskilda bestämmelser om privilegier och immunitet för Europol och ledamöterna i dess styrelse (artikel 50).</w:t>
      </w:r>
    </w:p>
    <w:p w:rsidR="0011229A" w:rsidRPr="001C24AD" w:rsidRDefault="0011229A" w:rsidP="0011229A">
      <w:pPr>
        <w:pStyle w:val="RKnormal"/>
        <w:rPr>
          <w:b/>
        </w:rPr>
      </w:pPr>
    </w:p>
    <w:p w:rsidR="0011229A" w:rsidRPr="001C24AD" w:rsidRDefault="0011229A" w:rsidP="0011229A">
      <w:pPr>
        <w:pStyle w:val="RKnormal"/>
        <w:rPr>
          <w:b/>
          <w:i/>
        </w:rPr>
      </w:pPr>
      <w:r w:rsidRPr="001C24AD">
        <w:rPr>
          <w:b/>
          <w:i/>
        </w:rPr>
        <w:t xml:space="preserve">Budgetbestämmelser </w:t>
      </w:r>
    </w:p>
    <w:p w:rsidR="0011229A" w:rsidRPr="001C24AD" w:rsidRDefault="0011229A" w:rsidP="0011229A">
      <w:pPr>
        <w:pStyle w:val="RKnormal"/>
      </w:pPr>
      <w:r w:rsidRPr="001C24AD">
        <w:t>Europol inordnas under gemenskapsbudgeten och dess budgetprocess. Finansiella bestämmelser skall antas av styrelsen efter samråd med kommissionen. Endast om det är nödvändigt för Europols verksamhet och efter föregående samtycke från kommissionen får reglerna avvika från rambudgetförordningen (EG, Euratom nr 2343/2002). Budgetmyndigheten skall underrättas om dessa avvikelser (artikel 41-44).</w:t>
      </w:r>
    </w:p>
    <w:p w:rsidR="0011229A" w:rsidRPr="001C24AD" w:rsidRDefault="0011229A" w:rsidP="0011229A">
      <w:pPr>
        <w:pStyle w:val="RKnormal"/>
        <w:rPr>
          <w:b/>
        </w:rPr>
      </w:pPr>
    </w:p>
    <w:p w:rsidR="0011229A" w:rsidRPr="001C24AD" w:rsidRDefault="0011229A" w:rsidP="0011229A">
      <w:pPr>
        <w:pStyle w:val="RKnormal"/>
        <w:rPr>
          <w:b/>
          <w:i/>
        </w:rPr>
      </w:pPr>
      <w:r w:rsidRPr="001C24AD">
        <w:rPr>
          <w:b/>
          <w:i/>
        </w:rPr>
        <w:t>Övergångsbestämmelser</w:t>
      </w:r>
    </w:p>
    <w:p w:rsidR="0011229A" w:rsidRPr="001C24AD" w:rsidRDefault="0011229A" w:rsidP="0011229A">
      <w:pPr>
        <w:pStyle w:val="RKnormal"/>
      </w:pPr>
      <w:r w:rsidRPr="001C24AD">
        <w:t>De avtal som ingåtts av Europol före rådsbeslutets ikraftträdande påverkas inte (artikel 54).</w:t>
      </w:r>
    </w:p>
    <w:p w:rsidR="0011229A" w:rsidRPr="001C24AD" w:rsidRDefault="0011229A" w:rsidP="0011229A">
      <w:pPr>
        <w:pStyle w:val="RKnormal"/>
      </w:pPr>
      <w:r w:rsidRPr="001C24AD">
        <w:t>Den personal som är anställd vid Europol vid tidpunkten för rådsbeslutets ikraftträdande skall efter ett särskilt internt urvalsförfarande som skall inledas inom två år efter det att rådsbeslutet börjar tillämpas, erbjudas anställningsavtal enligt de nya reglerna (artikel 56).</w:t>
      </w:r>
    </w:p>
    <w:p w:rsidR="0011229A" w:rsidRPr="001C24AD" w:rsidRDefault="0011229A" w:rsidP="0011229A">
      <w:pPr>
        <w:pStyle w:val="RKnormal"/>
      </w:pPr>
      <w:r w:rsidRPr="001C24AD">
        <w:t>Eventuellt över- eller underskott i de budgetar som fastställts enligt Europolkonventionen skall återbetalas till respektive täckas av medlemsstaterna (artikel 57.3 och 4).</w:t>
      </w:r>
    </w:p>
    <w:p w:rsidR="0011229A" w:rsidRPr="001C24AD" w:rsidRDefault="0011229A" w:rsidP="0011229A">
      <w:pPr>
        <w:pStyle w:val="RKnormal"/>
      </w:pPr>
      <w:r w:rsidRPr="001C24AD">
        <w:t>Nuvarande styrelse skall förbereda antagandet av en rad instrument som nämns i rådsbeslutet (artikel 58).</w:t>
      </w:r>
    </w:p>
    <w:p w:rsidR="005E5F1F" w:rsidRPr="001C24AD" w:rsidRDefault="005E5F1F" w:rsidP="0011229A">
      <w:pPr>
        <w:pStyle w:val="RKnormal"/>
      </w:pPr>
    </w:p>
    <w:p w:rsidR="0011229A" w:rsidRPr="001C24AD" w:rsidRDefault="0011229A" w:rsidP="0011229A">
      <w:pPr>
        <w:pStyle w:val="RKnormal"/>
        <w:rPr>
          <w:b/>
          <w:i/>
        </w:rPr>
      </w:pPr>
      <w:r w:rsidRPr="001C24AD">
        <w:rPr>
          <w:b/>
          <w:i/>
        </w:rPr>
        <w:t>Slutbestämmelser</w:t>
      </w:r>
    </w:p>
    <w:p w:rsidR="0011229A" w:rsidRPr="001C24AD" w:rsidRDefault="0011229A" w:rsidP="0011229A">
      <w:pPr>
        <w:pStyle w:val="RKnormal"/>
      </w:pPr>
      <w:r w:rsidRPr="001C24AD">
        <w:t>Medlemsstaterna skall se till att den nationella lagstiftningen överensstämmer med rådsbeslutet senast 18 månader efter dess antagande (artikel 59).</w:t>
      </w:r>
    </w:p>
    <w:p w:rsidR="0006030F" w:rsidRPr="001C24AD" w:rsidRDefault="0006030F">
      <w:pPr>
        <w:pStyle w:val="RKnormal"/>
      </w:pPr>
    </w:p>
    <w:p w:rsidR="0006030F" w:rsidRPr="001C24AD" w:rsidRDefault="0006030F">
      <w:pPr>
        <w:pStyle w:val="RKrubrik"/>
        <w:rPr>
          <w:i/>
          <w:iCs/>
        </w:rPr>
      </w:pPr>
      <w:r w:rsidRPr="001C24AD">
        <w:rPr>
          <w:i/>
          <w:iCs/>
        </w:rPr>
        <w:t>Gällande svenska regler och förslagets effekter på dessa</w:t>
      </w:r>
    </w:p>
    <w:p w:rsidR="0011229A" w:rsidRPr="001C24AD" w:rsidRDefault="0011229A" w:rsidP="0011229A">
      <w:pPr>
        <w:pStyle w:val="RKnormal"/>
      </w:pPr>
      <w:r w:rsidRPr="001C24AD">
        <w:t>Förslaget kan föranleda ändringar i lagen (1976:661) om immunitet och privilegier i vissa fall, i lagen (2003:1174) om vissa former av internationellt samarbete i brottsutredningar samt i lagen (2002:343) om internationellt polisiärt samarbete.</w:t>
      </w:r>
    </w:p>
    <w:p w:rsidR="0011229A" w:rsidRPr="001C24AD" w:rsidRDefault="0011229A" w:rsidP="0011229A">
      <w:pPr>
        <w:pStyle w:val="RKnormal"/>
      </w:pPr>
    </w:p>
    <w:p w:rsidR="0011229A" w:rsidRPr="001C24AD" w:rsidRDefault="0011229A" w:rsidP="0011229A">
      <w:pPr>
        <w:pStyle w:val="RKnormal"/>
      </w:pPr>
      <w:r w:rsidRPr="001C24AD">
        <w:t>Polisdatalagen (1998:622) och motsvarande lagstiftning för övriga brottsbekämpande myndigheter kan komma att påverkas av förslagen om informationsbehandling och dataskydd. Även myndigheternas föreskrifter om hantering av personuppgifter kan komma att påverkas.</w:t>
      </w:r>
    </w:p>
    <w:p w:rsidR="0006030F" w:rsidRPr="001C24AD" w:rsidRDefault="0006030F">
      <w:pPr>
        <w:pStyle w:val="RKrubrik"/>
      </w:pPr>
      <w:r w:rsidRPr="001C24AD">
        <w:t>Ekonomiska konsekvenser</w:t>
      </w:r>
    </w:p>
    <w:p w:rsidR="0011229A" w:rsidRPr="001C24AD" w:rsidRDefault="0011229A" w:rsidP="0011229A">
      <w:pPr>
        <w:pStyle w:val="RKnormal"/>
      </w:pPr>
      <w:r w:rsidRPr="001C24AD">
        <w:t>Frågor som enligt rådsslutsatserna från december 2006 skall utvärderas är konsekvenserna av en eventuell gemenskapsfinansiering liksom konsekvenserna av en eventuell tillämpning av EU:s tjänsteföreskrifter och protokollet om immunitet och privilegier för Europeiska gemenskaperna på Europols personal. Utvärderingen skall göras på grundval av principen om budgetneutralitet och med hänsyn till de speciella krav som är förenade med Europols mandat och uppgifter. Om Europol skall finansieras över EU:s budget blir det en icke-obligatorisk utgif</w:t>
      </w:r>
      <w:r w:rsidR="007C1033" w:rsidRPr="001C24AD">
        <w:t>t. Det innebär bl.a. att E</w:t>
      </w:r>
      <w:r w:rsidRPr="001C24AD">
        <w:t xml:space="preserve">uropaparlamentet har sista ordet i den årliga budgetprocessen och bestämmer nivån på anslaget för myndigheten. </w:t>
      </w:r>
    </w:p>
    <w:p w:rsidR="0011229A" w:rsidRPr="001C24AD" w:rsidRDefault="0011229A" w:rsidP="0011229A">
      <w:pPr>
        <w:pStyle w:val="RKnormal"/>
      </w:pPr>
    </w:p>
    <w:p w:rsidR="0011229A" w:rsidRPr="001C24AD" w:rsidRDefault="0011229A" w:rsidP="0011229A">
      <w:pPr>
        <w:pStyle w:val="RKnormal"/>
      </w:pPr>
      <w:r w:rsidRPr="001C24AD">
        <w:t xml:space="preserve">Det är ännu för tidigt att dra några slutsatser om hur den totala kostnaden skulle komma att förändras.  Ett införande av EU:s tjänsteföreskrifter, fördelningen av personal mellan olika lönegrader, antalet anställda, kostnader för lokaler mm. som nederländska staten som värdland finansierar idag, finansiering av Europols pensionsfond samt eventuella rationaliseringar är några faktorer som påverkar kostnaderna. </w:t>
      </w:r>
    </w:p>
    <w:p w:rsidR="0011229A" w:rsidRPr="001C24AD" w:rsidRDefault="0011229A">
      <w:pPr>
        <w:pStyle w:val="RKnormal"/>
      </w:pPr>
    </w:p>
    <w:p w:rsidR="0006030F" w:rsidRPr="001C24AD" w:rsidRDefault="0011229A">
      <w:pPr>
        <w:pStyle w:val="RKnormal"/>
      </w:pPr>
      <w:r w:rsidRPr="001C24AD">
        <w:t xml:space="preserve">Om Europol blir gemenskapsfinansierat skulle det innebära att Sveriges bidrag till Europols finansiering inte längre skall lämnas via myndigheternas budget utan ingå i Sveriges EU-avgift. Anslaget för Polisen, Tullen och Kustbevakningen skulle då komma att minskas motsvarande deras bidrag till Europol. </w:t>
      </w:r>
    </w:p>
    <w:p w:rsidR="0006030F" w:rsidRPr="001C24AD" w:rsidRDefault="0006030F">
      <w:pPr>
        <w:pStyle w:val="RKnormal"/>
        <w:rPr>
          <w:iCs/>
        </w:rPr>
      </w:pPr>
    </w:p>
    <w:p w:rsidR="00595915" w:rsidRPr="001C24AD" w:rsidRDefault="00595915" w:rsidP="00595915">
      <w:pPr>
        <w:pStyle w:val="RKnormal"/>
        <w:jc w:val="center"/>
        <w:rPr>
          <w:iCs/>
        </w:rPr>
      </w:pPr>
      <w:r w:rsidRPr="001C24AD">
        <w:rPr>
          <w:iCs/>
        </w:rPr>
        <w:t>_____________________________</w:t>
      </w:r>
    </w:p>
    <w:p w:rsidR="0006030F" w:rsidRPr="001C24AD" w:rsidRDefault="0006030F">
      <w:pPr>
        <w:pStyle w:val="RKnormal"/>
        <w:ind w:left="-1134"/>
      </w:pPr>
    </w:p>
    <w:p w:rsidR="0006030F" w:rsidRPr="001C24AD" w:rsidRDefault="0006030F">
      <w:pPr>
        <w:pStyle w:val="RKrubrik"/>
        <w:spacing w:before="0" w:after="0"/>
      </w:pPr>
    </w:p>
    <w:p w:rsidR="0006030F" w:rsidRPr="001C24AD" w:rsidRDefault="0006030F">
      <w:pPr>
        <w:pStyle w:val="RKnormal"/>
      </w:pPr>
    </w:p>
    <w:p w:rsidR="0006030F" w:rsidRPr="001C24AD" w:rsidRDefault="0006030F">
      <w:pPr>
        <w:pStyle w:val="RKnormal"/>
      </w:pPr>
    </w:p>
    <w:sectPr w:rsidR="0006030F" w:rsidRPr="001C24AD">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4DAF" w:rsidRPr="001C24AD" w:rsidRDefault="00BF4DAF">
      <w:r w:rsidRPr="001C24AD">
        <w:separator/>
      </w:r>
    </w:p>
  </w:endnote>
  <w:endnote w:type="continuationSeparator" w:id="0">
    <w:p w:rsidR="00BF4DAF" w:rsidRPr="001C24AD" w:rsidRDefault="00BF4DAF">
      <w:r w:rsidRPr="001C24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4DAF" w:rsidRPr="001C24AD" w:rsidRDefault="00BF4DAF">
      <w:r w:rsidRPr="001C24AD">
        <w:separator/>
      </w:r>
    </w:p>
  </w:footnote>
  <w:footnote w:type="continuationSeparator" w:id="0">
    <w:p w:rsidR="00BF4DAF" w:rsidRPr="001C24AD" w:rsidRDefault="00BF4DAF">
      <w:r w:rsidRPr="001C24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1A5" w:rsidRPr="001C24AD" w:rsidRDefault="003A21A5">
    <w:pPr>
      <w:pStyle w:val="Sidhuvud"/>
      <w:framePr w:wrap="around" w:vAnchor="text" w:hAnchor="margin" w:xAlign="right" w:y="1"/>
      <w:rPr>
        <w:rStyle w:val="Sidnummer"/>
      </w:rPr>
    </w:pPr>
    <w:r w:rsidRPr="001C24AD">
      <w:rPr>
        <w:rStyle w:val="Sidnummer"/>
      </w:rPr>
      <w:fldChar w:fldCharType="begin" w:fldLock="1"/>
    </w:r>
    <w:r w:rsidRPr="001C24AD">
      <w:rPr>
        <w:rStyle w:val="Sidnummer"/>
      </w:rPr>
      <w:instrText xml:space="preserve">PAGE  </w:instrText>
    </w:r>
    <w:r w:rsidRPr="001C24AD">
      <w:rPr>
        <w:rStyle w:val="Sidnummer"/>
      </w:rPr>
      <w:fldChar w:fldCharType="separate"/>
    </w:r>
    <w:r w:rsidR="00B55F48" w:rsidRPr="001C24AD">
      <w:rPr>
        <w:rStyle w:val="Sidnummer"/>
      </w:rPr>
      <w:t>4</w:t>
    </w:r>
    <w:r w:rsidRPr="001C24A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A21A5" w:rsidRPr="001C24AD">
      <w:tblPrEx>
        <w:tblCellMar>
          <w:top w:w="0" w:type="dxa"/>
          <w:bottom w:w="0" w:type="dxa"/>
        </w:tblCellMar>
      </w:tblPrEx>
      <w:trPr>
        <w:cantSplit/>
      </w:trPr>
      <w:tc>
        <w:tcPr>
          <w:tcW w:w="3119" w:type="dxa"/>
        </w:tcPr>
        <w:p w:rsidR="003A21A5" w:rsidRPr="001C24AD" w:rsidRDefault="003A21A5">
          <w:pPr>
            <w:pStyle w:val="Sidhuvud"/>
            <w:spacing w:line="200" w:lineRule="atLeast"/>
            <w:ind w:right="357"/>
            <w:rPr>
              <w:rFonts w:ascii="TradeGothic" w:hAnsi="TradeGothic"/>
              <w:b/>
              <w:bCs/>
              <w:sz w:val="16"/>
            </w:rPr>
          </w:pPr>
        </w:p>
      </w:tc>
      <w:tc>
        <w:tcPr>
          <w:tcW w:w="4111" w:type="dxa"/>
          <w:tcMar>
            <w:left w:w="567" w:type="dxa"/>
          </w:tcMar>
        </w:tcPr>
        <w:p w:rsidR="003A21A5" w:rsidRPr="001C24AD" w:rsidRDefault="003A21A5">
          <w:pPr>
            <w:pStyle w:val="Sidhuvud"/>
            <w:ind w:right="360"/>
          </w:pPr>
        </w:p>
      </w:tc>
      <w:tc>
        <w:tcPr>
          <w:tcW w:w="1525" w:type="dxa"/>
        </w:tcPr>
        <w:p w:rsidR="003A21A5" w:rsidRPr="001C24AD" w:rsidRDefault="003A21A5">
          <w:pPr>
            <w:pStyle w:val="Sidhuvud"/>
            <w:ind w:right="360"/>
          </w:pPr>
        </w:p>
      </w:tc>
    </w:tr>
  </w:tbl>
  <w:p w:rsidR="003A21A5" w:rsidRPr="001C24AD" w:rsidRDefault="003A21A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1A5" w:rsidRPr="001C24AD" w:rsidRDefault="003A21A5">
    <w:pPr>
      <w:pStyle w:val="Sidhuvud"/>
      <w:framePr w:wrap="around" w:vAnchor="text" w:hAnchor="margin" w:xAlign="right" w:y="1"/>
      <w:rPr>
        <w:rStyle w:val="Sidnummer"/>
      </w:rPr>
    </w:pPr>
    <w:r w:rsidRPr="001C24AD">
      <w:rPr>
        <w:rStyle w:val="Sidnummer"/>
      </w:rPr>
      <w:fldChar w:fldCharType="begin" w:fldLock="1"/>
    </w:r>
    <w:r w:rsidRPr="001C24AD">
      <w:rPr>
        <w:rStyle w:val="Sidnummer"/>
      </w:rPr>
      <w:instrText xml:space="preserve">PAGE  </w:instrText>
    </w:r>
    <w:r w:rsidRPr="001C24AD">
      <w:rPr>
        <w:rStyle w:val="Sidnummer"/>
      </w:rPr>
      <w:fldChar w:fldCharType="separate"/>
    </w:r>
    <w:r w:rsidR="00B55F48" w:rsidRPr="001C24AD">
      <w:rPr>
        <w:rStyle w:val="Sidnummer"/>
      </w:rPr>
      <w:t>3</w:t>
    </w:r>
    <w:r w:rsidRPr="001C24A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A21A5" w:rsidRPr="001C24AD">
      <w:tblPrEx>
        <w:tblCellMar>
          <w:top w:w="0" w:type="dxa"/>
          <w:bottom w:w="0" w:type="dxa"/>
        </w:tblCellMar>
      </w:tblPrEx>
      <w:trPr>
        <w:cantSplit/>
      </w:trPr>
      <w:tc>
        <w:tcPr>
          <w:tcW w:w="3119" w:type="dxa"/>
        </w:tcPr>
        <w:p w:rsidR="003A21A5" w:rsidRPr="001C24AD" w:rsidRDefault="003A21A5">
          <w:pPr>
            <w:pStyle w:val="Sidhuvud"/>
            <w:spacing w:line="200" w:lineRule="atLeast"/>
            <w:ind w:right="357"/>
            <w:rPr>
              <w:rFonts w:ascii="TradeGothic" w:hAnsi="TradeGothic"/>
              <w:b/>
              <w:bCs/>
              <w:sz w:val="16"/>
            </w:rPr>
          </w:pPr>
        </w:p>
      </w:tc>
      <w:tc>
        <w:tcPr>
          <w:tcW w:w="4111" w:type="dxa"/>
          <w:tcMar>
            <w:left w:w="567" w:type="dxa"/>
          </w:tcMar>
        </w:tcPr>
        <w:p w:rsidR="003A21A5" w:rsidRPr="001C24AD" w:rsidRDefault="003A21A5">
          <w:pPr>
            <w:pStyle w:val="Sidhuvud"/>
            <w:ind w:right="360"/>
          </w:pPr>
        </w:p>
      </w:tc>
      <w:tc>
        <w:tcPr>
          <w:tcW w:w="1525" w:type="dxa"/>
        </w:tcPr>
        <w:p w:rsidR="003A21A5" w:rsidRPr="001C24AD" w:rsidRDefault="003A21A5">
          <w:pPr>
            <w:pStyle w:val="Sidhuvud"/>
            <w:ind w:right="360"/>
          </w:pPr>
        </w:p>
      </w:tc>
    </w:tr>
  </w:tbl>
  <w:p w:rsidR="003A21A5" w:rsidRPr="001C24AD" w:rsidRDefault="003A21A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1A5" w:rsidRPr="001C24AD" w:rsidRDefault="001C24AD">
    <w:pPr>
      <w:framePr w:w="2948" w:h="1321" w:hRule="exact" w:wrap="notBeside" w:vAnchor="page" w:hAnchor="page" w:x="1362" w:y="653"/>
    </w:pPr>
    <w:r w:rsidRPr="001C24AD">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3A21A5" w:rsidRPr="001C24AD" w:rsidRDefault="003A21A5">
    <w:pPr>
      <w:pStyle w:val="RKrubrik"/>
      <w:keepNext w:val="0"/>
      <w:tabs>
        <w:tab w:val="clear" w:pos="1134"/>
        <w:tab w:val="clear" w:pos="2835"/>
      </w:tabs>
      <w:spacing w:before="0" w:after="0" w:line="320" w:lineRule="atLeast"/>
      <w:rPr>
        <w:bCs/>
      </w:rPr>
    </w:pPr>
  </w:p>
  <w:p w:rsidR="003A21A5" w:rsidRPr="001C24AD" w:rsidRDefault="003A21A5">
    <w:pPr>
      <w:rPr>
        <w:rFonts w:ascii="TradeGothic" w:hAnsi="TradeGothic"/>
        <w:b/>
        <w:bCs/>
        <w:spacing w:val="12"/>
        <w:sz w:val="22"/>
      </w:rPr>
    </w:pPr>
  </w:p>
  <w:p w:rsidR="003A21A5" w:rsidRPr="001C24AD" w:rsidRDefault="003A21A5">
    <w:pPr>
      <w:pStyle w:val="RKrubrik"/>
      <w:keepNext w:val="0"/>
      <w:tabs>
        <w:tab w:val="clear" w:pos="1134"/>
        <w:tab w:val="clear" w:pos="2835"/>
      </w:tabs>
      <w:spacing w:before="0" w:after="0" w:line="320" w:lineRule="atLeast"/>
      <w:rPr>
        <w:bCs/>
      </w:rPr>
    </w:pPr>
  </w:p>
  <w:p w:rsidR="003A21A5" w:rsidRPr="001C24AD" w:rsidRDefault="003A21A5">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3CBB"/>
    <w:multiLevelType w:val="hybridMultilevel"/>
    <w:tmpl w:val="FBC2EC16"/>
    <w:lvl w:ilvl="0" w:tplc="8886F802">
      <w:start w:val="2"/>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03586777"/>
    <w:multiLevelType w:val="multilevel"/>
    <w:tmpl w:val="229E6B7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AF3D56"/>
    <w:multiLevelType w:val="multilevel"/>
    <w:tmpl w:val="5C18695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8991000"/>
    <w:multiLevelType w:val="hybridMultilevel"/>
    <w:tmpl w:val="21341380"/>
    <w:lvl w:ilvl="0" w:tplc="AD1E082A">
      <w:numFmt w:val="bullet"/>
      <w:lvlText w:val="-"/>
      <w:lvlJc w:val="left"/>
      <w:pPr>
        <w:tabs>
          <w:tab w:val="num" w:pos="720"/>
        </w:tabs>
        <w:ind w:left="720" w:hanging="360"/>
      </w:pPr>
      <w:rPr>
        <w:rFonts w:ascii="OrigGarmnd BT" w:eastAsia="Times New Roman" w:hAnsi="OrigGarmnd BT" w:cs="Times New Roman" w:hint="default"/>
      </w:rPr>
    </w:lvl>
    <w:lvl w:ilvl="1" w:tplc="F76ED774">
      <w:numFmt w:val="bullet"/>
      <w:lvlText w:val="-"/>
      <w:lvlJc w:val="left"/>
      <w:pPr>
        <w:tabs>
          <w:tab w:val="num" w:pos="1440"/>
        </w:tabs>
        <w:ind w:left="1440" w:hanging="360"/>
      </w:pPr>
      <w:rPr>
        <w:rFonts w:ascii="OrigGarmnd BT" w:eastAsia="Times New Roman" w:hAnsi="OrigGarmnd BT" w:cs="Times New Roman"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A7427C"/>
    <w:multiLevelType w:val="multilevel"/>
    <w:tmpl w:val="38EABC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9541D"/>
    <w:multiLevelType w:val="hybridMultilevel"/>
    <w:tmpl w:val="5D74B254"/>
    <w:lvl w:ilvl="0" w:tplc="D5CECCDA">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6C418F3"/>
    <w:multiLevelType w:val="hybridMultilevel"/>
    <w:tmpl w:val="B28AD344"/>
    <w:lvl w:ilvl="0" w:tplc="8886F802">
      <w:start w:val="2"/>
      <w:numFmt w:val="lowerLetter"/>
      <w:lvlText w:val="%1)"/>
      <w:lvlJc w:val="left"/>
      <w:pPr>
        <w:tabs>
          <w:tab w:val="num" w:pos="1080"/>
        </w:tabs>
        <w:ind w:left="1080" w:hanging="360"/>
      </w:pPr>
      <w:rPr>
        <w:rFonts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972594E"/>
    <w:multiLevelType w:val="hybridMultilevel"/>
    <w:tmpl w:val="B6460C2C"/>
    <w:lvl w:ilvl="0" w:tplc="AD1E082A">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F30BA0"/>
    <w:multiLevelType w:val="hybridMultilevel"/>
    <w:tmpl w:val="74D81012"/>
    <w:lvl w:ilvl="0" w:tplc="041D0011">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9" w15:restartNumberingAfterBreak="0">
    <w:nsid w:val="26A667DB"/>
    <w:multiLevelType w:val="hybridMultilevel"/>
    <w:tmpl w:val="214CD7EC"/>
    <w:lvl w:ilvl="0" w:tplc="D5CECCD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D84EE9"/>
    <w:multiLevelType w:val="hybridMultilevel"/>
    <w:tmpl w:val="FADA4A5A"/>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9F543A"/>
    <w:multiLevelType w:val="hybridMultilevel"/>
    <w:tmpl w:val="0504B3BE"/>
    <w:lvl w:ilvl="0" w:tplc="F76ED774">
      <w:numFmt w:val="bullet"/>
      <w:lvlText w:val="-"/>
      <w:lvlJc w:val="left"/>
      <w:pPr>
        <w:tabs>
          <w:tab w:val="num" w:pos="360"/>
        </w:tabs>
        <w:ind w:left="360" w:hanging="360"/>
      </w:pPr>
      <w:rPr>
        <w:rFonts w:ascii="OrigGarmnd BT" w:eastAsia="Times New Roman" w:hAnsi="OrigGarmnd BT"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4D4905"/>
    <w:multiLevelType w:val="hybridMultilevel"/>
    <w:tmpl w:val="A5AEAC92"/>
    <w:lvl w:ilvl="0" w:tplc="D5CECCDA">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C6450C"/>
    <w:multiLevelType w:val="hybridMultilevel"/>
    <w:tmpl w:val="48B23F72"/>
    <w:lvl w:ilvl="0" w:tplc="D5CECCD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9E7AB6"/>
    <w:multiLevelType w:val="hybridMultilevel"/>
    <w:tmpl w:val="994A1BB6"/>
    <w:lvl w:ilvl="0" w:tplc="041D0011">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B821EA9"/>
    <w:multiLevelType w:val="hybridMultilevel"/>
    <w:tmpl w:val="E7CC0DBE"/>
    <w:lvl w:ilvl="0" w:tplc="041D0017">
      <w:start w:val="1"/>
      <w:numFmt w:val="lowerLetter"/>
      <w:lvlText w:val="%1)"/>
      <w:lvlJc w:val="left"/>
      <w:pPr>
        <w:tabs>
          <w:tab w:val="num" w:pos="1080"/>
        </w:tabs>
        <w:ind w:left="1080" w:hanging="360"/>
      </w:pPr>
      <w:rPr>
        <w:rFonts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DA64DAB"/>
    <w:multiLevelType w:val="hybridMultilevel"/>
    <w:tmpl w:val="535C582A"/>
    <w:lvl w:ilvl="0" w:tplc="8886F802">
      <w:start w:val="2"/>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E0B7F1D"/>
    <w:multiLevelType w:val="hybridMultilevel"/>
    <w:tmpl w:val="89305DE6"/>
    <w:lvl w:ilvl="0" w:tplc="BCBAB7F2">
      <w:start w:val="1"/>
      <w:numFmt w:val="lowerLetter"/>
      <w:lvlText w:val="%1)"/>
      <w:lvlJc w:val="left"/>
      <w:pPr>
        <w:tabs>
          <w:tab w:val="num" w:pos="765"/>
        </w:tabs>
        <w:ind w:left="765" w:hanging="40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3E84029C"/>
    <w:multiLevelType w:val="multilevel"/>
    <w:tmpl w:val="4C583950"/>
    <w:lvl w:ilvl="0">
      <w:start w:val="1"/>
      <w:numFmt w:val="lowerLetter"/>
      <w:lvlText w:val="%1)"/>
      <w:lvlJc w:val="left"/>
      <w:pPr>
        <w:tabs>
          <w:tab w:val="num" w:pos="1211"/>
        </w:tabs>
        <w:ind w:left="121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EB01C9E"/>
    <w:multiLevelType w:val="multilevel"/>
    <w:tmpl w:val="1E54FD5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B270CF"/>
    <w:multiLevelType w:val="hybridMultilevel"/>
    <w:tmpl w:val="05722FB4"/>
    <w:lvl w:ilvl="0" w:tplc="041D0017">
      <w:start w:val="1"/>
      <w:numFmt w:val="lowerLetter"/>
      <w:lvlText w:val="%1)"/>
      <w:lvlJc w:val="left"/>
      <w:pPr>
        <w:tabs>
          <w:tab w:val="num" w:pos="1080"/>
        </w:tabs>
        <w:ind w:left="108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457EE8"/>
    <w:multiLevelType w:val="multilevel"/>
    <w:tmpl w:val="B28AD344"/>
    <w:lvl w:ilvl="0">
      <w:start w:val="2"/>
      <w:numFmt w:val="lowerLetter"/>
      <w:lvlText w:val="%1)"/>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13C6C81"/>
    <w:multiLevelType w:val="hybridMultilevel"/>
    <w:tmpl w:val="AEEC18A2"/>
    <w:lvl w:ilvl="0" w:tplc="F76ED774">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6049CC"/>
    <w:multiLevelType w:val="hybridMultilevel"/>
    <w:tmpl w:val="C1706BC6"/>
    <w:lvl w:ilvl="0" w:tplc="D5CECCDA">
      <w:start w:val="1"/>
      <w:numFmt w:val="bullet"/>
      <w:lvlText w:val=""/>
      <w:lvlJc w:val="left"/>
      <w:pPr>
        <w:tabs>
          <w:tab w:val="num" w:pos="1211"/>
        </w:tabs>
        <w:ind w:left="1211" w:hanging="360"/>
      </w:pPr>
      <w:rPr>
        <w:rFonts w:ascii="Symbol" w:hAnsi="Symbol" w:hint="default"/>
      </w:rPr>
    </w:lvl>
    <w:lvl w:ilvl="1" w:tplc="041D0003">
      <w:start w:val="1"/>
      <w:numFmt w:val="bullet"/>
      <w:lvlText w:val="o"/>
      <w:lvlJc w:val="left"/>
      <w:pPr>
        <w:tabs>
          <w:tab w:val="num" w:pos="1931"/>
        </w:tabs>
        <w:ind w:left="1931" w:hanging="360"/>
      </w:pPr>
      <w:rPr>
        <w:rFonts w:ascii="Courier New" w:hAnsi="Courier New" w:cs="Courier New" w:hint="default"/>
      </w:rPr>
    </w:lvl>
    <w:lvl w:ilvl="2" w:tplc="041D0005" w:tentative="1">
      <w:start w:val="1"/>
      <w:numFmt w:val="bullet"/>
      <w:lvlText w:val=""/>
      <w:lvlJc w:val="left"/>
      <w:pPr>
        <w:tabs>
          <w:tab w:val="num" w:pos="2651"/>
        </w:tabs>
        <w:ind w:left="2651" w:hanging="360"/>
      </w:pPr>
      <w:rPr>
        <w:rFonts w:ascii="Wingdings" w:hAnsi="Wingdings" w:hint="default"/>
      </w:rPr>
    </w:lvl>
    <w:lvl w:ilvl="3" w:tplc="041D0001" w:tentative="1">
      <w:start w:val="1"/>
      <w:numFmt w:val="bullet"/>
      <w:lvlText w:val=""/>
      <w:lvlJc w:val="left"/>
      <w:pPr>
        <w:tabs>
          <w:tab w:val="num" w:pos="3371"/>
        </w:tabs>
        <w:ind w:left="3371" w:hanging="360"/>
      </w:pPr>
      <w:rPr>
        <w:rFonts w:ascii="Symbol" w:hAnsi="Symbol" w:hint="default"/>
      </w:rPr>
    </w:lvl>
    <w:lvl w:ilvl="4" w:tplc="041D0003" w:tentative="1">
      <w:start w:val="1"/>
      <w:numFmt w:val="bullet"/>
      <w:lvlText w:val="o"/>
      <w:lvlJc w:val="left"/>
      <w:pPr>
        <w:tabs>
          <w:tab w:val="num" w:pos="4091"/>
        </w:tabs>
        <w:ind w:left="4091" w:hanging="360"/>
      </w:pPr>
      <w:rPr>
        <w:rFonts w:ascii="Courier New" w:hAnsi="Courier New" w:cs="Courier New" w:hint="default"/>
      </w:rPr>
    </w:lvl>
    <w:lvl w:ilvl="5" w:tplc="041D0005" w:tentative="1">
      <w:start w:val="1"/>
      <w:numFmt w:val="bullet"/>
      <w:lvlText w:val=""/>
      <w:lvlJc w:val="left"/>
      <w:pPr>
        <w:tabs>
          <w:tab w:val="num" w:pos="4811"/>
        </w:tabs>
        <w:ind w:left="4811" w:hanging="360"/>
      </w:pPr>
      <w:rPr>
        <w:rFonts w:ascii="Wingdings" w:hAnsi="Wingdings" w:hint="default"/>
      </w:rPr>
    </w:lvl>
    <w:lvl w:ilvl="6" w:tplc="041D0001" w:tentative="1">
      <w:start w:val="1"/>
      <w:numFmt w:val="bullet"/>
      <w:lvlText w:val=""/>
      <w:lvlJc w:val="left"/>
      <w:pPr>
        <w:tabs>
          <w:tab w:val="num" w:pos="5531"/>
        </w:tabs>
        <w:ind w:left="5531" w:hanging="360"/>
      </w:pPr>
      <w:rPr>
        <w:rFonts w:ascii="Symbol" w:hAnsi="Symbol" w:hint="default"/>
      </w:rPr>
    </w:lvl>
    <w:lvl w:ilvl="7" w:tplc="041D0003" w:tentative="1">
      <w:start w:val="1"/>
      <w:numFmt w:val="bullet"/>
      <w:lvlText w:val="o"/>
      <w:lvlJc w:val="left"/>
      <w:pPr>
        <w:tabs>
          <w:tab w:val="num" w:pos="6251"/>
        </w:tabs>
        <w:ind w:left="6251" w:hanging="360"/>
      </w:pPr>
      <w:rPr>
        <w:rFonts w:ascii="Courier New" w:hAnsi="Courier New" w:cs="Courier New" w:hint="default"/>
      </w:rPr>
    </w:lvl>
    <w:lvl w:ilvl="8" w:tplc="041D0005" w:tentative="1">
      <w:start w:val="1"/>
      <w:numFmt w:val="bullet"/>
      <w:lvlText w:val=""/>
      <w:lvlJc w:val="left"/>
      <w:pPr>
        <w:tabs>
          <w:tab w:val="num" w:pos="6971"/>
        </w:tabs>
        <w:ind w:left="6971" w:hanging="360"/>
      </w:pPr>
      <w:rPr>
        <w:rFonts w:ascii="Wingdings" w:hAnsi="Wingdings" w:hint="default"/>
      </w:rPr>
    </w:lvl>
  </w:abstractNum>
  <w:abstractNum w:abstractNumId="24" w15:restartNumberingAfterBreak="0">
    <w:nsid w:val="4B5251CC"/>
    <w:multiLevelType w:val="hybridMultilevel"/>
    <w:tmpl w:val="AFCA8B2C"/>
    <w:lvl w:ilvl="0" w:tplc="F76ED774">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13423C"/>
    <w:multiLevelType w:val="hybridMultilevel"/>
    <w:tmpl w:val="87C2983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4F4668AE"/>
    <w:multiLevelType w:val="hybridMultilevel"/>
    <w:tmpl w:val="9006E344"/>
    <w:lvl w:ilvl="0" w:tplc="A4967F1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6957C5"/>
    <w:multiLevelType w:val="hybridMultilevel"/>
    <w:tmpl w:val="9D5E853A"/>
    <w:lvl w:ilvl="0" w:tplc="D73C8F8C">
      <w:start w:val="1"/>
      <w:numFmt w:val="lowerLetter"/>
      <w:lvlText w:val="%1)"/>
      <w:lvlJc w:val="left"/>
      <w:pPr>
        <w:tabs>
          <w:tab w:val="num" w:pos="1080"/>
        </w:tabs>
        <w:ind w:left="1080" w:hanging="360"/>
      </w:pPr>
      <w:rPr>
        <w:rFonts w:hint="default"/>
      </w:rPr>
    </w:lvl>
    <w:lvl w:ilvl="1" w:tplc="041D0019" w:tentative="1">
      <w:start w:val="1"/>
      <w:numFmt w:val="lowerLetter"/>
      <w:lvlText w:val="%2."/>
      <w:lvlJc w:val="left"/>
      <w:pPr>
        <w:tabs>
          <w:tab w:val="num" w:pos="1309"/>
        </w:tabs>
        <w:ind w:left="1309" w:hanging="360"/>
      </w:pPr>
    </w:lvl>
    <w:lvl w:ilvl="2" w:tplc="041D001B" w:tentative="1">
      <w:start w:val="1"/>
      <w:numFmt w:val="lowerRoman"/>
      <w:lvlText w:val="%3."/>
      <w:lvlJc w:val="right"/>
      <w:pPr>
        <w:tabs>
          <w:tab w:val="num" w:pos="2029"/>
        </w:tabs>
        <w:ind w:left="2029" w:hanging="180"/>
      </w:pPr>
    </w:lvl>
    <w:lvl w:ilvl="3" w:tplc="041D000F" w:tentative="1">
      <w:start w:val="1"/>
      <w:numFmt w:val="decimal"/>
      <w:lvlText w:val="%4."/>
      <w:lvlJc w:val="left"/>
      <w:pPr>
        <w:tabs>
          <w:tab w:val="num" w:pos="2749"/>
        </w:tabs>
        <w:ind w:left="2749" w:hanging="360"/>
      </w:pPr>
    </w:lvl>
    <w:lvl w:ilvl="4" w:tplc="041D0019" w:tentative="1">
      <w:start w:val="1"/>
      <w:numFmt w:val="lowerLetter"/>
      <w:lvlText w:val="%5."/>
      <w:lvlJc w:val="left"/>
      <w:pPr>
        <w:tabs>
          <w:tab w:val="num" w:pos="3469"/>
        </w:tabs>
        <w:ind w:left="3469" w:hanging="360"/>
      </w:pPr>
    </w:lvl>
    <w:lvl w:ilvl="5" w:tplc="041D001B" w:tentative="1">
      <w:start w:val="1"/>
      <w:numFmt w:val="lowerRoman"/>
      <w:lvlText w:val="%6."/>
      <w:lvlJc w:val="right"/>
      <w:pPr>
        <w:tabs>
          <w:tab w:val="num" w:pos="4189"/>
        </w:tabs>
        <w:ind w:left="4189" w:hanging="180"/>
      </w:pPr>
    </w:lvl>
    <w:lvl w:ilvl="6" w:tplc="041D000F" w:tentative="1">
      <w:start w:val="1"/>
      <w:numFmt w:val="decimal"/>
      <w:lvlText w:val="%7."/>
      <w:lvlJc w:val="left"/>
      <w:pPr>
        <w:tabs>
          <w:tab w:val="num" w:pos="4909"/>
        </w:tabs>
        <w:ind w:left="4909" w:hanging="360"/>
      </w:pPr>
    </w:lvl>
    <w:lvl w:ilvl="7" w:tplc="041D0019" w:tentative="1">
      <w:start w:val="1"/>
      <w:numFmt w:val="lowerLetter"/>
      <w:lvlText w:val="%8."/>
      <w:lvlJc w:val="left"/>
      <w:pPr>
        <w:tabs>
          <w:tab w:val="num" w:pos="5629"/>
        </w:tabs>
        <w:ind w:left="5629" w:hanging="360"/>
      </w:pPr>
    </w:lvl>
    <w:lvl w:ilvl="8" w:tplc="041D001B" w:tentative="1">
      <w:start w:val="1"/>
      <w:numFmt w:val="lowerRoman"/>
      <w:lvlText w:val="%9."/>
      <w:lvlJc w:val="right"/>
      <w:pPr>
        <w:tabs>
          <w:tab w:val="num" w:pos="6349"/>
        </w:tabs>
        <w:ind w:left="6349" w:hanging="180"/>
      </w:pPr>
    </w:lvl>
  </w:abstractNum>
  <w:abstractNum w:abstractNumId="28" w15:restartNumberingAfterBreak="0">
    <w:nsid w:val="5CB1498C"/>
    <w:multiLevelType w:val="multilevel"/>
    <w:tmpl w:val="214CD7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8464A6"/>
    <w:multiLevelType w:val="hybridMultilevel"/>
    <w:tmpl w:val="4C583950"/>
    <w:lvl w:ilvl="0" w:tplc="D73C8F8C">
      <w:start w:val="1"/>
      <w:numFmt w:val="lowerLetter"/>
      <w:lvlText w:val="%1)"/>
      <w:lvlJc w:val="left"/>
      <w:pPr>
        <w:tabs>
          <w:tab w:val="num" w:pos="1211"/>
        </w:tabs>
        <w:ind w:left="1211"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0" w15:restartNumberingAfterBreak="0">
    <w:nsid w:val="66FB795D"/>
    <w:multiLevelType w:val="hybridMultilevel"/>
    <w:tmpl w:val="5C186950"/>
    <w:lvl w:ilvl="0" w:tplc="D5CECCDA">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0A65E58"/>
    <w:multiLevelType w:val="multilevel"/>
    <w:tmpl w:val="647C63CA"/>
    <w:lvl w:ilvl="0">
      <w:start w:val="1"/>
      <w:numFmt w:val="lowerLetter"/>
      <w:lvlText w:val="%1)"/>
      <w:lvlJc w:val="left"/>
      <w:pPr>
        <w:tabs>
          <w:tab w:val="num" w:pos="765"/>
        </w:tabs>
        <w:ind w:left="765" w:hanging="4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2BC683C"/>
    <w:multiLevelType w:val="multilevel"/>
    <w:tmpl w:val="5D74B25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79B5082"/>
    <w:multiLevelType w:val="multilevel"/>
    <w:tmpl w:val="4C583950"/>
    <w:lvl w:ilvl="0">
      <w:start w:val="1"/>
      <w:numFmt w:val="lowerLetter"/>
      <w:lvlText w:val="%1)"/>
      <w:lvlJc w:val="left"/>
      <w:pPr>
        <w:tabs>
          <w:tab w:val="num" w:pos="1211"/>
        </w:tabs>
        <w:ind w:left="121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42659969">
    <w:abstractNumId w:val="24"/>
  </w:num>
  <w:num w:numId="2" w16cid:durableId="2124154346">
    <w:abstractNumId w:val="13"/>
  </w:num>
  <w:num w:numId="3" w16cid:durableId="95756704">
    <w:abstractNumId w:val="10"/>
  </w:num>
  <w:num w:numId="4" w16cid:durableId="644361120">
    <w:abstractNumId w:val="30"/>
  </w:num>
  <w:num w:numId="5" w16cid:durableId="1305084805">
    <w:abstractNumId w:val="2"/>
  </w:num>
  <w:num w:numId="6" w16cid:durableId="618996523">
    <w:abstractNumId w:val="15"/>
  </w:num>
  <w:num w:numId="7" w16cid:durableId="1851487503">
    <w:abstractNumId w:val="9"/>
  </w:num>
  <w:num w:numId="8" w16cid:durableId="24644809">
    <w:abstractNumId w:val="28"/>
  </w:num>
  <w:num w:numId="9" w16cid:durableId="889925783">
    <w:abstractNumId w:val="20"/>
  </w:num>
  <w:num w:numId="10" w16cid:durableId="1555114489">
    <w:abstractNumId w:val="12"/>
  </w:num>
  <w:num w:numId="11" w16cid:durableId="44379586">
    <w:abstractNumId w:val="4"/>
  </w:num>
  <w:num w:numId="12" w16cid:durableId="562377920">
    <w:abstractNumId w:val="23"/>
  </w:num>
  <w:num w:numId="13" w16cid:durableId="2031494547">
    <w:abstractNumId w:val="14"/>
  </w:num>
  <w:num w:numId="14" w16cid:durableId="1038899473">
    <w:abstractNumId w:val="22"/>
  </w:num>
  <w:num w:numId="15" w16cid:durableId="647518307">
    <w:abstractNumId w:val="26"/>
  </w:num>
  <w:num w:numId="16" w16cid:durableId="523517724">
    <w:abstractNumId w:val="17"/>
  </w:num>
  <w:num w:numId="17" w16cid:durableId="1522351733">
    <w:abstractNumId w:val="8"/>
  </w:num>
  <w:num w:numId="18" w16cid:durableId="1177574564">
    <w:abstractNumId w:val="16"/>
  </w:num>
  <w:num w:numId="19" w16cid:durableId="1431703058">
    <w:abstractNumId w:val="0"/>
  </w:num>
  <w:num w:numId="20" w16cid:durableId="1847556169">
    <w:abstractNumId w:val="19"/>
  </w:num>
  <w:num w:numId="21" w16cid:durableId="1794517023">
    <w:abstractNumId w:val="1"/>
  </w:num>
  <w:num w:numId="22" w16cid:durableId="2028174306">
    <w:abstractNumId w:val="31"/>
  </w:num>
  <w:num w:numId="23" w16cid:durableId="1822388067">
    <w:abstractNumId w:val="25"/>
  </w:num>
  <w:num w:numId="24" w16cid:durableId="140391340">
    <w:abstractNumId w:val="5"/>
  </w:num>
  <w:num w:numId="25" w16cid:durableId="2047219347">
    <w:abstractNumId w:val="32"/>
  </w:num>
  <w:num w:numId="26" w16cid:durableId="1140994804">
    <w:abstractNumId w:val="6"/>
  </w:num>
  <w:num w:numId="27" w16cid:durableId="1959338375">
    <w:abstractNumId w:val="21"/>
  </w:num>
  <w:num w:numId="28" w16cid:durableId="1815675924">
    <w:abstractNumId w:val="29"/>
  </w:num>
  <w:num w:numId="29" w16cid:durableId="395205006">
    <w:abstractNumId w:val="18"/>
  </w:num>
  <w:num w:numId="30" w16cid:durableId="1820072202">
    <w:abstractNumId w:val="27"/>
  </w:num>
  <w:num w:numId="31" w16cid:durableId="1025401322">
    <w:abstractNumId w:val="33"/>
  </w:num>
  <w:num w:numId="32" w16cid:durableId="272640263">
    <w:abstractNumId w:val="7"/>
  </w:num>
  <w:num w:numId="33" w16cid:durableId="989598329">
    <w:abstractNumId w:val="3"/>
  </w:num>
  <w:num w:numId="34" w16cid:durableId="12996495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06030F"/>
    <w:rsid w:val="00056954"/>
    <w:rsid w:val="0006030F"/>
    <w:rsid w:val="000853BE"/>
    <w:rsid w:val="00086465"/>
    <w:rsid w:val="000A78A2"/>
    <w:rsid w:val="0011229A"/>
    <w:rsid w:val="00133A65"/>
    <w:rsid w:val="00170760"/>
    <w:rsid w:val="001A4AC4"/>
    <w:rsid w:val="001C24AD"/>
    <w:rsid w:val="001E07AD"/>
    <w:rsid w:val="00363788"/>
    <w:rsid w:val="00366DE5"/>
    <w:rsid w:val="0037094A"/>
    <w:rsid w:val="003A1855"/>
    <w:rsid w:val="003A21A5"/>
    <w:rsid w:val="003D62AE"/>
    <w:rsid w:val="003E59FA"/>
    <w:rsid w:val="004050C1"/>
    <w:rsid w:val="0041334F"/>
    <w:rsid w:val="00483925"/>
    <w:rsid w:val="00484F4A"/>
    <w:rsid w:val="004B1997"/>
    <w:rsid w:val="00502334"/>
    <w:rsid w:val="005243B2"/>
    <w:rsid w:val="00581139"/>
    <w:rsid w:val="005858B1"/>
    <w:rsid w:val="00595915"/>
    <w:rsid w:val="005A7463"/>
    <w:rsid w:val="005E5F1F"/>
    <w:rsid w:val="00607B25"/>
    <w:rsid w:val="00607CA7"/>
    <w:rsid w:val="0065785D"/>
    <w:rsid w:val="00692698"/>
    <w:rsid w:val="006B730B"/>
    <w:rsid w:val="006C1F5C"/>
    <w:rsid w:val="007C1033"/>
    <w:rsid w:val="007F2584"/>
    <w:rsid w:val="0082360A"/>
    <w:rsid w:val="00841A94"/>
    <w:rsid w:val="008820B8"/>
    <w:rsid w:val="008A13A1"/>
    <w:rsid w:val="00936E53"/>
    <w:rsid w:val="00950EDE"/>
    <w:rsid w:val="00980D21"/>
    <w:rsid w:val="00A63ACB"/>
    <w:rsid w:val="00AD04EB"/>
    <w:rsid w:val="00B3639B"/>
    <w:rsid w:val="00B45BC4"/>
    <w:rsid w:val="00B55F48"/>
    <w:rsid w:val="00BF4DAF"/>
    <w:rsid w:val="00C76076"/>
    <w:rsid w:val="00CE558F"/>
    <w:rsid w:val="00D62774"/>
    <w:rsid w:val="00DA593D"/>
    <w:rsid w:val="00DB3EC4"/>
    <w:rsid w:val="00EA16A4"/>
    <w:rsid w:val="00EB333B"/>
    <w:rsid w:val="00F03D07"/>
    <w:rsid w:val="00F10134"/>
    <w:rsid w:val="00F15F58"/>
    <w:rsid w:val="00F21AF8"/>
    <w:rsid w:val="00F534C4"/>
    <w:rsid w:val="00F85E74"/>
    <w:rsid w:val="00F958EC"/>
    <w:rsid w:val="00FD662A"/>
    <w:rsid w:val="00FF055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E8EB9A-D283-4A44-ABCE-001D3083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1684</Words>
  <Characters>10935</Characters>
  <Application>Microsoft Office Word</Application>
  <DocSecurity>4</DocSecurity>
  <Lines>280</Lines>
  <Paragraphs>100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2025-12-17T04:10:00Z</dcterms:created>
  <dcterms:modified xsi:type="dcterms:W3CDTF">2025-12-17T04:10:00Z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