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24F" w:rsidRPr="00966FB6" w:rsidRDefault="008E124F">
      <w:pPr>
        <w:pStyle w:val="Hemstlrubrik"/>
      </w:pPr>
      <w:r w:rsidRPr="00966FB6">
        <w:t>Förslag till riksdagsbeslut</w:t>
      </w:r>
    </w:p>
    <w:p w:rsidR="008E124F" w:rsidRPr="00966FB6" w:rsidRDefault="008E124F">
      <w:pPr>
        <w:pStyle w:val="Hemstlatt"/>
        <w:numPr>
          <w:ilvl w:val="0"/>
          <w:numId w:val="1"/>
        </w:numPr>
      </w:pPr>
      <w:r w:rsidRPr="00966FB6">
        <w:t>Riksdagen tillkännager för regeringen som sin mening vad som anförs i motionen om Barentsregionen och Ar</w:t>
      </w:r>
      <w:r w:rsidRPr="00966FB6">
        <w:t>k</w:t>
      </w:r>
      <w:r w:rsidRPr="00966FB6">
        <w:t>tis.</w:t>
      </w:r>
    </w:p>
    <w:p w:rsidR="008E124F" w:rsidRPr="00966FB6" w:rsidRDefault="008E124F">
      <w:pPr>
        <w:pStyle w:val="Hemstlatt"/>
        <w:numPr>
          <w:ilvl w:val="0"/>
          <w:numId w:val="1"/>
        </w:numPr>
      </w:pPr>
      <w:r w:rsidRPr="00966FB6">
        <w:t>Riksdagen tillkännager för regeringen som sin mening vad som anförs i motionen om Barentssamarbetet.</w:t>
      </w:r>
    </w:p>
    <w:p w:rsidR="008E124F" w:rsidRPr="00966FB6" w:rsidRDefault="008E124F">
      <w:pPr>
        <w:pStyle w:val="Rubrik1"/>
      </w:pPr>
      <w:r w:rsidRPr="00966FB6">
        <w:t>Motivering</w:t>
      </w:r>
    </w:p>
    <w:p w:rsidR="008E124F" w:rsidRPr="00966FB6" w:rsidRDefault="008E124F">
      <w:r w:rsidRPr="00966FB6">
        <w:t>Regionen kring Barents hav har stora möjligheter att bli ett av de ekonomiskt viktigaste och intressantaste områdena i Europa inom en inte alltför avlägsen framtid. I området, som är den sista orörda reserven av naturtillgångar, finns bland annat olja och gas, som kommer att utvinnas under de kommande d</w:t>
      </w:r>
      <w:r w:rsidRPr="00966FB6">
        <w:t>e</w:t>
      </w:r>
      <w:r w:rsidRPr="00966FB6">
        <w:t>cennierna – detta under förutsättning att miljömålen för Arktis inte stoppar utvinningen.</w:t>
      </w:r>
    </w:p>
    <w:p w:rsidR="008E124F" w:rsidRPr="00966FB6" w:rsidRDefault="008E124F">
      <w:pPr>
        <w:pStyle w:val="Normaltindrag"/>
      </w:pPr>
      <w:r w:rsidRPr="00966FB6">
        <w:t>Den viktigaste råvaran för framtida exploatering är oljan. Ett stort antal olje- och gaskällor har redan hittats i Barentsregionen. Större delen av den totala ekonomiska utvecklingen i regionen är kopplad till olje- och gastil</w:t>
      </w:r>
      <w:r w:rsidRPr="00966FB6">
        <w:t>l</w:t>
      </w:r>
      <w:r w:rsidRPr="00966FB6">
        <w:t>gångarna.</w:t>
      </w:r>
    </w:p>
    <w:p w:rsidR="008E124F" w:rsidRPr="00966FB6" w:rsidRDefault="008E124F">
      <w:pPr>
        <w:pStyle w:val="Normaltindrag"/>
      </w:pPr>
      <w:r w:rsidRPr="00966FB6">
        <w:t>Också under Barents hav finns ett stort antal fyndigheter av framför allt naturgas som till exempel Shtokmanfältet. Stora olje- och gastillgångar har även hittats i havet utanför Finnmark, Troms och Nordland. Man väntar sig att göra nya olje- och gasfynd i den norska delen av Barents hav under de närmaste åren. På Kolahalvön finns dessutom fler mineraler än på någon annan plats i världen.</w:t>
      </w:r>
    </w:p>
    <w:p w:rsidR="008E124F" w:rsidRPr="00966FB6" w:rsidRDefault="008E124F">
      <w:pPr>
        <w:pStyle w:val="Normaltindrag"/>
      </w:pPr>
      <w:r w:rsidRPr="00966FB6">
        <w:t>Det är i dag svårt att uppskatta den totala olje- och gasreserven, i och med att en del områden ännu är i ett tidigt prospekteringsskede. Den totala rese</w:t>
      </w:r>
      <w:r w:rsidRPr="00966FB6">
        <w:t>r</w:t>
      </w:r>
      <w:r w:rsidRPr="00966FB6">
        <w:t>ven av gas i Barents hav kan vara så stor som upp till 10 miljarder kubikm</w:t>
      </w:r>
      <w:r w:rsidRPr="00966FB6">
        <w:t>e</w:t>
      </w:r>
      <w:r w:rsidRPr="00966FB6">
        <w:t xml:space="preserve">ter, vilket skulle vara ett avgörande tillskott till Europas energikonsumtion för lång tid framöver. Dessutom väntar man sig även iatt hitta oljeförekomster i </w:t>
      </w:r>
      <w:r w:rsidRPr="00966FB6">
        <w:lastRenderedPageBreak/>
        <w:t>de östra och nordliga delarna av Barents hav. Oljetillgångarna i Timan-Petchorafältet beräknas till omkring 5 miljarder ton. Enligt beräkningar är de sammantagna olje- och gasfyndigheterna, som en jämförelse, tolv gånger större än de fyndigheter som ingår i Snövitprojektet i N</w:t>
      </w:r>
      <w:r w:rsidRPr="00966FB6">
        <w:t>orge.</w:t>
      </w:r>
    </w:p>
    <w:p w:rsidR="008E124F" w:rsidRPr="00966FB6" w:rsidRDefault="008E124F">
      <w:pPr>
        <w:pStyle w:val="Normaltindrag"/>
      </w:pPr>
      <w:r w:rsidRPr="00966FB6">
        <w:t>Barents hav skulle mot bakgrund av detta kunna förse Europa med stora mängder naturgas under lång tid, vilket i sin tur skulle minska beroendet av import från Ryssland. Den pågående klimatförändringen, som för Arktis del innebär att glaciärer och havsis smälter undan i större omfattning än tidigare, skapar på sitt sätt förutsättningar för nya transportvägar i Barents hav och Norra ishavet för både olja och energi. På sikt kommer man med all sannoli</w:t>
      </w:r>
      <w:r w:rsidRPr="00966FB6">
        <w:t>k</w:t>
      </w:r>
      <w:r w:rsidRPr="00966FB6">
        <w:t>het att kunna frakta varor till havs genom området året om.</w:t>
      </w:r>
    </w:p>
    <w:p w:rsidR="008E124F" w:rsidRPr="00966FB6" w:rsidRDefault="008E124F">
      <w:pPr>
        <w:pStyle w:val="Normaltindrag"/>
      </w:pPr>
      <w:r w:rsidRPr="00966FB6">
        <w:t>Vid Harwarduniversitetet i USA har experter räknat fram att den nordliga fartygsrutten skulle innebära stora besparingar för framtida transporter mellan de ekonomiskt framgångsrika länderna i Europa och Asien. Men samtidigt som de förändrade klimatförhållandena i området ger nya möjligheter, kan det också leda till säkerhetspolitiska risker med helt nya konflikter som följd. Redan i dag ser vi en pågående dragkamp om Arktis tillhörighet, där Rys</w:t>
      </w:r>
      <w:r w:rsidRPr="00966FB6">
        <w:t>s</w:t>
      </w:r>
      <w:r w:rsidRPr="00966FB6">
        <w:t>land med sin flagga på havsbottnen markerat sin uppfattning i denna speciella ägarfråga. Framför allt Norge men även Danmark och Kanada har också utt</w:t>
      </w:r>
      <w:r w:rsidRPr="00966FB6">
        <w:t>a</w:t>
      </w:r>
      <w:r w:rsidRPr="00966FB6">
        <w:t>lat sina uppfattningar i denna fråga.</w:t>
      </w:r>
    </w:p>
    <w:p w:rsidR="008E124F" w:rsidRPr="00966FB6" w:rsidRDefault="008E124F">
      <w:pPr>
        <w:pStyle w:val="Normaltindrag"/>
      </w:pPr>
      <w:r w:rsidRPr="00966FB6">
        <w:t>I Barentsregionen bor drygt 5,9 miljoner människor, varav merparten, 4,3 miljoner, har sin hemvist i Ryssland. Samarbetet mellan stater som har intresse i Arktis och i området kring Barents hav bedrivs på regionnivå i B</w:t>
      </w:r>
      <w:r w:rsidRPr="00966FB6">
        <w:t>a</w:t>
      </w:r>
      <w:r w:rsidRPr="00966FB6">
        <w:t>rentsrådet och i Arktiska rådet. Regionrådet består av representanter för fö</w:t>
      </w:r>
      <w:r w:rsidRPr="00966FB6">
        <w:t>r</w:t>
      </w:r>
      <w:r w:rsidRPr="00966FB6">
        <w:t>valtningarna i den geografiska regionen Barents. Från Finland deltar landsk</w:t>
      </w:r>
      <w:r w:rsidRPr="00966FB6">
        <w:t>a</w:t>
      </w:r>
      <w:r w:rsidRPr="00966FB6">
        <w:t>pen Lappland, Norra Österbotten och Kajanaland, från Norge länen Nordland, Troms och Finnmark och från Sverige Norrbottens och Västerbottens län. Från Ryssland är det regionerna Archangelsk och Karelen som deltar samt republiken Komi, Murmanskregionen och det autonomiska distriktet Nene</w:t>
      </w:r>
      <w:r w:rsidRPr="00966FB6">
        <w:t>t</w:t>
      </w:r>
      <w:r w:rsidRPr="00966FB6">
        <w:t>sia.</w:t>
      </w:r>
    </w:p>
    <w:p w:rsidR="008E124F" w:rsidRPr="00966FB6" w:rsidRDefault="008E124F">
      <w:pPr>
        <w:pStyle w:val="Normaltindrag"/>
      </w:pPr>
      <w:r w:rsidRPr="00966FB6">
        <w:t>I området finns flera minoritetsfolk, bland annat samer, nenetser</w:t>
      </w:r>
      <w:r w:rsidRPr="00966FB6">
        <w:t xml:space="preserve"> och ve</w:t>
      </w:r>
      <w:r w:rsidRPr="00966FB6">
        <w:t>s</w:t>
      </w:r>
      <w:r w:rsidRPr="00966FB6">
        <w:t>per. Syftet med Barentssamarbetet är att säkerställa fred och säkerhet samt att skapa en hållbar social och ekonomisk utveckling i området och i Europa i sin helhet. Detta kan bland annat ske genom att kontakterna mellan människorna i området utvecklas och den regionala identiteten stärks.</w:t>
      </w:r>
    </w:p>
    <w:p w:rsidR="008E124F" w:rsidRPr="00966FB6" w:rsidRDefault="008E124F">
      <w:pPr>
        <w:pStyle w:val="Normaltindrag"/>
      </w:pPr>
      <w:r w:rsidRPr="00966FB6">
        <w:t>Det finns en lång samarbetstradition i Barentsområdet. Redan i början av 1960-talet tillkom Sveriges nordkalottkommitté, ett samarbete med de fyra involverade länderna under temat folkets diplomati.</w:t>
      </w:r>
    </w:p>
    <w:p w:rsidR="008E124F" w:rsidRPr="00966FB6" w:rsidRDefault="008E124F">
      <w:pPr>
        <w:pStyle w:val="Normaltindrag"/>
      </w:pPr>
      <w:r w:rsidRPr="00966FB6">
        <w:t xml:space="preserve">Det regionala Barentssamarbetet arbetar utifrån fem viktiga insatsområden: </w:t>
      </w:r>
      <w:r w:rsidRPr="00966FB6">
        <w:rPr>
          <w:i/>
        </w:rPr>
        <w:t>Näringslivsutveckling och infrastruktur.</w:t>
      </w:r>
    </w:p>
    <w:p w:rsidR="008E124F" w:rsidRPr="00966FB6" w:rsidRDefault="008E124F">
      <w:pPr>
        <w:pStyle w:val="Normalwebb"/>
        <w:spacing w:before="0"/>
      </w:pPr>
      <w:r w:rsidRPr="00966FB6">
        <w:rPr>
          <w:i/>
        </w:rPr>
        <w:t>Kompetens och utbildning.</w:t>
      </w:r>
    </w:p>
    <w:p w:rsidR="008E124F" w:rsidRPr="00966FB6" w:rsidRDefault="008E124F">
      <w:pPr>
        <w:pStyle w:val="Normalwebb"/>
        <w:spacing w:before="0"/>
        <w:rPr>
          <w:i/>
        </w:rPr>
      </w:pPr>
      <w:r w:rsidRPr="00966FB6">
        <w:rPr>
          <w:i/>
        </w:rPr>
        <w:t>Miljö och hälsa.</w:t>
      </w:r>
    </w:p>
    <w:p w:rsidR="008E124F" w:rsidRPr="00966FB6" w:rsidRDefault="008E124F">
      <w:pPr>
        <w:pStyle w:val="Normalwebb"/>
        <w:spacing w:before="0"/>
        <w:rPr>
          <w:i/>
        </w:rPr>
      </w:pPr>
      <w:r w:rsidRPr="00966FB6">
        <w:rPr>
          <w:i/>
        </w:rPr>
        <w:t>Välfärd och kultur.</w:t>
      </w:r>
    </w:p>
    <w:p w:rsidR="008E124F" w:rsidRPr="00966FB6" w:rsidRDefault="008E124F">
      <w:pPr>
        <w:pStyle w:val="Normalwebb"/>
        <w:spacing w:before="0"/>
        <w:rPr>
          <w:i/>
        </w:rPr>
      </w:pPr>
      <w:r w:rsidRPr="00966FB6">
        <w:rPr>
          <w:i/>
        </w:rPr>
        <w:t>Ursprungsbefolkningsfrågor.</w:t>
      </w:r>
    </w:p>
    <w:p w:rsidR="008E124F" w:rsidRPr="00966FB6" w:rsidRDefault="008E124F">
      <w:r w:rsidRPr="00966FB6">
        <w:t>Den kunskap och kompetens, som vuxit fram i området kring dessa frågor är betydande och måste bibehållas och ytterligare utvecklas. Det är av stor vikt att alla goda krafter, exempelvis företag, myndigheter, kommuner, universitet och enskilda samverkar. För detta fordras en fortsatt bra samordning, info</w:t>
      </w:r>
      <w:r w:rsidRPr="00966FB6">
        <w:t>r</w:t>
      </w:r>
      <w:r w:rsidRPr="00966FB6">
        <w:t>mation och en välutbyggd och fungerande infrastruktur.</w:t>
      </w:r>
    </w:p>
    <w:p w:rsidR="008E124F" w:rsidRPr="00966FB6" w:rsidRDefault="008E124F">
      <w:pPr>
        <w:pStyle w:val="Normaltindrag"/>
      </w:pPr>
      <w:r w:rsidRPr="00966FB6">
        <w:t>Den ekonomiska aktiviteten i den nordliga regionen ökar dessutom och därmed också regionens ekonomiska och säkerhetspolitiska betydelse, vilket innebär att en sammanhållen politik för den nordliga regionen behövs.</w:t>
      </w:r>
    </w:p>
    <w:p w:rsidR="008E124F" w:rsidRPr="00966FB6" w:rsidRDefault="008E124F">
      <w:pPr>
        <w:pStyle w:val="Normaltindrag"/>
      </w:pPr>
      <w:r w:rsidRPr="00966FB6">
        <w:t>Med ett större engagemang från svensk sida kan vi övervaka vad som hä</w:t>
      </w:r>
      <w:r w:rsidRPr="00966FB6">
        <w:t>n</w:t>
      </w:r>
      <w:r w:rsidRPr="00966FB6">
        <w:t>der i området från säkerhetssynpunkt, samtidigt som Sveriges miljöteknologi skulle komma väl till pass i den känsliga miljön i området.</w:t>
      </w:r>
    </w:p>
    <w:p w:rsidR="008E124F" w:rsidRPr="00966FB6" w:rsidRDefault="008E124F">
      <w:pPr>
        <w:pStyle w:val="Normaltindrag"/>
      </w:pPr>
      <w:r w:rsidRPr="00966FB6">
        <w:t>Vi socialdemokrater anser att det är av största vikt att Barentssamarbetet stärks och fördjupas ytterligare på samtliga fem insatsområden, samtidigt som det svenska deltagandet bör baseras än mer än tidigare på regionala strukturer.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FB6">
        <w:trPr>
          <w:cantSplit/>
        </w:trPr>
        <w:tc>
          <w:tcPr>
            <w:tcW w:w="3046" w:type="dxa"/>
          </w:tcPr>
          <w:p w:rsidR="008E124F" w:rsidRPr="00966FB6" w:rsidRDefault="008E124F">
            <w:pPr>
              <w:pStyle w:val="UnderskriftDatum"/>
              <w:spacing w:before="240"/>
            </w:pPr>
            <w:r w:rsidRPr="00966FB6">
              <w:t>Stockholm den 3 oktober 2007</w:t>
            </w:r>
          </w:p>
        </w:tc>
        <w:tc>
          <w:tcPr>
            <w:tcW w:w="3047" w:type="dxa"/>
          </w:tcPr>
          <w:p w:rsidR="008E124F" w:rsidRPr="00966FB6" w:rsidRDefault="008E124F">
            <w:pPr>
              <w:pStyle w:val="Underskrifter"/>
              <w:spacing w:before="240"/>
            </w:pPr>
          </w:p>
        </w:tc>
      </w:tr>
      <w:tr w:rsidR="00000000" w:rsidRPr="00966FB6">
        <w:trPr>
          <w:cantSplit/>
        </w:trPr>
        <w:tc>
          <w:tcPr>
            <w:tcW w:w="3046" w:type="dxa"/>
          </w:tcPr>
          <w:p w:rsidR="008E124F" w:rsidRPr="00966FB6" w:rsidRDefault="008E124F">
            <w:pPr>
              <w:pStyle w:val="Underskrifter"/>
            </w:pPr>
            <w:r w:rsidRPr="00966FB6">
              <w:t>Carin Runeson (s)</w:t>
            </w:r>
          </w:p>
        </w:tc>
        <w:tc>
          <w:tcPr>
            <w:tcW w:w="3046" w:type="dxa"/>
          </w:tcPr>
          <w:p w:rsidR="008E124F" w:rsidRPr="00966FB6" w:rsidRDefault="008E124F">
            <w:pPr>
              <w:pStyle w:val="Underskrifter"/>
            </w:pPr>
          </w:p>
        </w:tc>
      </w:tr>
      <w:tr w:rsidR="00000000" w:rsidRPr="00966FB6">
        <w:trPr>
          <w:cantSplit/>
        </w:trPr>
        <w:tc>
          <w:tcPr>
            <w:tcW w:w="3046" w:type="dxa"/>
          </w:tcPr>
          <w:p w:rsidR="008E124F" w:rsidRPr="00966FB6" w:rsidRDefault="008E124F">
            <w:pPr>
              <w:pStyle w:val="Underskrifter"/>
            </w:pPr>
            <w:r w:rsidRPr="00966FB6">
              <w:t>Urban Ahlin (s)</w:t>
            </w:r>
          </w:p>
        </w:tc>
        <w:tc>
          <w:tcPr>
            <w:tcW w:w="3046" w:type="dxa"/>
          </w:tcPr>
          <w:p w:rsidR="008E124F" w:rsidRPr="00966FB6" w:rsidRDefault="008E124F">
            <w:pPr>
              <w:pStyle w:val="Underskrifter"/>
            </w:pPr>
            <w:r w:rsidRPr="00966FB6">
              <w:t>Veronica Palm (s)</w:t>
            </w:r>
          </w:p>
        </w:tc>
      </w:tr>
      <w:tr w:rsidR="00000000" w:rsidRPr="00966FB6">
        <w:trPr>
          <w:cantSplit/>
        </w:trPr>
        <w:tc>
          <w:tcPr>
            <w:tcW w:w="3046" w:type="dxa"/>
          </w:tcPr>
          <w:p w:rsidR="008E124F" w:rsidRPr="00966FB6" w:rsidRDefault="008E124F">
            <w:pPr>
              <w:pStyle w:val="Underskrifter"/>
            </w:pPr>
            <w:r w:rsidRPr="00966FB6">
              <w:t>Carina Hägg (s)</w:t>
            </w:r>
          </w:p>
        </w:tc>
        <w:tc>
          <w:tcPr>
            <w:tcW w:w="3046" w:type="dxa"/>
          </w:tcPr>
          <w:p w:rsidR="008E124F" w:rsidRPr="00966FB6" w:rsidRDefault="008E124F">
            <w:pPr>
              <w:pStyle w:val="Underskrifter"/>
            </w:pPr>
            <w:r w:rsidRPr="00966FB6">
              <w:t>Kent Härstedt (s)</w:t>
            </w:r>
          </w:p>
        </w:tc>
      </w:tr>
      <w:tr w:rsidR="00000000" w:rsidRPr="00966FB6">
        <w:trPr>
          <w:cantSplit/>
        </w:trPr>
        <w:tc>
          <w:tcPr>
            <w:tcW w:w="3046" w:type="dxa"/>
          </w:tcPr>
          <w:p w:rsidR="008E124F" w:rsidRPr="00966FB6" w:rsidRDefault="008E124F">
            <w:pPr>
              <w:pStyle w:val="Underskrifter"/>
            </w:pPr>
            <w:r w:rsidRPr="00966FB6">
              <w:t>Kenneth G Forslund (s)</w:t>
            </w:r>
          </w:p>
        </w:tc>
        <w:tc>
          <w:tcPr>
            <w:tcW w:w="3046" w:type="dxa"/>
          </w:tcPr>
          <w:p w:rsidR="008E124F" w:rsidRPr="00966FB6" w:rsidRDefault="008E124F">
            <w:pPr>
              <w:pStyle w:val="Underskrifter"/>
            </w:pPr>
            <w:r w:rsidRPr="00966FB6">
              <w:t>Kerstin Engle (s)</w:t>
            </w:r>
          </w:p>
        </w:tc>
      </w:tr>
      <w:tr w:rsidR="00000000" w:rsidRPr="00966FB6">
        <w:trPr>
          <w:cantSplit/>
        </w:trPr>
        <w:tc>
          <w:tcPr>
            <w:tcW w:w="3046" w:type="dxa"/>
          </w:tcPr>
          <w:p w:rsidR="008E124F" w:rsidRPr="00966FB6" w:rsidRDefault="008E124F">
            <w:pPr>
              <w:pStyle w:val="Underskrifter"/>
            </w:pPr>
            <w:r w:rsidRPr="00966FB6">
              <w:t>Olle Thorell (s)</w:t>
            </w:r>
          </w:p>
        </w:tc>
        <w:tc>
          <w:tcPr>
            <w:tcW w:w="3046" w:type="dxa"/>
          </w:tcPr>
          <w:p w:rsidR="008E124F" w:rsidRPr="00966FB6" w:rsidRDefault="008E124F">
            <w:pPr>
              <w:pStyle w:val="Underskrifter"/>
            </w:pPr>
          </w:p>
        </w:tc>
      </w:tr>
    </w:tbl>
    <w:p w:rsidR="008E124F" w:rsidRPr="00966FB6" w:rsidRDefault="008E124F">
      <w:pPr>
        <w:pStyle w:val="Normaltindrag"/>
      </w:pPr>
    </w:p>
    <w:sectPr w:rsidR="008E124F" w:rsidRPr="00966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24F" w:rsidRPr="00966FB6" w:rsidRDefault="008E124F">
      <w:r w:rsidRPr="00966FB6">
        <w:separator/>
      </w:r>
    </w:p>
  </w:endnote>
  <w:endnote w:type="continuationSeparator" w:id="0">
    <w:p w:rsidR="008E124F" w:rsidRPr="00966FB6" w:rsidRDefault="008E124F">
      <w:r w:rsidRPr="00966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966FB6">
    <w:pPr>
      <w:pStyle w:val="Sidfot"/>
    </w:pPr>
    <w:r w:rsidRPr="00966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953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24F" w:rsidRDefault="008E12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124F" w:rsidRDefault="008E12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966FB6">
    <w:pPr>
      <w:pStyle w:val="Sidfot"/>
    </w:pPr>
    <w:r w:rsidRPr="00966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815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24F" w:rsidRDefault="008E12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124F" w:rsidRDefault="008E12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966FB6">
    <w:pPr>
      <w:pStyle w:val="Sidfot"/>
    </w:pPr>
    <w:r w:rsidRPr="00966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671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24F" w:rsidRDefault="008E1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124F" w:rsidRDefault="008E1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24F" w:rsidRPr="00966FB6" w:rsidRDefault="008E124F">
      <w:r w:rsidRPr="00966FB6">
        <w:separator/>
      </w:r>
    </w:p>
  </w:footnote>
  <w:footnote w:type="continuationSeparator" w:id="0">
    <w:p w:rsidR="008E124F" w:rsidRPr="00966FB6" w:rsidRDefault="008E124F">
      <w:r w:rsidRPr="00966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966FB6">
    <w:pPr>
      <w:pStyle w:val="Sidhuvud"/>
    </w:pPr>
    <w:r w:rsidRPr="00966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986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24F" w:rsidRDefault="008E12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124F" w:rsidRDefault="008E12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966FB6">
    <w:pPr>
      <w:pStyle w:val="Sidhuvud"/>
    </w:pPr>
    <w:r w:rsidRPr="00966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292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24F" w:rsidRDefault="008E12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124F" w:rsidRDefault="008E12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24F" w:rsidRPr="00966FB6" w:rsidRDefault="008E124F">
    <w:pPr>
      <w:pStyle w:val="FSHNormal"/>
      <w:tabs>
        <w:tab w:val="right" w:pos="5840"/>
      </w:tabs>
    </w:pPr>
    <w:r w:rsidRPr="00966FB6">
      <w:br/>
    </w:r>
    <w:r w:rsidRPr="00966FB6">
      <w:fldChar w:fldCharType="begin" w:fldLock="1"/>
    </w:r>
    <w:r w:rsidRPr="00966FB6">
      <w:instrText xml:space="preserve"> DOCPROPERTY</w:instrText>
    </w:r>
    <w:r w:rsidRPr="00966FB6">
      <w:rPr>
        <w:sz w:val="18"/>
      </w:rPr>
      <w:instrText xml:space="preserve"> "YearUser" *\charformat </w:instrText>
    </w:r>
    <w:r w:rsidRPr="00966FB6">
      <w:fldChar w:fldCharType="separate"/>
    </w:r>
    <w:r w:rsidRPr="00966FB6">
      <w:t>2007/08</w:t>
    </w:r>
    <w:r w:rsidRPr="00966FB6">
      <w:fldChar w:fldCharType="end"/>
    </w:r>
    <w:r w:rsidRPr="00966FB6">
      <w:t xml:space="preserve"> </w:t>
    </w:r>
    <w:r w:rsidRPr="00966FB6">
      <w:tab/>
      <w:t xml:space="preserve">mnr: </w:t>
    </w:r>
    <w:r w:rsidRPr="00966FB6">
      <w:fldChar w:fldCharType="begin" w:fldLock="1"/>
    </w:r>
    <w:r w:rsidRPr="00966FB6">
      <w:instrText xml:space="preserve"> DOCPROPERTY</w:instrText>
    </w:r>
    <w:r w:rsidRPr="00966FB6">
      <w:rPr>
        <w:sz w:val="18"/>
      </w:rPr>
      <w:instrText xml:space="preserve"> "Motionsnummer" *\charformat </w:instrText>
    </w:r>
    <w:r w:rsidRPr="00966FB6">
      <w:fldChar w:fldCharType="separate"/>
    </w:r>
    <w:r w:rsidRPr="00966FB6">
      <w:t>U355</w:t>
    </w:r>
    <w:r w:rsidRPr="00966FB6">
      <w:fldChar w:fldCharType="end"/>
    </w:r>
    <w:r w:rsidRPr="00966FB6">
      <w:br/>
    </w:r>
    <w:r w:rsidRPr="00966FB6">
      <w:fldChar w:fldCharType="begin" w:fldLock="1"/>
    </w:r>
    <w:r w:rsidRPr="00966FB6">
      <w:instrText xml:space="preserve"> DOCPROPERTY</w:instrText>
    </w:r>
    <w:r w:rsidRPr="00966FB6">
      <w:rPr>
        <w:sz w:val="18"/>
      </w:rPr>
      <w:instrText xml:space="preserve"> "Samling" *\charformat </w:instrText>
    </w:r>
    <w:r w:rsidRPr="00966FB6">
      <w:fldChar w:fldCharType="end"/>
    </w:r>
    <w:r w:rsidRPr="00966FB6">
      <w:tab/>
      <w:t xml:space="preserve">pnr: </w:t>
    </w:r>
    <w:r w:rsidRPr="00966FB6">
      <w:fldChar w:fldCharType="begin" w:fldLock="1"/>
    </w:r>
    <w:r w:rsidRPr="00966FB6">
      <w:instrText xml:space="preserve"> DOCPROPERTY</w:instrText>
    </w:r>
    <w:r w:rsidRPr="00966FB6">
      <w:rPr>
        <w:sz w:val="18"/>
      </w:rPr>
      <w:instrText xml:space="preserve"> "Partinummer" *\charformat </w:instrText>
    </w:r>
    <w:r w:rsidRPr="00966FB6">
      <w:fldChar w:fldCharType="separate"/>
    </w:r>
    <w:r w:rsidRPr="00966FB6">
      <w:t>s64011</w:t>
    </w:r>
    <w:r w:rsidRPr="00966FB6">
      <w:fldChar w:fldCharType="end"/>
    </w:r>
  </w:p>
  <w:p w:rsidR="008E124F" w:rsidRPr="00966FB6" w:rsidRDefault="008E124F">
    <w:pPr>
      <w:pStyle w:val="FSHRub1"/>
    </w:pPr>
    <w:r w:rsidRPr="00966FB6">
      <w:t>Motion till riksdagen</w:t>
    </w:r>
    <w:r w:rsidRPr="00966FB6">
      <w:br/>
    </w:r>
    <w:r w:rsidRPr="00966FB6">
      <w:fldChar w:fldCharType="begin" w:fldLock="1"/>
    </w:r>
    <w:r w:rsidRPr="00966FB6">
      <w:instrText xml:space="preserve"> DOCPROPERTY "YearUser" *\charformat </w:instrText>
    </w:r>
    <w:r w:rsidRPr="00966FB6">
      <w:fldChar w:fldCharType="separate"/>
    </w:r>
    <w:r w:rsidRPr="00966FB6">
      <w:t>2007/08</w:t>
    </w:r>
    <w:r w:rsidRPr="00966FB6">
      <w:fldChar w:fldCharType="end"/>
    </w:r>
    <w:r w:rsidRPr="00966FB6">
      <w:t>:</w:t>
    </w:r>
    <w:r w:rsidRPr="00966FB6">
      <w:fldChar w:fldCharType="begin" w:fldLock="1"/>
    </w:r>
    <w:r w:rsidRPr="00966FB6">
      <w:instrText xml:space="preserve"> DOCPROPERTY "Motionsnummer" *\charformat </w:instrText>
    </w:r>
    <w:r w:rsidRPr="00966FB6">
      <w:fldChar w:fldCharType="separate"/>
    </w:r>
    <w:r w:rsidRPr="00966FB6">
      <w:t>U355</w:t>
    </w:r>
    <w:r w:rsidRPr="00966FB6">
      <w:fldChar w:fldCharType="end"/>
    </w:r>
  </w:p>
  <w:p w:rsidR="008E124F" w:rsidRPr="00966FB6" w:rsidRDefault="008E124F">
    <w:pPr>
      <w:pStyle w:val="FSHNormalS5"/>
    </w:pPr>
    <w:r w:rsidRPr="00966FB6">
      <w:fldChar w:fldCharType="begin" w:fldLock="1"/>
    </w:r>
    <w:r w:rsidRPr="00966FB6">
      <w:instrText xml:space="preserve"> DOCPROPERTY "MotionarText" *\charformat </w:instrText>
    </w:r>
    <w:r w:rsidRPr="00966FB6">
      <w:fldChar w:fldCharType="separate"/>
    </w:r>
    <w:r w:rsidRPr="00966FB6">
      <w:t>av Carin Runeson m.fl. (s)</w:t>
    </w:r>
    <w:r w:rsidRPr="00966FB6">
      <w:fldChar w:fldCharType="end"/>
    </w:r>
    <w:r w:rsidRPr="00966FB6">
      <w:br/>
    </w:r>
    <w:r w:rsidRPr="00966FB6">
      <w:fldChar w:fldCharType="begin" w:fldLock="1"/>
    </w:r>
    <w:r w:rsidRPr="00966FB6">
      <w:instrText xml:space="preserve"> DOCPROPERTY "SvarFrasKort" *\charformat </w:instrText>
    </w:r>
    <w:r w:rsidRPr="00966FB6">
      <w:fldChar w:fldCharType="end"/>
    </w:r>
  </w:p>
  <w:p w:rsidR="008E124F" w:rsidRPr="00966FB6" w:rsidRDefault="008E124F">
    <w:pPr>
      <w:pStyle w:val="FSHTitel"/>
    </w:pPr>
    <w:r w:rsidRPr="00966FB6">
      <w:fldChar w:fldCharType="begin" w:fldLock="1"/>
    </w:r>
    <w:r w:rsidRPr="00966FB6">
      <w:instrText xml:space="preserve"> DOCPROPERTY</w:instrText>
    </w:r>
    <w:r w:rsidRPr="00966FB6">
      <w:rPr>
        <w:sz w:val="18"/>
      </w:rPr>
      <w:instrText xml:space="preserve"> "RubrikSvar" *\charformat </w:instrText>
    </w:r>
    <w:r w:rsidRPr="00966FB6">
      <w:fldChar w:fldCharType="separate"/>
    </w:r>
    <w:r w:rsidRPr="00966FB6">
      <w:t>Barentsregionen</w:t>
    </w:r>
    <w:r w:rsidRPr="00966FB6">
      <w:fldChar w:fldCharType="end"/>
    </w:r>
  </w:p>
  <w:p w:rsidR="008E124F" w:rsidRPr="00966FB6" w:rsidRDefault="008E124F">
    <w:pPr>
      <w:pStyle w:val="Normal00"/>
    </w:pPr>
  </w:p>
  <w:p w:rsidR="008E124F" w:rsidRPr="00966FB6" w:rsidRDefault="008E1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604A2D"/>
    <w:multiLevelType w:val="hybridMultilevel"/>
    <w:tmpl w:val="AEDEF09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8515A4"/>
    <w:multiLevelType w:val="hybridMultilevel"/>
    <w:tmpl w:val="99F823D2"/>
    <w:lvl w:ilvl="0" w:tplc="BCBE3F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2972547">
    <w:abstractNumId w:val="8"/>
  </w:num>
  <w:num w:numId="2" w16cid:durableId="63574761">
    <w:abstractNumId w:val="9"/>
  </w:num>
  <w:num w:numId="3" w16cid:durableId="727803993">
    <w:abstractNumId w:val="8"/>
  </w:num>
  <w:num w:numId="4" w16cid:durableId="2051371320">
    <w:abstractNumId w:val="9"/>
  </w:num>
  <w:num w:numId="5" w16cid:durableId="1302227746">
    <w:abstractNumId w:val="13"/>
  </w:num>
  <w:num w:numId="6" w16cid:durableId="980571215">
    <w:abstractNumId w:val="10"/>
  </w:num>
  <w:num w:numId="7" w16cid:durableId="476074335">
    <w:abstractNumId w:val="11"/>
  </w:num>
  <w:num w:numId="8" w16cid:durableId="2000650182">
    <w:abstractNumId w:val="12"/>
  </w:num>
  <w:num w:numId="9" w16cid:durableId="365177608">
    <w:abstractNumId w:val="8"/>
  </w:num>
  <w:num w:numId="10" w16cid:durableId="145047489">
    <w:abstractNumId w:val="3"/>
  </w:num>
  <w:num w:numId="11" w16cid:durableId="443696497">
    <w:abstractNumId w:val="2"/>
  </w:num>
  <w:num w:numId="12" w16cid:durableId="1170364097">
    <w:abstractNumId w:val="1"/>
  </w:num>
  <w:num w:numId="13" w16cid:durableId="1661688422">
    <w:abstractNumId w:val="0"/>
  </w:num>
  <w:num w:numId="14" w16cid:durableId="888342751">
    <w:abstractNumId w:val="9"/>
  </w:num>
  <w:num w:numId="15" w16cid:durableId="2077970080">
    <w:abstractNumId w:val="7"/>
  </w:num>
  <w:num w:numId="16" w16cid:durableId="424883415">
    <w:abstractNumId w:val="6"/>
  </w:num>
  <w:num w:numId="17" w16cid:durableId="1424497553">
    <w:abstractNumId w:val="5"/>
  </w:num>
  <w:num w:numId="18" w16cid:durableId="1036009672">
    <w:abstractNumId w:val="4"/>
  </w:num>
  <w:num w:numId="19" w16cid:durableId="1991983918">
    <w:abstractNumId w:val="14"/>
  </w:num>
  <w:num w:numId="20" w16cid:durableId="286739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1C21E0E5-C721-4CC6-977F-70A15645D587},{A8194111-5C9A-450F-94FF-C41A79E3A58A},{A9FDCBAD-C520-44DD-BD41-38A8429276DE},{BE505140-C6B7-4A61-8BC7-AD683366E765},{47C3C683-2580-4D4B-830C-D55532238F57},{47D16990-C43A-4731-A6AF-F25531560B38},{57CD29E7-110F-4BBE-9894-3DBADDDF9B12},{38E0B56B-47C6-4732-B3EF-11F949BA6512}"/>
  </w:docVars>
  <w:rsids>
    <w:rsidRoot w:val="00792983"/>
    <w:rsid w:val="00792983"/>
    <w:rsid w:val="008E124F"/>
    <w:rsid w:val="00966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326BE-94EC-4922-833A-C8D3D547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ildtext">
    <w:name w:val="bil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4885</Characters>
  <Application>Microsoft Office Word</Application>
  <DocSecurity>4</DocSecurity>
  <Lines>97</Lines>
  <Paragraphs>36</Paragraphs>
  <ScaleCrop>false</ScaleCrop>
  <HeadingPairs>
    <vt:vector size="2" baseType="variant">
      <vt:variant>
        <vt:lpstr>Rubrik</vt:lpstr>
      </vt:variant>
      <vt:variant>
        <vt:i4>1</vt:i4>
      </vt:variant>
    </vt:vector>
  </HeadingPairs>
  <TitlesOfParts>
    <vt:vector size="1" baseType="lpstr">
      <vt:lpstr>s64011</vt:lpstr>
    </vt:vector>
  </TitlesOfParts>
  <Company>Riksdagen</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s64011</dc:title>
  <dc:subject>s64011</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2007-11-08T07:36:00Z</cp:lastPrinted>
  <dcterms:created xsi:type="dcterms:W3CDTF">2025-12-17T10:33:00Z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Barentsregionen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Barentsregionen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 Runeson m.fl. (s)</vt:lpwstr>
  </property>
  <property fmtid="{D5CDD505-2E9C-101B-9397-08002B2CF9AE}" pid="26" name="MotionarLista">
    <vt:lpwstr>Runeson, Carin (s)\Ahlin, Urban (s)\Palm, Veronica (s)\Hägg, Carina (s)\Härstedt, Kent (s)\Forslund, Kenneth G (s)\Engle, Kerstin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Urban Ahlin (s), Veronica Palm (s), Carina Hägg (s), Kent Härstedt (s), Kenneth G Forslund (s), Kerstin Engle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20072008000000000115000640110075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20072008000000000115000640110075</vt:lpwstr>
  </property>
  <property fmtid="{D5CDD505-2E9C-101B-9397-08002B2CF9AE}" pid="50" name="nummer">
    <vt:lpwstr>355</vt:lpwstr>
  </property>
  <property fmtid="{D5CDD505-2E9C-101B-9397-08002B2CF9AE}" pid="51" name="utskottsbeteckning">
    <vt:lpwstr>U</vt:lpwstr>
  </property>
  <property fmtid="{D5CDD505-2E9C-101B-9397-08002B2CF9AE}" pid="52" name="GlobalUID">
    <vt:lpwstr>{1E403BF3-0D44-4942-8653-72254CEAF38C}</vt:lpwstr>
  </property>
  <property fmtid="{D5CDD505-2E9C-101B-9397-08002B2CF9AE}" pid="53" name="Överföringar">
    <vt:i4>0</vt:i4>
  </property>
  <property fmtid="{D5CDD505-2E9C-101B-9397-08002B2CF9AE}" pid="54" name="Checksum">
    <vt:lpwstr>*1014978225272*</vt:lpwstr>
  </property>
  <property fmtid="{D5CDD505-2E9C-101B-9397-08002B2CF9AE}" pid="55" name="skuggnummer">
    <vt:lpwstr>3009</vt:lpwstr>
  </property>
  <property fmtid="{D5CDD505-2E9C-101B-9397-08002B2CF9AE}" pid="56" name="urixVersion">
    <vt:lpwstr>3.2.0.8</vt:lpwstr>
  </property>
  <property fmtid="{D5CDD505-2E9C-101B-9397-08002B2CF9AE}" pid="57" name="urixOrigin">
    <vt:lpwstr>080827 13:32:17.697</vt:lpwstr>
  </property>
  <property fmtid="{D5CDD505-2E9C-101B-9397-08002B2CF9AE}" pid="58" name="urixGuid">
    <vt:lpwstr>{64D85E4A-ECB6-459D-A0E4-92BF69F47423}</vt:lpwstr>
  </property>
</Properties>
</file>