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064E869B"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AC3BCB">
              <w:rPr>
                <w:b/>
              </w:rPr>
              <w:t>4</w:t>
            </w:r>
            <w:r w:rsidR="00BA24DC">
              <w:rPr>
                <w:b/>
              </w:rPr>
              <w:t>3</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07418756" w:rsidR="008035C8" w:rsidRDefault="00A257B8" w:rsidP="00AF3CA6">
            <w:pPr>
              <w:ind w:right="355"/>
            </w:pPr>
            <w:r>
              <w:t>20</w:t>
            </w:r>
            <w:r w:rsidR="00CF36BC">
              <w:t>2</w:t>
            </w:r>
            <w:r w:rsidR="00701F1D">
              <w:t>5</w:t>
            </w:r>
            <w:r w:rsidR="00515552">
              <w:t>-04-</w:t>
            </w:r>
            <w:r w:rsidR="00BA24DC">
              <w:t>22</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22D3F078" w:rsidR="0096348C" w:rsidRDefault="009476AF" w:rsidP="00AF3CA6">
            <w:pPr>
              <w:ind w:right="-269"/>
            </w:pPr>
            <w:r>
              <w:t>K</w:t>
            </w:r>
            <w:r w:rsidR="00111135">
              <w:t>l</w:t>
            </w:r>
            <w:r w:rsidRPr="00893917">
              <w:t>.</w:t>
            </w:r>
            <w:r w:rsidR="002349AE" w:rsidRPr="00893917">
              <w:t xml:space="preserve"> </w:t>
            </w:r>
            <w:r w:rsidR="00BA24DC">
              <w:t>11.00-</w:t>
            </w:r>
            <w:r w:rsidR="00A86A95">
              <w:t>11.34</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F6C32" w14:paraId="3D8CEA9B" w14:textId="77777777" w:rsidTr="008035C8">
        <w:tc>
          <w:tcPr>
            <w:tcW w:w="567" w:type="dxa"/>
          </w:tcPr>
          <w:p w14:paraId="081954BB" w14:textId="47F38434" w:rsidR="002F6C32" w:rsidRPr="00C92C53" w:rsidRDefault="002F6C32" w:rsidP="002F6C32">
            <w:pPr>
              <w:pStyle w:val="Default"/>
              <w:rPr>
                <w:b/>
              </w:rPr>
            </w:pPr>
            <w:r>
              <w:rPr>
                <w:b/>
                <w:snapToGrid w:val="0"/>
              </w:rPr>
              <w:t>§ 1</w:t>
            </w:r>
          </w:p>
        </w:tc>
        <w:tc>
          <w:tcPr>
            <w:tcW w:w="7655" w:type="dxa"/>
          </w:tcPr>
          <w:p w14:paraId="4FF09A7F" w14:textId="5D68875B" w:rsidR="002F6C32" w:rsidRPr="00970758" w:rsidRDefault="002F6C32" w:rsidP="002F6C32">
            <w:pPr>
              <w:outlineLvl w:val="0"/>
              <w:rPr>
                <w:color w:val="000000"/>
              </w:rPr>
            </w:pPr>
            <w:r w:rsidRPr="00CB3A0A">
              <w:rPr>
                <w:b/>
                <w:color w:val="000000"/>
              </w:rPr>
              <w:t>Aktuella EU-frågor</w:t>
            </w:r>
            <w:r w:rsidRPr="00CB3A0A">
              <w:rPr>
                <w:i/>
                <w:iCs/>
                <w:color w:val="000000"/>
              </w:rPr>
              <w:br/>
            </w:r>
            <w:r w:rsidRPr="00970758">
              <w:rPr>
                <w:color w:val="000000"/>
              </w:rPr>
              <w:t xml:space="preserve">Finansmarknadsminister Niklas Wykman </w:t>
            </w:r>
            <w:r w:rsidR="00CB3A0A" w:rsidRPr="00970758">
              <w:t>biträdd av medarbetare från Finansdepartementet</w:t>
            </w:r>
            <w:r w:rsidR="00CB3A0A" w:rsidRPr="00970758">
              <w:rPr>
                <w:color w:val="000000"/>
              </w:rPr>
              <w:t xml:space="preserve"> </w:t>
            </w:r>
            <w:r w:rsidRPr="00970758">
              <w:rPr>
                <w:color w:val="000000"/>
              </w:rPr>
              <w:t>lämnade information om:</w:t>
            </w:r>
          </w:p>
          <w:p w14:paraId="4BC03DCD" w14:textId="0E98083E" w:rsidR="002F6C32" w:rsidRPr="00970758" w:rsidRDefault="002F6C32" w:rsidP="002F6C32">
            <w:pPr>
              <w:pStyle w:val="Liststycke"/>
              <w:numPr>
                <w:ilvl w:val="0"/>
                <w:numId w:val="16"/>
              </w:numPr>
              <w:outlineLvl w:val="0"/>
              <w:rPr>
                <w:color w:val="000000"/>
              </w:rPr>
            </w:pPr>
            <w:r w:rsidRPr="00970758">
              <w:rPr>
                <w:color w:val="000000"/>
              </w:rPr>
              <w:t xml:space="preserve">Stabil nettofinansieringskvot och  </w:t>
            </w:r>
          </w:p>
          <w:p w14:paraId="18237B7F" w14:textId="1FB835E5" w:rsidR="002F6C32" w:rsidRPr="00970758" w:rsidRDefault="002F6C32" w:rsidP="002F6C32">
            <w:pPr>
              <w:pStyle w:val="Liststycke"/>
              <w:numPr>
                <w:ilvl w:val="0"/>
                <w:numId w:val="16"/>
              </w:numPr>
              <w:outlineLvl w:val="0"/>
              <w:rPr>
                <w:color w:val="000000"/>
              </w:rPr>
            </w:pPr>
            <w:r w:rsidRPr="00970758">
              <w:rPr>
                <w:color w:val="000000"/>
              </w:rPr>
              <w:t>Digital euro.</w:t>
            </w:r>
          </w:p>
          <w:p w14:paraId="78F8460A" w14:textId="3EEB97BB" w:rsidR="002F6C32" w:rsidRPr="00970758" w:rsidRDefault="002F6C32" w:rsidP="002F6C32">
            <w:pPr>
              <w:outlineLvl w:val="0"/>
              <w:rPr>
                <w:color w:val="000000"/>
              </w:rPr>
            </w:pPr>
            <w:r w:rsidRPr="00970758">
              <w:rPr>
                <w:color w:val="000000"/>
              </w:rPr>
              <w:t xml:space="preserve">Ledamöternas frågor besvarades. </w:t>
            </w:r>
          </w:p>
          <w:p w14:paraId="4ED431F2" w14:textId="3291A2E8" w:rsidR="002F6C32" w:rsidRPr="00970758" w:rsidRDefault="002F6C32" w:rsidP="002F6C32">
            <w:pPr>
              <w:pStyle w:val="Liststycke"/>
              <w:outlineLvl w:val="0"/>
              <w:rPr>
                <w:color w:val="000000"/>
              </w:rPr>
            </w:pPr>
          </w:p>
        </w:tc>
      </w:tr>
      <w:tr w:rsidR="00A44FE3" w14:paraId="2C8ABE0A" w14:textId="77777777" w:rsidTr="008035C8">
        <w:tc>
          <w:tcPr>
            <w:tcW w:w="567" w:type="dxa"/>
          </w:tcPr>
          <w:p w14:paraId="442699FD" w14:textId="4605BFD4" w:rsidR="00A44FE3" w:rsidRPr="00C92C53" w:rsidRDefault="00A44FE3" w:rsidP="00C92C53">
            <w:pPr>
              <w:pStyle w:val="Default"/>
              <w:rPr>
                <w:b/>
              </w:rPr>
            </w:pPr>
            <w:r w:rsidRPr="00C92C53">
              <w:rPr>
                <w:b/>
              </w:rPr>
              <w:t xml:space="preserve">§ </w:t>
            </w:r>
            <w:r w:rsidR="002F6C32">
              <w:rPr>
                <w:b/>
              </w:rPr>
              <w:t>2</w:t>
            </w:r>
          </w:p>
        </w:tc>
        <w:tc>
          <w:tcPr>
            <w:tcW w:w="7655" w:type="dxa"/>
          </w:tcPr>
          <w:p w14:paraId="27213774" w14:textId="50A0BB7B" w:rsidR="002F6C32" w:rsidRPr="00970758" w:rsidRDefault="00402142" w:rsidP="00402142">
            <w:pPr>
              <w:outlineLvl w:val="0"/>
            </w:pPr>
            <w:r w:rsidRPr="00970758">
              <w:rPr>
                <w:b/>
                <w:color w:val="000000"/>
              </w:rPr>
              <w:t>Spar- och investeringsunionen</w:t>
            </w:r>
            <w:r w:rsidRPr="00970758">
              <w:rPr>
                <w:b/>
                <w:color w:val="000000"/>
              </w:rPr>
              <w:br/>
            </w:r>
            <w:r w:rsidR="002F6C32" w:rsidRPr="00970758">
              <w:t xml:space="preserve">Utskottet överlade med </w:t>
            </w:r>
            <w:r w:rsidR="000B0699">
              <w:rPr>
                <w:color w:val="000000"/>
              </w:rPr>
              <w:t>f</w:t>
            </w:r>
            <w:r w:rsidR="00CB3A0A" w:rsidRPr="00970758">
              <w:rPr>
                <w:color w:val="000000"/>
              </w:rPr>
              <w:t>inansmarknadsminister</w:t>
            </w:r>
            <w:r w:rsidR="002F6C32" w:rsidRPr="00970758">
              <w:t xml:space="preserve"> </w:t>
            </w:r>
            <w:r w:rsidR="002F6C32" w:rsidRPr="00970758">
              <w:rPr>
                <w:color w:val="000000"/>
              </w:rPr>
              <w:t>Niklas Wykman</w:t>
            </w:r>
            <w:r w:rsidR="002F6C32" w:rsidRPr="00970758">
              <w:t xml:space="preserve">, biträdd av medarbetare från Finansdepartementet. </w:t>
            </w:r>
            <w:r w:rsidR="002F6C32" w:rsidRPr="00970758">
              <w:br/>
              <w:t xml:space="preserve">Underlaget utgjordes av kommissionens förslag </w:t>
            </w:r>
            <w:bookmarkStart w:id="0" w:name="_Hlk196222653"/>
            <w:r w:rsidR="002F6C32" w:rsidRPr="00970758">
              <w:t xml:space="preserve">COM(2025) 124 </w:t>
            </w:r>
            <w:bookmarkEnd w:id="0"/>
            <w:r w:rsidR="002F6C32" w:rsidRPr="00970758">
              <w:t xml:space="preserve">och Regeringskansliets faktapromemoria </w:t>
            </w:r>
            <w:r w:rsidR="00CB3A0A">
              <w:t xml:space="preserve">2024/25:33 </w:t>
            </w:r>
            <w:r w:rsidR="002F6C32" w:rsidRPr="00970758">
              <w:t>(dnr 184-2024/25).</w:t>
            </w:r>
          </w:p>
          <w:p w14:paraId="347D67F5" w14:textId="432BCCF2" w:rsidR="002F6C32" w:rsidRPr="00970758" w:rsidRDefault="002F6C32" w:rsidP="00402142">
            <w:pPr>
              <w:outlineLvl w:val="0"/>
            </w:pPr>
          </w:p>
          <w:p w14:paraId="7BA70562" w14:textId="1956AA6D" w:rsidR="002F6C32" w:rsidRPr="00970758" w:rsidRDefault="002F6C32" w:rsidP="002F6C32">
            <w:pPr>
              <w:outlineLvl w:val="0"/>
            </w:pPr>
            <w:r w:rsidRPr="00970758">
              <w:t xml:space="preserve">Statsrådet </w:t>
            </w:r>
            <w:r w:rsidRPr="00970758">
              <w:rPr>
                <w:color w:val="000000"/>
              </w:rPr>
              <w:t>Niklas Wykman</w:t>
            </w:r>
            <w:r w:rsidRPr="00970758">
              <w:t xml:space="preserve"> redogjorde för regeringens ståndpunkt i enlighet med faktapromemorian:</w:t>
            </w:r>
          </w:p>
          <w:p w14:paraId="10DEAB70" w14:textId="77777777" w:rsidR="002F6C32" w:rsidRPr="00970758" w:rsidRDefault="002F6C32" w:rsidP="002F6C32">
            <w:pPr>
              <w:outlineLvl w:val="0"/>
            </w:pPr>
          </w:p>
          <w:p w14:paraId="73FEFE51" w14:textId="574ADE67" w:rsidR="002F6C32" w:rsidRPr="00970758" w:rsidRDefault="002F6C32" w:rsidP="002F6C32">
            <w:pPr>
              <w:ind w:left="432"/>
              <w:outlineLvl w:val="0"/>
              <w:rPr>
                <w:sz w:val="22"/>
                <w:szCs w:val="22"/>
              </w:rPr>
            </w:pPr>
            <w:r w:rsidRPr="00970758">
              <w:rPr>
                <w:sz w:val="22"/>
                <w:szCs w:val="22"/>
              </w:rPr>
              <w:t>Regeringen välkomnar kommissionens meddelande och att frågor om både sparande och investeringar nu tydligare står i fokus. EU:s kapital-marknader spelar en avgörande roll för finansiering av företag och EU:s utmaningar. De är också viktiga för att bidra till att fördjupa den inre marknaden och stärka EU:s långsiktiga konkurrenskraft, tillväxt och välstånd. Därför är det nödvändigt med fortsatt arbete för att stärka och ytterligare integrera EU:s kapitalmarknader. Regeringen kan konstatera att bankunionen är en viktig del av den inre bankmarknaden och ser positivt på åtgärder som förbättrar bankunionen.</w:t>
            </w:r>
          </w:p>
          <w:p w14:paraId="14667DE0" w14:textId="1EA1DCB4" w:rsidR="002F6C32" w:rsidRPr="00970758" w:rsidRDefault="002F6C32" w:rsidP="002F6C32">
            <w:pPr>
              <w:spacing w:before="240"/>
              <w:ind w:left="432"/>
              <w:outlineLvl w:val="0"/>
              <w:rPr>
                <w:sz w:val="22"/>
                <w:szCs w:val="22"/>
              </w:rPr>
            </w:pPr>
            <w:r w:rsidRPr="00970758">
              <w:rPr>
                <w:sz w:val="22"/>
                <w:szCs w:val="22"/>
              </w:rPr>
              <w:t>Regeringen anser att kapitalmarknaderna bör utvecklas med en marknads-baserad ansats som främjar konkurrens och öppenhet mot tredjeland. För att stärka EU:s konkurrenskraft stödjer regeringen arbete för att minska regelbördor och administrativa kostnader samtidigt som centrala policymål värnas.</w:t>
            </w:r>
          </w:p>
          <w:p w14:paraId="429C9FE9" w14:textId="77777777" w:rsidR="002F6C32" w:rsidRPr="00970758" w:rsidRDefault="002F6C32" w:rsidP="002F6C32">
            <w:pPr>
              <w:ind w:left="432"/>
              <w:outlineLvl w:val="0"/>
              <w:rPr>
                <w:sz w:val="22"/>
                <w:szCs w:val="22"/>
              </w:rPr>
            </w:pPr>
          </w:p>
          <w:p w14:paraId="357115B4" w14:textId="001D9D82" w:rsidR="002F6C32" w:rsidRPr="00970758" w:rsidRDefault="002F6C32" w:rsidP="002F6C32">
            <w:pPr>
              <w:ind w:left="432"/>
              <w:outlineLvl w:val="0"/>
              <w:rPr>
                <w:sz w:val="22"/>
                <w:szCs w:val="22"/>
              </w:rPr>
            </w:pPr>
            <w:r w:rsidRPr="00970758">
              <w:rPr>
                <w:sz w:val="22"/>
                <w:szCs w:val="22"/>
              </w:rPr>
              <w:t>Det långsiktiga förtroendet för de finansiella marknaderna är centralt. Därför behöver den finansiella stabiliteten, starkt konsumentskydd samt god och korrekt information på marknaderna värnas. Förändringar i regelverk bör syfta till att förbättra marknadernas funktionssätt, inte att välmotiverade krav urvattnas.</w:t>
            </w:r>
          </w:p>
          <w:p w14:paraId="0B303A67" w14:textId="77777777" w:rsidR="002F6C32" w:rsidRPr="00970758" w:rsidRDefault="002F6C32" w:rsidP="002F6C32">
            <w:pPr>
              <w:ind w:left="432"/>
              <w:outlineLvl w:val="0"/>
              <w:rPr>
                <w:sz w:val="22"/>
                <w:szCs w:val="22"/>
              </w:rPr>
            </w:pPr>
          </w:p>
          <w:p w14:paraId="4D031FA4" w14:textId="77777777" w:rsidR="002F6C32" w:rsidRPr="00970758" w:rsidRDefault="002F6C32" w:rsidP="002F6C32">
            <w:pPr>
              <w:ind w:left="432"/>
              <w:outlineLvl w:val="0"/>
              <w:rPr>
                <w:sz w:val="22"/>
                <w:szCs w:val="22"/>
              </w:rPr>
            </w:pPr>
            <w:r w:rsidRPr="00970758">
              <w:rPr>
                <w:sz w:val="22"/>
                <w:szCs w:val="22"/>
              </w:rPr>
              <w:t>I arbetet med spar- och investeringsunionen är det särskilt betydelsefullt med åtgärder som bidrar till att öka mängden produktivt kapital. Det är viktigt att beakta behoven för företag i olika utvecklingsskeden och investerares förutsättningar att tillhandahålla riskkapital. Finansiering med eget kapital är särskilt viktig för företag.</w:t>
            </w:r>
          </w:p>
          <w:p w14:paraId="60195479" w14:textId="77777777" w:rsidR="002F6C32" w:rsidRPr="00970758" w:rsidRDefault="002F6C32" w:rsidP="002F6C32">
            <w:pPr>
              <w:ind w:left="432"/>
              <w:outlineLvl w:val="0"/>
              <w:rPr>
                <w:sz w:val="22"/>
                <w:szCs w:val="22"/>
              </w:rPr>
            </w:pPr>
          </w:p>
          <w:p w14:paraId="306A2737" w14:textId="6F3F07C0" w:rsidR="002F6C32" w:rsidRPr="00970758" w:rsidRDefault="002F6C32" w:rsidP="002F6C32">
            <w:pPr>
              <w:ind w:left="432"/>
              <w:outlineLvl w:val="0"/>
              <w:rPr>
                <w:sz w:val="22"/>
                <w:szCs w:val="22"/>
              </w:rPr>
            </w:pPr>
            <w:r w:rsidRPr="00970758">
              <w:rPr>
                <w:sz w:val="22"/>
                <w:szCs w:val="22"/>
              </w:rPr>
              <w:t xml:space="preserve">För att öka mängden kapital bör åtgärder för att öka EU:s privatpersoners sparande på kapitalmarknaderna prioriteras. </w:t>
            </w:r>
          </w:p>
          <w:p w14:paraId="6D485AB1" w14:textId="77777777" w:rsidR="002F6C32" w:rsidRPr="00970758" w:rsidRDefault="002F6C32" w:rsidP="002F6C32">
            <w:pPr>
              <w:ind w:left="432"/>
              <w:outlineLvl w:val="0"/>
              <w:rPr>
                <w:sz w:val="22"/>
                <w:szCs w:val="22"/>
              </w:rPr>
            </w:pPr>
            <w:r w:rsidRPr="00970758">
              <w:rPr>
                <w:sz w:val="22"/>
                <w:szCs w:val="22"/>
              </w:rPr>
              <w:t xml:space="preserve">Regeringen anser att det är viktigt att hushållen får möjlighet till långsiktigt god </w:t>
            </w:r>
            <w:r w:rsidRPr="00970758">
              <w:rPr>
                <w:sz w:val="22"/>
                <w:szCs w:val="22"/>
              </w:rPr>
              <w:lastRenderedPageBreak/>
              <w:t xml:space="preserve">avkastning på sitt sparande och att investerarnas intressen värnas. </w:t>
            </w:r>
          </w:p>
          <w:p w14:paraId="6378710D" w14:textId="404B3AF2" w:rsidR="002F6C32" w:rsidRPr="00970758" w:rsidRDefault="002F6C32" w:rsidP="002F6C32">
            <w:pPr>
              <w:ind w:left="432"/>
              <w:outlineLvl w:val="0"/>
              <w:rPr>
                <w:sz w:val="22"/>
                <w:szCs w:val="22"/>
              </w:rPr>
            </w:pPr>
            <w:r w:rsidRPr="00970758">
              <w:rPr>
                <w:sz w:val="22"/>
                <w:szCs w:val="22"/>
              </w:rPr>
              <w:t>Regeringen bedömer att nationella åtgärder är mest verkningsfulla för att främja privatpersoners sparande på kapital-marknaderna, såväl direkt som indirekt via pensionssystemen. För att stötta effektiva nationella reformer behövs utbyte av erfarenheter och strukturerade sätt att följa upp medlemsstaternas åtgärder.</w:t>
            </w:r>
          </w:p>
          <w:p w14:paraId="21213B25" w14:textId="77777777" w:rsidR="002F6C32" w:rsidRPr="00970758" w:rsidRDefault="002F6C32" w:rsidP="002F6C32">
            <w:pPr>
              <w:ind w:left="432"/>
              <w:outlineLvl w:val="0"/>
              <w:rPr>
                <w:sz w:val="22"/>
                <w:szCs w:val="22"/>
              </w:rPr>
            </w:pPr>
          </w:p>
          <w:p w14:paraId="7E3DED63" w14:textId="77777777" w:rsidR="002F6C32" w:rsidRPr="00970758" w:rsidRDefault="002F6C32" w:rsidP="002F6C32">
            <w:pPr>
              <w:ind w:left="432"/>
              <w:outlineLvl w:val="0"/>
              <w:rPr>
                <w:sz w:val="22"/>
                <w:szCs w:val="22"/>
              </w:rPr>
            </w:pPr>
            <w:r w:rsidRPr="00970758">
              <w:rPr>
                <w:sz w:val="22"/>
                <w:szCs w:val="22"/>
              </w:rPr>
              <w:t>För att stärka den inre marknaden välkomnar regeringen initiativ för att ta bort hinder för gränsöverskridande aktörer och investeringar, exempelvis inom EU:s marknadsinfrastruktur. I arbetet för att utveckla spar- och investeringsunionen bör samtidigt medlemsstaternas olika förutsättningar beaktas och anpassningar möjliggöras i syfte att värna välfungerande nationella modeller.</w:t>
            </w:r>
          </w:p>
          <w:p w14:paraId="22859A02" w14:textId="77777777" w:rsidR="002F6C32" w:rsidRPr="00970758" w:rsidRDefault="002F6C32" w:rsidP="002F6C32">
            <w:pPr>
              <w:ind w:left="432"/>
              <w:outlineLvl w:val="0"/>
              <w:rPr>
                <w:sz w:val="22"/>
                <w:szCs w:val="22"/>
              </w:rPr>
            </w:pPr>
          </w:p>
          <w:p w14:paraId="28C8F2C4" w14:textId="34906529" w:rsidR="002F6C32" w:rsidRPr="00970758" w:rsidRDefault="002F6C32" w:rsidP="002F6C32">
            <w:pPr>
              <w:ind w:left="432"/>
              <w:outlineLvl w:val="0"/>
              <w:rPr>
                <w:sz w:val="22"/>
                <w:szCs w:val="22"/>
              </w:rPr>
            </w:pPr>
            <w:r w:rsidRPr="00970758">
              <w:rPr>
                <w:sz w:val="22"/>
                <w:szCs w:val="22"/>
              </w:rPr>
              <w:t>Regeringen instämmer med kommissionen att den nuvarande tillsynsstrukturen medför vissa utmaningar, exempelvis i tillsynen över gränsöverskridande verksamhet. För att både främja en välfungerande kapitalmarknad och stärka den inre marknaden välkomnar regeringen arbete som bidrar till likvärdig, stark och effektiv tillsyn över EU:s kapitalmarknader. I detta syfte verkar regeringen för lösningar som också säkerställer möjligheten att bedriva riskbaserad tillsyn som tar hänsyn till såväl nationella förhållanden som gränsöverskridande risker. Det är avgörande att ansvarsfördelningen när det gäller tillsyn är tydlig mellan nationell nivå och EU-nivå.</w:t>
            </w:r>
          </w:p>
          <w:p w14:paraId="38F267CA" w14:textId="77777777" w:rsidR="002F6C32" w:rsidRPr="00970758" w:rsidRDefault="002F6C32" w:rsidP="002F6C32">
            <w:pPr>
              <w:ind w:left="432"/>
              <w:outlineLvl w:val="0"/>
              <w:rPr>
                <w:sz w:val="22"/>
                <w:szCs w:val="22"/>
              </w:rPr>
            </w:pPr>
          </w:p>
          <w:p w14:paraId="4DF9F310" w14:textId="66C2D259" w:rsidR="002F6C32" w:rsidRPr="00970758" w:rsidRDefault="002F6C32" w:rsidP="002F6C32">
            <w:pPr>
              <w:ind w:left="432"/>
              <w:outlineLvl w:val="0"/>
              <w:rPr>
                <w:sz w:val="22"/>
                <w:szCs w:val="22"/>
              </w:rPr>
            </w:pPr>
            <w:r w:rsidRPr="00970758">
              <w:rPr>
                <w:sz w:val="22"/>
                <w:szCs w:val="22"/>
              </w:rPr>
              <w:t>Bankerna har en viktig roll i kreditförsörjningen och som mellanhand på de finansiella marknaderna. Det är därför välkommet att kommissionen ser över om regelverket är ändamålsenligt, i syfte att värna sektorns internationella konkurrenskraft. Regeringen betonar dock att ett stabilt och motståndskraftigt finansiellt system är en förutsättning för långsiktig tillväxt. Det är viktigt att kraven på bankerna speglar riskerna i deras verksamhet. Eventuella justeringar av kraven bör övervägas noga.</w:t>
            </w:r>
          </w:p>
          <w:p w14:paraId="5B0CA075" w14:textId="77777777" w:rsidR="002F6C32" w:rsidRPr="00970758" w:rsidRDefault="002F6C32" w:rsidP="002F6C32">
            <w:pPr>
              <w:ind w:left="432"/>
              <w:outlineLvl w:val="0"/>
              <w:rPr>
                <w:sz w:val="22"/>
                <w:szCs w:val="22"/>
              </w:rPr>
            </w:pPr>
          </w:p>
          <w:p w14:paraId="08EE8FB9" w14:textId="0E749993" w:rsidR="002F6C32" w:rsidRPr="00970758" w:rsidRDefault="002F6C32" w:rsidP="002F6C32">
            <w:pPr>
              <w:ind w:left="432"/>
              <w:outlineLvl w:val="0"/>
              <w:rPr>
                <w:sz w:val="22"/>
                <w:szCs w:val="22"/>
              </w:rPr>
            </w:pPr>
            <w:r w:rsidRPr="00970758">
              <w:rPr>
                <w:sz w:val="22"/>
                <w:szCs w:val="22"/>
              </w:rPr>
              <w:t>En viktig förutsättning för framgång med spar- och investeringsunionen är gedigna konsekvensanalyser i samband med förslag, inklusive analys av de samlade effekterna för EU:s konkurrenskraft och finansiella stabilitet.</w:t>
            </w:r>
          </w:p>
          <w:p w14:paraId="2A34538D" w14:textId="77777777" w:rsidR="002F6C32" w:rsidRPr="00970758" w:rsidRDefault="002F6C32" w:rsidP="002F6C32">
            <w:pPr>
              <w:ind w:left="432"/>
              <w:outlineLvl w:val="0"/>
              <w:rPr>
                <w:sz w:val="22"/>
                <w:szCs w:val="22"/>
              </w:rPr>
            </w:pPr>
          </w:p>
          <w:p w14:paraId="430C56B1" w14:textId="77777777" w:rsidR="002F6C32" w:rsidRPr="00970758" w:rsidRDefault="002F6C32" w:rsidP="002F6C32">
            <w:pPr>
              <w:ind w:left="432"/>
              <w:outlineLvl w:val="0"/>
              <w:rPr>
                <w:sz w:val="22"/>
                <w:szCs w:val="22"/>
              </w:rPr>
            </w:pPr>
            <w:r w:rsidRPr="00970758">
              <w:rPr>
                <w:sz w:val="22"/>
                <w:szCs w:val="22"/>
              </w:rPr>
              <w:t>Åtgärder som vidtas ska vara så kostnads- och samhällsekonomiskt effektiva som möjligt. Eventuella ökade kostnader för EU-budget eller nationell budget ska finansieras genom omprioriteringar inom beslutade och beräknade ekonomiska ramar på berört utgiftsområde.</w:t>
            </w:r>
          </w:p>
          <w:p w14:paraId="5DD8613A" w14:textId="77777777" w:rsidR="002F6C32" w:rsidRPr="00970758" w:rsidRDefault="002F6C32" w:rsidP="002F6C32">
            <w:pPr>
              <w:ind w:left="432"/>
              <w:outlineLvl w:val="0"/>
              <w:rPr>
                <w:sz w:val="22"/>
                <w:szCs w:val="22"/>
              </w:rPr>
            </w:pPr>
          </w:p>
          <w:p w14:paraId="02623988" w14:textId="1864608B" w:rsidR="002F6C32" w:rsidRPr="00970758" w:rsidRDefault="002F6C32" w:rsidP="002F6C32">
            <w:pPr>
              <w:ind w:left="432"/>
              <w:outlineLvl w:val="0"/>
              <w:rPr>
                <w:sz w:val="22"/>
                <w:szCs w:val="22"/>
              </w:rPr>
            </w:pPr>
            <w:r w:rsidRPr="00970758">
              <w:rPr>
                <w:sz w:val="22"/>
                <w:szCs w:val="22"/>
              </w:rPr>
              <w:t>Regeringen kommer att ta ställning till respektive förslag då de presenteras.</w:t>
            </w:r>
          </w:p>
          <w:p w14:paraId="37F1B271" w14:textId="77777777" w:rsidR="002F6C32" w:rsidRPr="00970758" w:rsidRDefault="002F6C32" w:rsidP="00402142">
            <w:pPr>
              <w:outlineLvl w:val="0"/>
            </w:pPr>
          </w:p>
          <w:p w14:paraId="17EE5049" w14:textId="2CD4D26B" w:rsidR="00E3503F" w:rsidRPr="00970758" w:rsidRDefault="002F6C32" w:rsidP="00402142">
            <w:pPr>
              <w:outlineLvl w:val="0"/>
              <w:rPr>
                <w:bCs/>
              </w:rPr>
            </w:pPr>
            <w:r w:rsidRPr="00970758">
              <w:t>Ordföranden konstaterade att det fanns stöd för regeringens ståndpunkt.</w:t>
            </w:r>
            <w:r w:rsidR="00B75C46" w:rsidRPr="00970758">
              <w:rPr>
                <w:b/>
                <w:i/>
                <w:iCs/>
              </w:rPr>
              <w:br/>
            </w:r>
          </w:p>
        </w:tc>
      </w:tr>
      <w:tr w:rsidR="009476AF" w14:paraId="070968C2" w14:textId="77777777" w:rsidTr="008035C8">
        <w:tc>
          <w:tcPr>
            <w:tcW w:w="567" w:type="dxa"/>
          </w:tcPr>
          <w:p w14:paraId="1A178F32" w14:textId="595DDF62" w:rsidR="009476AF" w:rsidRDefault="00DC5A2B" w:rsidP="009476AF">
            <w:pPr>
              <w:tabs>
                <w:tab w:val="left" w:pos="1701"/>
              </w:tabs>
              <w:rPr>
                <w:b/>
                <w:snapToGrid w:val="0"/>
              </w:rPr>
            </w:pPr>
            <w:r>
              <w:rPr>
                <w:b/>
                <w:snapToGrid w:val="0"/>
              </w:rPr>
              <w:lastRenderedPageBreak/>
              <w:t>§</w:t>
            </w:r>
            <w:r w:rsidR="007F0C14">
              <w:rPr>
                <w:b/>
                <w:snapToGrid w:val="0"/>
              </w:rPr>
              <w:t xml:space="preserve"> </w:t>
            </w:r>
            <w:r w:rsidR="002F6C32">
              <w:rPr>
                <w:b/>
                <w:snapToGrid w:val="0"/>
              </w:rPr>
              <w:t>3</w:t>
            </w:r>
          </w:p>
        </w:tc>
        <w:tc>
          <w:tcPr>
            <w:tcW w:w="7655" w:type="dxa"/>
          </w:tcPr>
          <w:p w14:paraId="14DD40BE" w14:textId="54164F2F" w:rsidR="00DC5A2B" w:rsidRPr="00DC5A2B" w:rsidRDefault="00D47EFF" w:rsidP="000E6D32">
            <w:pPr>
              <w:outlineLvl w:val="0"/>
            </w:pPr>
            <w:r w:rsidRPr="00D47EFF">
              <w:rPr>
                <w:b/>
              </w:rPr>
              <w:t>Justering av protokoll</w:t>
            </w:r>
            <w:r w:rsidR="00515552">
              <w:rPr>
                <w:b/>
              </w:rPr>
              <w:br/>
            </w:r>
            <w:r w:rsidR="00515552">
              <w:rPr>
                <w:bCs/>
              </w:rPr>
              <w:t>Utskottet justerade protokoll nr 2024/25:4</w:t>
            </w:r>
            <w:r w:rsidR="00402142">
              <w:rPr>
                <w:bCs/>
              </w:rPr>
              <w:t>2</w:t>
            </w:r>
            <w:r w:rsidR="00515552">
              <w:rPr>
                <w:bCs/>
              </w:rPr>
              <w:t>.</w:t>
            </w:r>
            <w:r>
              <w:rPr>
                <w:b/>
              </w:rPr>
              <w:br/>
            </w:r>
          </w:p>
        </w:tc>
      </w:tr>
      <w:tr w:rsidR="009476AF" w14:paraId="1587B42D" w14:textId="77777777" w:rsidTr="008035C8">
        <w:tc>
          <w:tcPr>
            <w:tcW w:w="567" w:type="dxa"/>
          </w:tcPr>
          <w:p w14:paraId="109E1604" w14:textId="646F7559" w:rsidR="009476AF" w:rsidRDefault="009476AF" w:rsidP="009476AF">
            <w:pPr>
              <w:tabs>
                <w:tab w:val="left" w:pos="1701"/>
              </w:tabs>
              <w:rPr>
                <w:b/>
                <w:snapToGrid w:val="0"/>
              </w:rPr>
            </w:pPr>
            <w:r>
              <w:rPr>
                <w:b/>
                <w:snapToGrid w:val="0"/>
              </w:rPr>
              <w:t xml:space="preserve">§ </w:t>
            </w:r>
            <w:r w:rsidR="002F6C32">
              <w:rPr>
                <w:b/>
                <w:snapToGrid w:val="0"/>
              </w:rPr>
              <w:t>4</w:t>
            </w:r>
          </w:p>
        </w:tc>
        <w:tc>
          <w:tcPr>
            <w:tcW w:w="7655" w:type="dxa"/>
          </w:tcPr>
          <w:p w14:paraId="5626C603" w14:textId="5FC07044" w:rsidR="00402142" w:rsidRDefault="00AF41B4" w:rsidP="000E6D32">
            <w:pPr>
              <w:outlineLvl w:val="0"/>
              <w:rPr>
                <w:bCs/>
              </w:rPr>
            </w:pPr>
            <w:r w:rsidRPr="00AF41B4">
              <w:rPr>
                <w:b/>
              </w:rPr>
              <w:t>Extra ändringsbudget för 2025 – Ytterligare stöd till Ukraina (FiU31)</w:t>
            </w:r>
            <w:r>
              <w:rPr>
                <w:b/>
              </w:rPr>
              <w:br/>
            </w:r>
            <w:r>
              <w:rPr>
                <w:bCs/>
              </w:rPr>
              <w:t>Utskottet fortsatte beredningen av proposition 2024/25:146.</w:t>
            </w:r>
          </w:p>
          <w:p w14:paraId="3FCA3D57" w14:textId="749FC507" w:rsidR="00402142" w:rsidRDefault="00402142" w:rsidP="000E6D32">
            <w:pPr>
              <w:outlineLvl w:val="0"/>
              <w:rPr>
                <w:bCs/>
              </w:rPr>
            </w:pPr>
            <w:r>
              <w:rPr>
                <w:bCs/>
              </w:rPr>
              <w:t>Utskottet justerade betänkande 2024/25:FiU31</w:t>
            </w:r>
            <w:r w:rsidR="005F7023">
              <w:rPr>
                <w:bCs/>
              </w:rPr>
              <w:t>.</w:t>
            </w:r>
            <w:r w:rsidR="00AF41B4">
              <w:rPr>
                <w:bCs/>
              </w:rPr>
              <w:br/>
            </w:r>
          </w:p>
          <w:p w14:paraId="1BBF50B3" w14:textId="095367C4" w:rsidR="00DC5A2B" w:rsidRPr="00AF41B4" w:rsidRDefault="00402142" w:rsidP="000E6D32">
            <w:pPr>
              <w:outlineLvl w:val="0"/>
              <w:rPr>
                <w:bCs/>
              </w:rPr>
            </w:pPr>
            <w:r w:rsidRPr="005F7023">
              <w:rPr>
                <w:bCs/>
              </w:rPr>
              <w:t>C-ledamoten anmälde ett särskilt yttrande</w:t>
            </w:r>
            <w:r w:rsidR="005F7023">
              <w:rPr>
                <w:bCs/>
              </w:rPr>
              <w:t>.</w:t>
            </w:r>
            <w:r w:rsidR="00AF41B4">
              <w:rPr>
                <w:bCs/>
              </w:rPr>
              <w:br/>
            </w:r>
          </w:p>
        </w:tc>
      </w:tr>
      <w:tr w:rsidR="00402142" w14:paraId="76C92610" w14:textId="77777777" w:rsidTr="008035C8">
        <w:tc>
          <w:tcPr>
            <w:tcW w:w="567" w:type="dxa"/>
          </w:tcPr>
          <w:p w14:paraId="3B5E608F" w14:textId="4B9428D4" w:rsidR="00402142" w:rsidRDefault="00402142" w:rsidP="009476AF">
            <w:pPr>
              <w:tabs>
                <w:tab w:val="left" w:pos="1701"/>
              </w:tabs>
              <w:rPr>
                <w:b/>
                <w:snapToGrid w:val="0"/>
              </w:rPr>
            </w:pPr>
            <w:r>
              <w:rPr>
                <w:b/>
                <w:snapToGrid w:val="0"/>
              </w:rPr>
              <w:t xml:space="preserve">§ </w:t>
            </w:r>
            <w:r w:rsidR="002F6C32">
              <w:rPr>
                <w:b/>
                <w:snapToGrid w:val="0"/>
              </w:rPr>
              <w:t>5</w:t>
            </w:r>
          </w:p>
        </w:tc>
        <w:tc>
          <w:tcPr>
            <w:tcW w:w="7655" w:type="dxa"/>
          </w:tcPr>
          <w:p w14:paraId="1A07EC8C" w14:textId="16DBFA38" w:rsidR="00402142" w:rsidRDefault="00402142" w:rsidP="000E6D32">
            <w:pPr>
              <w:outlineLvl w:val="0"/>
              <w:rPr>
                <w:b/>
              </w:rPr>
            </w:pPr>
            <w:r w:rsidRPr="0001229A">
              <w:rPr>
                <w:b/>
                <w:color w:val="000000"/>
              </w:rPr>
              <w:t>Regellättnader och ökad transparens på värdepappersmarknaden (FiU35)</w:t>
            </w:r>
          </w:p>
          <w:p w14:paraId="5472ED58" w14:textId="59AB96DB" w:rsidR="00402142" w:rsidRDefault="00402142" w:rsidP="000E6D32">
            <w:pPr>
              <w:outlineLvl w:val="0"/>
              <w:rPr>
                <w:bCs/>
              </w:rPr>
            </w:pPr>
            <w:r>
              <w:rPr>
                <w:bCs/>
              </w:rPr>
              <w:t>Utskottet fortsatte beredningen av proposition 2024/25:110.</w:t>
            </w:r>
          </w:p>
          <w:p w14:paraId="42157C79" w14:textId="4D54F4FD" w:rsidR="00402142" w:rsidRDefault="00402142" w:rsidP="000E6D32">
            <w:pPr>
              <w:outlineLvl w:val="0"/>
              <w:rPr>
                <w:bCs/>
              </w:rPr>
            </w:pPr>
          </w:p>
          <w:p w14:paraId="4F476F3E" w14:textId="19A0146F" w:rsidR="00402142" w:rsidRDefault="00402142" w:rsidP="000E6D32">
            <w:pPr>
              <w:outlineLvl w:val="0"/>
              <w:rPr>
                <w:b/>
              </w:rPr>
            </w:pPr>
            <w:r>
              <w:rPr>
                <w:bCs/>
              </w:rPr>
              <w:t>Utskottet justerade betänkande 2024/25:FiU35.</w:t>
            </w:r>
          </w:p>
          <w:p w14:paraId="072D8BDB" w14:textId="77777777" w:rsidR="00402142" w:rsidRDefault="00402142" w:rsidP="000E6D32">
            <w:pPr>
              <w:outlineLvl w:val="0"/>
              <w:rPr>
                <w:b/>
              </w:rPr>
            </w:pPr>
          </w:p>
          <w:p w14:paraId="2EAB2578" w14:textId="3056A610" w:rsidR="005F7023" w:rsidRDefault="005F7023" w:rsidP="000E6D32">
            <w:pPr>
              <w:outlineLvl w:val="0"/>
              <w:rPr>
                <w:b/>
              </w:rPr>
            </w:pPr>
          </w:p>
        </w:tc>
      </w:tr>
      <w:tr w:rsidR="00AF41B4" w14:paraId="72FC0837" w14:textId="77777777" w:rsidTr="008035C8">
        <w:tc>
          <w:tcPr>
            <w:tcW w:w="567" w:type="dxa"/>
          </w:tcPr>
          <w:p w14:paraId="284BA0A7" w14:textId="77777777" w:rsidR="00B30DC4" w:rsidRDefault="00B30DC4" w:rsidP="009476AF">
            <w:pPr>
              <w:tabs>
                <w:tab w:val="left" w:pos="1701"/>
              </w:tabs>
              <w:rPr>
                <w:b/>
                <w:snapToGrid w:val="0"/>
              </w:rPr>
            </w:pPr>
          </w:p>
          <w:p w14:paraId="1A05A408" w14:textId="1B410438" w:rsidR="00AF41B4" w:rsidRDefault="00AF41B4" w:rsidP="009476AF">
            <w:pPr>
              <w:tabs>
                <w:tab w:val="left" w:pos="1701"/>
              </w:tabs>
              <w:rPr>
                <w:b/>
                <w:snapToGrid w:val="0"/>
              </w:rPr>
            </w:pPr>
            <w:r>
              <w:rPr>
                <w:b/>
                <w:snapToGrid w:val="0"/>
              </w:rPr>
              <w:t>§</w:t>
            </w:r>
            <w:r w:rsidR="007F0C14">
              <w:rPr>
                <w:b/>
                <w:snapToGrid w:val="0"/>
              </w:rPr>
              <w:t xml:space="preserve"> </w:t>
            </w:r>
            <w:r w:rsidR="002F6C32">
              <w:rPr>
                <w:b/>
                <w:snapToGrid w:val="0"/>
              </w:rPr>
              <w:t>6</w:t>
            </w:r>
          </w:p>
        </w:tc>
        <w:tc>
          <w:tcPr>
            <w:tcW w:w="7655" w:type="dxa"/>
          </w:tcPr>
          <w:p w14:paraId="4148A725" w14:textId="77777777" w:rsidR="00B30DC4" w:rsidRDefault="00B30DC4" w:rsidP="000E6D32">
            <w:pPr>
              <w:outlineLvl w:val="0"/>
              <w:rPr>
                <w:b/>
              </w:rPr>
            </w:pPr>
          </w:p>
          <w:p w14:paraId="657274E9" w14:textId="4B94966A" w:rsidR="00AF41B4" w:rsidRPr="00AF41B4" w:rsidRDefault="00AF41B4" w:rsidP="000E6D32">
            <w:pPr>
              <w:outlineLvl w:val="0"/>
              <w:rPr>
                <w:b/>
              </w:rPr>
            </w:pPr>
            <w:r>
              <w:rPr>
                <w:b/>
              </w:rPr>
              <w:t>Verksamheten i Europeiska unionen under 2024 (FiU2y)</w:t>
            </w:r>
            <w:r>
              <w:rPr>
                <w:b/>
              </w:rPr>
              <w:br/>
            </w:r>
            <w:r w:rsidRPr="00AF41B4">
              <w:rPr>
                <w:bCs/>
              </w:rPr>
              <w:t xml:space="preserve">Utskottet fortsatte behandlingen </w:t>
            </w:r>
            <w:r w:rsidR="006D5ED7">
              <w:rPr>
                <w:bCs/>
              </w:rPr>
              <w:t xml:space="preserve">av </w:t>
            </w:r>
            <w:r>
              <w:rPr>
                <w:bCs/>
              </w:rPr>
              <w:t>ett</w:t>
            </w:r>
            <w:r w:rsidRPr="00AF41B4">
              <w:rPr>
                <w:bCs/>
              </w:rPr>
              <w:t xml:space="preserve"> yttrande till utrikesutskottet</w:t>
            </w:r>
            <w:r>
              <w:rPr>
                <w:bCs/>
              </w:rPr>
              <w:t xml:space="preserve"> över skrivelse 2024/25:115 och motion.</w:t>
            </w:r>
            <w:r>
              <w:rPr>
                <w:bCs/>
              </w:rPr>
              <w:br/>
            </w:r>
            <w:r>
              <w:rPr>
                <w:bCs/>
              </w:rPr>
              <w:br/>
            </w:r>
            <w:r w:rsidR="00402142">
              <w:rPr>
                <w:bCs/>
              </w:rPr>
              <w:t>Utskottet justerade yttrande 2024/25:FiU2y</w:t>
            </w:r>
            <w:r w:rsidR="00D36AB7">
              <w:rPr>
                <w:bCs/>
              </w:rPr>
              <w:t>.</w:t>
            </w:r>
            <w:r>
              <w:rPr>
                <w:bCs/>
              </w:rPr>
              <w:br/>
            </w:r>
          </w:p>
        </w:tc>
      </w:tr>
      <w:tr w:rsidR="00402142" w14:paraId="317F94F5" w14:textId="77777777" w:rsidTr="008035C8">
        <w:tc>
          <w:tcPr>
            <w:tcW w:w="567" w:type="dxa"/>
          </w:tcPr>
          <w:p w14:paraId="767A9933" w14:textId="7FEBC9BF" w:rsidR="00402142" w:rsidRDefault="00402142" w:rsidP="009476AF">
            <w:pPr>
              <w:tabs>
                <w:tab w:val="left" w:pos="1701"/>
              </w:tabs>
              <w:rPr>
                <w:b/>
                <w:snapToGrid w:val="0"/>
              </w:rPr>
            </w:pPr>
            <w:r>
              <w:rPr>
                <w:b/>
                <w:snapToGrid w:val="0"/>
              </w:rPr>
              <w:t xml:space="preserve">§ </w:t>
            </w:r>
            <w:r w:rsidR="002F6C32">
              <w:rPr>
                <w:b/>
                <w:snapToGrid w:val="0"/>
              </w:rPr>
              <w:t>7</w:t>
            </w:r>
          </w:p>
        </w:tc>
        <w:tc>
          <w:tcPr>
            <w:tcW w:w="7655" w:type="dxa"/>
          </w:tcPr>
          <w:p w14:paraId="27E53518" w14:textId="15D6EA4E" w:rsidR="00402142" w:rsidRDefault="00402142" w:rsidP="000E6D32">
            <w:pPr>
              <w:outlineLvl w:val="0"/>
              <w:rPr>
                <w:b/>
                <w:color w:val="000000"/>
              </w:rPr>
            </w:pPr>
            <w:r w:rsidRPr="00DE5E92">
              <w:rPr>
                <w:b/>
                <w:color w:val="000000"/>
              </w:rPr>
              <w:t>EU:s IPI-förordning och upphandlingslagstiftningen (FiU18)</w:t>
            </w:r>
          </w:p>
          <w:p w14:paraId="70E780C8" w14:textId="4A9D0E0A" w:rsidR="00402142" w:rsidRDefault="00402142" w:rsidP="000E6D32">
            <w:pPr>
              <w:outlineLvl w:val="0"/>
              <w:rPr>
                <w:bCs/>
              </w:rPr>
            </w:pPr>
            <w:r>
              <w:rPr>
                <w:bCs/>
              </w:rPr>
              <w:t>Utskottet fortsatte beredningen av proposition 2024/25:116.</w:t>
            </w:r>
          </w:p>
          <w:p w14:paraId="0630734C" w14:textId="0BC3E009" w:rsidR="00402142" w:rsidRDefault="00402142" w:rsidP="000E6D32">
            <w:pPr>
              <w:outlineLvl w:val="0"/>
              <w:rPr>
                <w:bCs/>
              </w:rPr>
            </w:pPr>
          </w:p>
          <w:p w14:paraId="7476804C" w14:textId="1E760150" w:rsidR="00402142" w:rsidRDefault="00402142" w:rsidP="000E6D32">
            <w:pPr>
              <w:outlineLvl w:val="0"/>
              <w:rPr>
                <w:b/>
                <w:color w:val="000000"/>
              </w:rPr>
            </w:pPr>
            <w:bookmarkStart w:id="1" w:name="_Hlk196225275"/>
            <w:r>
              <w:rPr>
                <w:bCs/>
              </w:rPr>
              <w:t>Ärendet bordlades.</w:t>
            </w:r>
          </w:p>
          <w:bookmarkEnd w:id="1"/>
          <w:p w14:paraId="585434EF" w14:textId="4F1D08BE" w:rsidR="00402142" w:rsidRDefault="00402142" w:rsidP="000E6D32">
            <w:pPr>
              <w:outlineLvl w:val="0"/>
              <w:rPr>
                <w:b/>
              </w:rPr>
            </w:pPr>
          </w:p>
        </w:tc>
      </w:tr>
      <w:tr w:rsidR="00490A8B" w14:paraId="33C7ED01" w14:textId="77777777" w:rsidTr="008035C8">
        <w:tc>
          <w:tcPr>
            <w:tcW w:w="567" w:type="dxa"/>
          </w:tcPr>
          <w:p w14:paraId="59B3A8D3" w14:textId="1F4B5EA9" w:rsidR="004078AA" w:rsidRDefault="00402142" w:rsidP="009476AF">
            <w:pPr>
              <w:tabs>
                <w:tab w:val="left" w:pos="1701"/>
              </w:tabs>
              <w:rPr>
                <w:b/>
                <w:snapToGrid w:val="0"/>
              </w:rPr>
            </w:pPr>
            <w:r>
              <w:rPr>
                <w:b/>
                <w:snapToGrid w:val="0"/>
              </w:rPr>
              <w:t xml:space="preserve">§ </w:t>
            </w:r>
            <w:r w:rsidR="002F6C32">
              <w:rPr>
                <w:b/>
                <w:snapToGrid w:val="0"/>
              </w:rPr>
              <w:t>8</w:t>
            </w:r>
            <w:r w:rsidR="004078AA">
              <w:rPr>
                <w:b/>
                <w:snapToGrid w:val="0"/>
              </w:rPr>
              <w:br/>
            </w:r>
          </w:p>
          <w:p w14:paraId="6C39A54C" w14:textId="548C323E" w:rsidR="00490A8B" w:rsidRDefault="004078AA" w:rsidP="009476AF">
            <w:pPr>
              <w:tabs>
                <w:tab w:val="left" w:pos="1701"/>
              </w:tabs>
              <w:rPr>
                <w:b/>
                <w:snapToGrid w:val="0"/>
              </w:rPr>
            </w:pPr>
            <w:r>
              <w:rPr>
                <w:b/>
                <w:snapToGrid w:val="0"/>
              </w:rPr>
              <w:br/>
            </w:r>
          </w:p>
        </w:tc>
        <w:tc>
          <w:tcPr>
            <w:tcW w:w="7655" w:type="dxa"/>
          </w:tcPr>
          <w:p w14:paraId="61D1D40D" w14:textId="77777777" w:rsidR="005F7023" w:rsidRDefault="00490A8B" w:rsidP="000E6D32">
            <w:pPr>
              <w:outlineLvl w:val="0"/>
              <w:rPr>
                <w:bCs/>
              </w:rPr>
            </w:pPr>
            <w:r>
              <w:rPr>
                <w:b/>
              </w:rPr>
              <w:t>Riksbankens verksamhet och förvaltning 2024 (FiU23)</w:t>
            </w:r>
            <w:r>
              <w:rPr>
                <w:bCs/>
              </w:rPr>
              <w:br/>
            </w:r>
            <w:r w:rsidRPr="00490A8B">
              <w:rPr>
                <w:bCs/>
              </w:rPr>
              <w:t>Ut</w:t>
            </w:r>
            <w:r w:rsidR="005E75D2">
              <w:rPr>
                <w:bCs/>
              </w:rPr>
              <w:t>s</w:t>
            </w:r>
            <w:r w:rsidRPr="00490A8B">
              <w:rPr>
                <w:bCs/>
              </w:rPr>
              <w:t xml:space="preserve">kottet </w:t>
            </w:r>
            <w:r w:rsidR="00402142">
              <w:rPr>
                <w:bCs/>
              </w:rPr>
              <w:t xml:space="preserve">fortsatte </w:t>
            </w:r>
            <w:r w:rsidRPr="00490A8B">
              <w:rPr>
                <w:bCs/>
              </w:rPr>
              <w:t>beredningen av framställning</w:t>
            </w:r>
            <w:r w:rsidR="00402142">
              <w:rPr>
                <w:bCs/>
              </w:rPr>
              <w:t>arna</w:t>
            </w:r>
            <w:r w:rsidRPr="00490A8B">
              <w:rPr>
                <w:bCs/>
              </w:rPr>
              <w:t xml:space="preserve"> 2024/25:RB1 och 2024/25:RB2 och redogörelse</w:t>
            </w:r>
            <w:r>
              <w:rPr>
                <w:bCs/>
              </w:rPr>
              <w:t xml:space="preserve"> 2024/25:RR2.</w:t>
            </w:r>
          </w:p>
          <w:p w14:paraId="077ADA0E" w14:textId="77777777" w:rsidR="005F7023" w:rsidRDefault="005F7023" w:rsidP="000E6D32">
            <w:pPr>
              <w:outlineLvl w:val="0"/>
              <w:rPr>
                <w:bCs/>
              </w:rPr>
            </w:pPr>
          </w:p>
          <w:p w14:paraId="0CB56BA8" w14:textId="77777777" w:rsidR="00490A8B" w:rsidRDefault="005F7023" w:rsidP="000E6D32">
            <w:pPr>
              <w:outlineLvl w:val="0"/>
              <w:rPr>
                <w:b/>
                <w:color w:val="000000"/>
              </w:rPr>
            </w:pPr>
            <w:r>
              <w:rPr>
                <w:bCs/>
              </w:rPr>
              <w:t>Ärendet bordlades.</w:t>
            </w:r>
          </w:p>
          <w:p w14:paraId="7A874DFD" w14:textId="1C26847D" w:rsidR="005F7023" w:rsidRPr="005F7023" w:rsidRDefault="005F7023" w:rsidP="000E6D32">
            <w:pPr>
              <w:outlineLvl w:val="0"/>
              <w:rPr>
                <w:b/>
                <w:color w:val="000000"/>
              </w:rPr>
            </w:pPr>
          </w:p>
        </w:tc>
      </w:tr>
      <w:tr w:rsidR="005E75D2" w14:paraId="02C9DE1F" w14:textId="77777777" w:rsidTr="008035C8">
        <w:tc>
          <w:tcPr>
            <w:tcW w:w="567" w:type="dxa"/>
          </w:tcPr>
          <w:p w14:paraId="2423DC62" w14:textId="583A448B" w:rsidR="005E75D2" w:rsidRDefault="005E75D2" w:rsidP="009476AF">
            <w:pPr>
              <w:tabs>
                <w:tab w:val="left" w:pos="1701"/>
              </w:tabs>
              <w:rPr>
                <w:b/>
                <w:snapToGrid w:val="0"/>
              </w:rPr>
            </w:pPr>
            <w:r>
              <w:rPr>
                <w:b/>
                <w:snapToGrid w:val="0"/>
              </w:rPr>
              <w:t>§</w:t>
            </w:r>
            <w:r w:rsidR="003F0EFF">
              <w:rPr>
                <w:b/>
                <w:snapToGrid w:val="0"/>
              </w:rPr>
              <w:t xml:space="preserve"> </w:t>
            </w:r>
            <w:r w:rsidR="002F6C32">
              <w:rPr>
                <w:b/>
                <w:snapToGrid w:val="0"/>
              </w:rPr>
              <w:t>9</w:t>
            </w:r>
          </w:p>
        </w:tc>
        <w:tc>
          <w:tcPr>
            <w:tcW w:w="7655" w:type="dxa"/>
          </w:tcPr>
          <w:p w14:paraId="1658FB45" w14:textId="5638DDB1" w:rsidR="005E75D2" w:rsidRDefault="005E75D2" w:rsidP="000E6D32">
            <w:pPr>
              <w:outlineLvl w:val="0"/>
              <w:rPr>
                <w:bCs/>
              </w:rPr>
            </w:pPr>
            <w:r>
              <w:rPr>
                <w:b/>
              </w:rPr>
              <w:t>Riksrevisionens rapport om distansarbete vid statliga myndigheter (FiU28)</w:t>
            </w:r>
            <w:r>
              <w:rPr>
                <w:b/>
              </w:rPr>
              <w:br/>
            </w:r>
            <w:r>
              <w:rPr>
                <w:bCs/>
              </w:rPr>
              <w:t xml:space="preserve">Utskottet </w:t>
            </w:r>
            <w:r w:rsidR="00402142">
              <w:rPr>
                <w:bCs/>
              </w:rPr>
              <w:t xml:space="preserve">fortsatte </w:t>
            </w:r>
            <w:r>
              <w:rPr>
                <w:bCs/>
              </w:rPr>
              <w:t>beredningen av skrivelse 2024/25:95.</w:t>
            </w:r>
          </w:p>
          <w:p w14:paraId="5FCF3F2D" w14:textId="77777777" w:rsidR="005E75D2" w:rsidRDefault="005E75D2" w:rsidP="000E6D32">
            <w:pPr>
              <w:outlineLvl w:val="0"/>
              <w:rPr>
                <w:bCs/>
              </w:rPr>
            </w:pPr>
          </w:p>
          <w:p w14:paraId="0ECA5274" w14:textId="5F0BFD21" w:rsidR="005E75D2" w:rsidRPr="005E75D2" w:rsidRDefault="005E75D2" w:rsidP="000E6D32">
            <w:pPr>
              <w:outlineLvl w:val="0"/>
              <w:rPr>
                <w:bCs/>
              </w:rPr>
            </w:pPr>
            <w:r>
              <w:rPr>
                <w:bCs/>
              </w:rPr>
              <w:t>Ärendet bordlades.</w:t>
            </w:r>
            <w:r>
              <w:rPr>
                <w:bCs/>
              </w:rPr>
              <w:br/>
            </w:r>
          </w:p>
        </w:tc>
      </w:tr>
      <w:tr w:rsidR="00511BCC" w14:paraId="21A05559" w14:textId="77777777" w:rsidTr="008035C8">
        <w:tc>
          <w:tcPr>
            <w:tcW w:w="567" w:type="dxa"/>
          </w:tcPr>
          <w:p w14:paraId="3EC11924" w14:textId="7EB830E8" w:rsidR="00511BCC" w:rsidRDefault="00511BCC" w:rsidP="009476AF">
            <w:pPr>
              <w:tabs>
                <w:tab w:val="left" w:pos="1701"/>
              </w:tabs>
              <w:rPr>
                <w:b/>
                <w:snapToGrid w:val="0"/>
              </w:rPr>
            </w:pPr>
            <w:r>
              <w:rPr>
                <w:b/>
                <w:snapToGrid w:val="0"/>
              </w:rPr>
              <w:t>§</w:t>
            </w:r>
            <w:r w:rsidR="003F0EFF">
              <w:rPr>
                <w:b/>
                <w:snapToGrid w:val="0"/>
              </w:rPr>
              <w:t xml:space="preserve"> </w:t>
            </w:r>
            <w:r w:rsidR="00402142">
              <w:rPr>
                <w:b/>
                <w:snapToGrid w:val="0"/>
              </w:rPr>
              <w:t>1</w:t>
            </w:r>
            <w:r w:rsidR="002F6C32">
              <w:rPr>
                <w:b/>
                <w:snapToGrid w:val="0"/>
              </w:rPr>
              <w:t>0</w:t>
            </w:r>
          </w:p>
        </w:tc>
        <w:tc>
          <w:tcPr>
            <w:tcW w:w="7655" w:type="dxa"/>
          </w:tcPr>
          <w:p w14:paraId="10EE50D9" w14:textId="24C4E033" w:rsidR="00511BCC" w:rsidRDefault="00511BCC" w:rsidP="000E6D32">
            <w:pPr>
              <w:outlineLvl w:val="0"/>
              <w:rPr>
                <w:b/>
              </w:rPr>
            </w:pPr>
            <w:r>
              <w:rPr>
                <w:b/>
              </w:rPr>
              <w:t xml:space="preserve">Riksdagens skrivelser till regeringen – åtgärder under 2024 </w:t>
            </w:r>
            <w:r w:rsidR="00402142">
              <w:rPr>
                <w:b/>
              </w:rPr>
              <w:t>(FiU3y)</w:t>
            </w:r>
            <w:r>
              <w:rPr>
                <w:b/>
              </w:rPr>
              <w:br/>
            </w:r>
            <w:r w:rsidR="00A9276D" w:rsidRPr="00A9276D">
              <w:rPr>
                <w:bCs/>
              </w:rPr>
              <w:t xml:space="preserve">Utskottet </w:t>
            </w:r>
            <w:r w:rsidR="00402142">
              <w:rPr>
                <w:bCs/>
              </w:rPr>
              <w:t>fortsatte beredningen av ett</w:t>
            </w:r>
            <w:r w:rsidR="00A9276D" w:rsidRPr="00A9276D">
              <w:rPr>
                <w:bCs/>
              </w:rPr>
              <w:t xml:space="preserve"> yttrande till konstitutionsutskottet över </w:t>
            </w:r>
            <w:r w:rsidR="00A9276D">
              <w:rPr>
                <w:bCs/>
              </w:rPr>
              <w:t>skrivelse</w:t>
            </w:r>
            <w:r w:rsidR="00A9276D" w:rsidRPr="00A9276D">
              <w:rPr>
                <w:bCs/>
              </w:rPr>
              <w:t xml:space="preserve"> 2024/25:75.</w:t>
            </w:r>
            <w:r w:rsidR="00A9276D" w:rsidRPr="00A9276D">
              <w:rPr>
                <w:bCs/>
              </w:rPr>
              <w:br/>
            </w:r>
            <w:r w:rsidR="00A9276D" w:rsidRPr="00A9276D">
              <w:rPr>
                <w:bCs/>
              </w:rPr>
              <w:br/>
            </w:r>
            <w:r w:rsidR="00402142">
              <w:rPr>
                <w:bCs/>
              </w:rPr>
              <w:t xml:space="preserve">Ärendet </w:t>
            </w:r>
            <w:r w:rsidR="00A9276D" w:rsidRPr="00A9276D">
              <w:rPr>
                <w:bCs/>
              </w:rPr>
              <w:t>bordlades.</w:t>
            </w:r>
            <w:r w:rsidR="00A9276D" w:rsidRPr="00A9276D">
              <w:rPr>
                <w:b/>
              </w:rPr>
              <w:br/>
            </w:r>
          </w:p>
        </w:tc>
      </w:tr>
      <w:tr w:rsidR="00043986" w14:paraId="2B9F46A0" w14:textId="77777777" w:rsidTr="008035C8">
        <w:tc>
          <w:tcPr>
            <w:tcW w:w="567" w:type="dxa"/>
          </w:tcPr>
          <w:p w14:paraId="1FB981D3" w14:textId="5D010665" w:rsidR="00043986" w:rsidRPr="00402142" w:rsidRDefault="00043986" w:rsidP="009476AF">
            <w:pPr>
              <w:tabs>
                <w:tab w:val="left" w:pos="1701"/>
              </w:tabs>
              <w:rPr>
                <w:b/>
                <w:snapToGrid w:val="0"/>
              </w:rPr>
            </w:pPr>
            <w:r w:rsidRPr="00402142">
              <w:rPr>
                <w:b/>
                <w:snapToGrid w:val="0"/>
              </w:rPr>
              <w:t>§</w:t>
            </w:r>
            <w:r w:rsidR="003F0EFF" w:rsidRPr="00402142">
              <w:rPr>
                <w:b/>
                <w:snapToGrid w:val="0"/>
              </w:rPr>
              <w:t xml:space="preserve"> </w:t>
            </w:r>
            <w:r w:rsidR="00402142" w:rsidRPr="00402142">
              <w:rPr>
                <w:b/>
                <w:snapToGrid w:val="0"/>
              </w:rPr>
              <w:t>1</w:t>
            </w:r>
            <w:r w:rsidR="002F6C32">
              <w:rPr>
                <w:b/>
                <w:snapToGrid w:val="0"/>
              </w:rPr>
              <w:t>1</w:t>
            </w:r>
          </w:p>
        </w:tc>
        <w:tc>
          <w:tcPr>
            <w:tcW w:w="7655" w:type="dxa"/>
          </w:tcPr>
          <w:p w14:paraId="32A4DC19" w14:textId="355135FD" w:rsidR="00402142" w:rsidRDefault="00402142" w:rsidP="00402142">
            <w:pPr>
              <w:outlineLvl w:val="0"/>
              <w:rPr>
                <w:bCs/>
              </w:rPr>
            </w:pPr>
            <w:r w:rsidRPr="00402142">
              <w:rPr>
                <w:b/>
              </w:rPr>
              <w:t>Riktlinjer för den ekonomiska</w:t>
            </w:r>
            <w:r w:rsidR="00F2345F">
              <w:rPr>
                <w:b/>
              </w:rPr>
              <w:t xml:space="preserve"> </w:t>
            </w:r>
            <w:r w:rsidRPr="00402142">
              <w:rPr>
                <w:b/>
              </w:rPr>
              <w:t>politiken</w:t>
            </w:r>
            <w:r>
              <w:rPr>
                <w:b/>
              </w:rPr>
              <w:t xml:space="preserve"> (FiU20)</w:t>
            </w:r>
            <w:r>
              <w:rPr>
                <w:b/>
              </w:rPr>
              <w:br/>
            </w:r>
            <w:r w:rsidRPr="00402142">
              <w:rPr>
                <w:bCs/>
              </w:rPr>
              <w:t>Utskottet beslutade att ge skatteutskottet tillfälle att senast tisdagen den 20 maj kl. 14.00 yttra sig över proposition 2024/25:100 2025 års ekonomiska vårproposition och motioner</w:t>
            </w:r>
            <w:r>
              <w:rPr>
                <w:bCs/>
              </w:rPr>
              <w:t>.</w:t>
            </w:r>
          </w:p>
          <w:p w14:paraId="2AB6386C" w14:textId="578916AF" w:rsidR="00402142" w:rsidRPr="00402142" w:rsidRDefault="00402142" w:rsidP="002F6C32">
            <w:pPr>
              <w:outlineLvl w:val="0"/>
              <w:rPr>
                <w:b/>
              </w:rPr>
            </w:pPr>
          </w:p>
        </w:tc>
      </w:tr>
      <w:tr w:rsidR="00614C70" w14:paraId="72ED7E90" w14:textId="77777777" w:rsidTr="008035C8">
        <w:tc>
          <w:tcPr>
            <w:tcW w:w="567" w:type="dxa"/>
          </w:tcPr>
          <w:p w14:paraId="44F6A401" w14:textId="5FEC12AD" w:rsidR="00614C70" w:rsidRDefault="00614C70" w:rsidP="009476AF">
            <w:pPr>
              <w:tabs>
                <w:tab w:val="left" w:pos="1701"/>
              </w:tabs>
              <w:rPr>
                <w:b/>
                <w:snapToGrid w:val="0"/>
              </w:rPr>
            </w:pPr>
            <w:r>
              <w:rPr>
                <w:b/>
                <w:snapToGrid w:val="0"/>
              </w:rPr>
              <w:t>§</w:t>
            </w:r>
            <w:r w:rsidR="003F0EFF">
              <w:rPr>
                <w:b/>
                <w:snapToGrid w:val="0"/>
              </w:rPr>
              <w:t xml:space="preserve"> </w:t>
            </w:r>
            <w:r w:rsidR="00402142">
              <w:rPr>
                <w:b/>
                <w:snapToGrid w:val="0"/>
              </w:rPr>
              <w:t>1</w:t>
            </w:r>
            <w:r w:rsidR="002F6C32">
              <w:rPr>
                <w:b/>
                <w:snapToGrid w:val="0"/>
              </w:rPr>
              <w:t>2</w:t>
            </w:r>
          </w:p>
        </w:tc>
        <w:tc>
          <w:tcPr>
            <w:tcW w:w="7655" w:type="dxa"/>
          </w:tcPr>
          <w:p w14:paraId="44FE82D2" w14:textId="5964D0BE" w:rsidR="00614C70" w:rsidRPr="002F6C32" w:rsidRDefault="00402142" w:rsidP="00402142">
            <w:pPr>
              <w:widowControl/>
              <w:tabs>
                <w:tab w:val="left" w:pos="2127"/>
              </w:tabs>
              <w:autoSpaceDE w:val="0"/>
              <w:autoSpaceDN w:val="0"/>
              <w:adjustRightInd w:val="0"/>
              <w:spacing w:after="200"/>
              <w:rPr>
                <w:bCs/>
              </w:rPr>
            </w:pPr>
            <w:r w:rsidRPr="00402142">
              <w:rPr>
                <w:b/>
                <w:bCs/>
                <w:iCs/>
                <w:sz w:val="22"/>
              </w:rPr>
              <w:t xml:space="preserve">Vårändringsbudget för 2025 (FiU21) </w:t>
            </w:r>
            <w:r>
              <w:rPr>
                <w:b/>
                <w:bCs/>
                <w:iCs/>
                <w:sz w:val="22"/>
              </w:rPr>
              <w:br/>
            </w:r>
            <w:r w:rsidRPr="00402142">
              <w:rPr>
                <w:bCs/>
              </w:rPr>
              <w:t xml:space="preserve">Utskottet beslutade att ge </w:t>
            </w:r>
            <w:r>
              <w:rPr>
                <w:bCs/>
              </w:rPr>
              <w:t xml:space="preserve">övriga utskott </w:t>
            </w:r>
            <w:r w:rsidRPr="00402142">
              <w:rPr>
                <w:bCs/>
              </w:rPr>
              <w:t>tillfälle att senast tisdagen den 20 maj kl. 14.00 yttra sig över</w:t>
            </w:r>
            <w:r>
              <w:rPr>
                <w:bCs/>
              </w:rPr>
              <w:t xml:space="preserve"> </w:t>
            </w:r>
            <w:r w:rsidRPr="00467FAF">
              <w:rPr>
                <w:color w:val="000000"/>
                <w:sz w:val="22"/>
              </w:rPr>
              <w:t>prop</w:t>
            </w:r>
            <w:r>
              <w:rPr>
                <w:color w:val="000000"/>
                <w:sz w:val="22"/>
              </w:rPr>
              <w:t>osition 2024/25</w:t>
            </w:r>
            <w:r w:rsidRPr="00467FAF">
              <w:rPr>
                <w:color w:val="000000"/>
                <w:sz w:val="22"/>
              </w:rPr>
              <w:t>:99</w:t>
            </w:r>
            <w:r>
              <w:rPr>
                <w:color w:val="000000"/>
                <w:sz w:val="22"/>
              </w:rPr>
              <w:t xml:space="preserve"> </w:t>
            </w:r>
            <w:r w:rsidRPr="00402142">
              <w:rPr>
                <w:bCs/>
              </w:rPr>
              <w:t xml:space="preserve">och </w:t>
            </w:r>
            <w:r w:rsidR="002764B3">
              <w:t>eventuella följdmotioner</w:t>
            </w:r>
            <w:r>
              <w:rPr>
                <w:bCs/>
              </w:rPr>
              <w:t>.</w:t>
            </w:r>
          </w:p>
        </w:tc>
      </w:tr>
      <w:tr w:rsidR="00402142" w14:paraId="04A7DBC5" w14:textId="77777777" w:rsidTr="008035C8">
        <w:tc>
          <w:tcPr>
            <w:tcW w:w="567" w:type="dxa"/>
          </w:tcPr>
          <w:p w14:paraId="7A6E5376" w14:textId="43A6A631" w:rsidR="00402142" w:rsidRDefault="00402142" w:rsidP="009476AF">
            <w:pPr>
              <w:tabs>
                <w:tab w:val="left" w:pos="1701"/>
              </w:tabs>
              <w:rPr>
                <w:b/>
                <w:snapToGrid w:val="0"/>
              </w:rPr>
            </w:pPr>
            <w:r>
              <w:rPr>
                <w:b/>
                <w:snapToGrid w:val="0"/>
              </w:rPr>
              <w:t>§ 1</w:t>
            </w:r>
            <w:r w:rsidR="002F6C32">
              <w:rPr>
                <w:b/>
                <w:snapToGrid w:val="0"/>
              </w:rPr>
              <w:t>3</w:t>
            </w:r>
          </w:p>
        </w:tc>
        <w:tc>
          <w:tcPr>
            <w:tcW w:w="7655" w:type="dxa"/>
          </w:tcPr>
          <w:p w14:paraId="4F516848" w14:textId="3775A3CB" w:rsidR="00402142" w:rsidRDefault="00402142" w:rsidP="009476AF">
            <w:pPr>
              <w:outlineLvl w:val="0"/>
              <w:rPr>
                <w:b/>
                <w:bCs/>
              </w:rPr>
            </w:pPr>
            <w:r w:rsidRPr="00F448DC">
              <w:rPr>
                <w:b/>
                <w:bCs/>
                <w:color w:val="000000"/>
                <w:sz w:val="22"/>
              </w:rPr>
              <w:t>Årsredovisning för staten 202</w:t>
            </w:r>
            <w:r>
              <w:rPr>
                <w:b/>
                <w:bCs/>
                <w:color w:val="000000"/>
                <w:sz w:val="22"/>
              </w:rPr>
              <w:t>4 (FiU30)</w:t>
            </w:r>
          </w:p>
          <w:p w14:paraId="6D9F87F4" w14:textId="6D4B8819" w:rsidR="00402142" w:rsidRDefault="00402142" w:rsidP="009476AF">
            <w:pPr>
              <w:outlineLvl w:val="0"/>
            </w:pPr>
            <w:r w:rsidRPr="00402142">
              <w:rPr>
                <w:bCs/>
              </w:rPr>
              <w:t xml:space="preserve">Utskottet beslutade att ge </w:t>
            </w:r>
            <w:r>
              <w:rPr>
                <w:bCs/>
              </w:rPr>
              <w:t xml:space="preserve">övriga utskott </w:t>
            </w:r>
            <w:r w:rsidRPr="00402142">
              <w:rPr>
                <w:bCs/>
              </w:rPr>
              <w:t>tillfälle att senast tisdagen den 20 maj kl. 14.00 yttra sig över</w:t>
            </w:r>
            <w:r>
              <w:rPr>
                <w:bCs/>
              </w:rPr>
              <w:t xml:space="preserve"> </w:t>
            </w:r>
            <w:r w:rsidRPr="00467FAF">
              <w:rPr>
                <w:color w:val="000000"/>
                <w:sz w:val="22"/>
              </w:rPr>
              <w:t>skr</w:t>
            </w:r>
            <w:r>
              <w:rPr>
                <w:color w:val="000000"/>
                <w:sz w:val="22"/>
              </w:rPr>
              <w:t>ivelse</w:t>
            </w:r>
            <w:r w:rsidRPr="00467FAF">
              <w:rPr>
                <w:color w:val="000000"/>
                <w:sz w:val="22"/>
              </w:rPr>
              <w:t xml:space="preserve"> </w:t>
            </w:r>
            <w:r>
              <w:rPr>
                <w:color w:val="000000"/>
                <w:sz w:val="22"/>
              </w:rPr>
              <w:t>2024/25</w:t>
            </w:r>
            <w:r w:rsidRPr="00467FAF">
              <w:rPr>
                <w:color w:val="000000"/>
                <w:sz w:val="22"/>
              </w:rPr>
              <w:t xml:space="preserve">:101 och </w:t>
            </w:r>
            <w:r w:rsidR="002764B3">
              <w:t>eventuella följdmotioner</w:t>
            </w:r>
            <w:r>
              <w:t>.</w:t>
            </w:r>
          </w:p>
          <w:p w14:paraId="7584D9E3" w14:textId="011A6BA0" w:rsidR="00402142" w:rsidRDefault="00402142" w:rsidP="002F6C32">
            <w:pPr>
              <w:outlineLvl w:val="0"/>
              <w:rPr>
                <w:b/>
                <w:bCs/>
              </w:rPr>
            </w:pPr>
          </w:p>
        </w:tc>
      </w:tr>
      <w:tr w:rsidR="002A5D58" w14:paraId="69468561" w14:textId="77777777" w:rsidTr="00B30DC4">
        <w:trPr>
          <w:trHeight w:val="629"/>
        </w:trPr>
        <w:tc>
          <w:tcPr>
            <w:tcW w:w="567" w:type="dxa"/>
          </w:tcPr>
          <w:p w14:paraId="61C7046A" w14:textId="3011466E" w:rsidR="002A5D58" w:rsidRDefault="009476AF" w:rsidP="00A44FE3">
            <w:pPr>
              <w:tabs>
                <w:tab w:val="left" w:pos="1701"/>
              </w:tabs>
              <w:rPr>
                <w:b/>
                <w:snapToGrid w:val="0"/>
              </w:rPr>
            </w:pPr>
            <w:r>
              <w:rPr>
                <w:b/>
                <w:snapToGrid w:val="0"/>
              </w:rPr>
              <w:t xml:space="preserve">§ </w:t>
            </w:r>
            <w:r w:rsidR="002F6C32">
              <w:rPr>
                <w:b/>
                <w:snapToGrid w:val="0"/>
              </w:rPr>
              <w:t>14</w:t>
            </w:r>
          </w:p>
        </w:tc>
        <w:tc>
          <w:tcPr>
            <w:tcW w:w="7655" w:type="dxa"/>
          </w:tcPr>
          <w:p w14:paraId="33C4C109" w14:textId="591AAEDC" w:rsidR="002A5D58" w:rsidRDefault="002A5D58" w:rsidP="00A44FE3">
            <w:pPr>
              <w:outlineLvl w:val="0"/>
              <w:rPr>
                <w:b/>
              </w:rPr>
            </w:pPr>
            <w:r>
              <w:rPr>
                <w:b/>
              </w:rPr>
              <w:t>Nästa sammanträde</w:t>
            </w:r>
          </w:p>
          <w:p w14:paraId="2B013B23" w14:textId="4974FC85" w:rsidR="00B33983" w:rsidRPr="00B33983" w:rsidRDefault="006F35AF" w:rsidP="004F32F1">
            <w:pPr>
              <w:widowControl/>
              <w:spacing w:after="200" w:line="280" w:lineRule="exact"/>
              <w:rPr>
                <w:bCs/>
              </w:rPr>
            </w:pPr>
            <w:r>
              <w:rPr>
                <w:bCs/>
              </w:rPr>
              <w:t>Tisdag 2</w:t>
            </w:r>
            <w:r w:rsidR="00402142">
              <w:rPr>
                <w:bCs/>
              </w:rPr>
              <w:t xml:space="preserve">9 </w:t>
            </w:r>
            <w:r>
              <w:rPr>
                <w:bCs/>
              </w:rPr>
              <w:t>april kl. 1</w:t>
            </w:r>
            <w:r w:rsidR="00402142">
              <w:rPr>
                <w:bCs/>
              </w:rPr>
              <w:t>0</w:t>
            </w:r>
            <w:r>
              <w:rPr>
                <w:bCs/>
              </w:rPr>
              <w:t>.00</w:t>
            </w:r>
            <w:r w:rsidR="005F7023">
              <w:rPr>
                <w:bCs/>
              </w:rPr>
              <w:t>.</w:t>
            </w:r>
          </w:p>
        </w:tc>
      </w:tr>
      <w:tr w:rsidR="002C538C" w14:paraId="3025882C" w14:textId="77777777" w:rsidTr="008035C8">
        <w:tc>
          <w:tcPr>
            <w:tcW w:w="8222" w:type="dxa"/>
            <w:gridSpan w:val="2"/>
          </w:tcPr>
          <w:p w14:paraId="2274DDAD" w14:textId="77777777" w:rsidR="00DC5A2B" w:rsidRDefault="00DC5A2B" w:rsidP="002C538C">
            <w:pPr>
              <w:outlineLvl w:val="0"/>
            </w:pPr>
          </w:p>
          <w:p w14:paraId="2F50798C" w14:textId="3D53B133" w:rsidR="00C92C53" w:rsidRDefault="00C92C53" w:rsidP="002C538C">
            <w:pPr>
              <w:outlineLvl w:val="0"/>
            </w:pPr>
          </w:p>
          <w:p w14:paraId="16576EC6" w14:textId="33415794" w:rsidR="00C92C53" w:rsidRDefault="00C92C53" w:rsidP="002C538C">
            <w:pPr>
              <w:outlineLvl w:val="0"/>
            </w:pPr>
          </w:p>
          <w:p w14:paraId="7B13580B" w14:textId="11610588" w:rsidR="00C92C53" w:rsidRPr="00BD39D1" w:rsidRDefault="00C92C53" w:rsidP="0047175B">
            <w:pPr>
              <w:outlineLvl w:val="0"/>
            </w:pPr>
            <w:r>
              <w:t>Justera</w:t>
            </w:r>
            <w:r w:rsidR="00C7772B">
              <w:t xml:space="preserve">t </w:t>
            </w:r>
            <w:r w:rsidR="00DC5A2B">
              <w:t>den</w:t>
            </w:r>
            <w:r w:rsidR="000E6D32">
              <w:t xml:space="preserve"> </w:t>
            </w:r>
            <w:r w:rsidR="00515552">
              <w:t>2</w:t>
            </w:r>
            <w:r w:rsidR="00402142">
              <w:t>9</w:t>
            </w:r>
            <w:r w:rsidR="00515552">
              <w:t xml:space="preserve"> april 2025 </w:t>
            </w:r>
            <w:r w:rsidR="000E6D32">
              <w:t>av</w:t>
            </w:r>
            <w:r w:rsidR="00515552">
              <w:br/>
              <w:t>Edward Riedl</w:t>
            </w:r>
          </w:p>
        </w:tc>
      </w:tr>
    </w:tbl>
    <w:p w14:paraId="4B5BADEF" w14:textId="30EE2C87" w:rsidR="00C7772B" w:rsidRDefault="00C7772B" w:rsidP="00003A8D">
      <w:pPr>
        <w:pStyle w:val="Sidhuvud"/>
        <w:tabs>
          <w:tab w:val="clear" w:pos="4536"/>
          <w:tab w:val="left" w:pos="3402"/>
          <w:tab w:val="left" w:pos="6946"/>
        </w:tabs>
        <w:rPr>
          <w:sz w:val="20"/>
        </w:rPr>
      </w:pPr>
    </w:p>
    <w:p w14:paraId="3C2F159A" w14:textId="77777777" w:rsidR="00C7772B" w:rsidRDefault="00C7772B">
      <w:pPr>
        <w:widowControl/>
        <w:rPr>
          <w:sz w:val="20"/>
        </w:rPr>
      </w:pPr>
      <w:r>
        <w:rPr>
          <w:sz w:val="20"/>
        </w:rPr>
        <w:br w:type="page"/>
      </w:r>
    </w:p>
    <w:p w14:paraId="51E3F300" w14:textId="77777777" w:rsidR="00294515" w:rsidRDefault="00294515" w:rsidP="00003A8D">
      <w:pPr>
        <w:pStyle w:val="Sidhuvud"/>
        <w:tabs>
          <w:tab w:val="clear" w:pos="4536"/>
          <w:tab w:val="left" w:pos="3402"/>
          <w:tab w:val="left" w:pos="6946"/>
        </w:tabs>
        <w:rPr>
          <w:sz w:val="20"/>
        </w:rPr>
      </w:pPr>
    </w:p>
    <w:p w14:paraId="359D9FC4" w14:textId="77777777" w:rsidR="00C7772B" w:rsidRDefault="00C7772B" w:rsidP="00EF6F88">
      <w:pPr>
        <w:pStyle w:val="Sidhuvud"/>
        <w:tabs>
          <w:tab w:val="clear" w:pos="4536"/>
          <w:tab w:val="left" w:pos="3402"/>
          <w:tab w:val="left" w:pos="5529"/>
        </w:tabs>
        <w:ind w:left="-851"/>
        <w:rPr>
          <w:sz w:val="20"/>
        </w:rPr>
      </w:pPr>
    </w:p>
    <w:p w14:paraId="7A7B2BBF" w14:textId="669D24E7"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F44BFA">
        <w:rPr>
          <w:sz w:val="22"/>
          <w:szCs w:val="22"/>
        </w:rPr>
        <w:t>4</w:t>
      </w:r>
      <w:r w:rsidR="002F6C32">
        <w:rPr>
          <w:sz w:val="22"/>
          <w:szCs w:val="22"/>
        </w:rPr>
        <w:t>3</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329F8BC0" w:rsidR="00EF6F88" w:rsidRPr="000E151F" w:rsidRDefault="00F44BFA" w:rsidP="002B2C82">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604F8E32" w:rsidR="00EF6F88" w:rsidRPr="000E151F" w:rsidRDefault="002F6C32" w:rsidP="002B2C82">
            <w:pPr>
              <w:rPr>
                <w:sz w:val="22"/>
                <w:szCs w:val="22"/>
              </w:rPr>
            </w:pPr>
            <w:r>
              <w:rPr>
                <w:sz w:val="22"/>
                <w:szCs w:val="22"/>
              </w:rPr>
              <w:t>§2-</w:t>
            </w:r>
            <w:r w:rsidR="005F7023">
              <w:rPr>
                <w:sz w:val="22"/>
                <w:szCs w:val="22"/>
              </w:rPr>
              <w:t>14</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2F6C32"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2F6C32" w:rsidRPr="000E151F" w:rsidRDefault="002F6C32" w:rsidP="002F6C3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77E6F462" w:rsidR="002F6C32" w:rsidRPr="000E151F" w:rsidRDefault="002F6C32" w:rsidP="002F6C3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40CEC2DA" w:rsidR="002F6C32" w:rsidRPr="000E151F" w:rsidRDefault="002F6C32" w:rsidP="002F6C3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2F6C32" w:rsidRPr="000E151F" w:rsidRDefault="002F6C32" w:rsidP="002F6C32">
            <w:pPr>
              <w:rPr>
                <w:sz w:val="22"/>
                <w:szCs w:val="22"/>
              </w:rPr>
            </w:pPr>
          </w:p>
        </w:tc>
      </w:tr>
      <w:tr w:rsidR="002F6C32"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2F6C32" w:rsidRPr="00A946FF" w:rsidRDefault="002F6C32" w:rsidP="002F6C32">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376C9CE5"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57160780"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2F6C32" w:rsidRPr="000E151F" w:rsidRDefault="002F6C32" w:rsidP="002F6C32">
            <w:pPr>
              <w:rPr>
                <w:sz w:val="22"/>
                <w:szCs w:val="22"/>
              </w:rPr>
            </w:pPr>
          </w:p>
        </w:tc>
      </w:tr>
      <w:tr w:rsidR="002F6C32"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2F6C32" w:rsidRPr="00A946FF" w:rsidRDefault="002F6C32" w:rsidP="002F6C32">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5CCBDB13"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032A9F55"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2F6C32" w:rsidRPr="000E151F" w:rsidRDefault="002F6C32" w:rsidP="002F6C32">
            <w:pPr>
              <w:rPr>
                <w:sz w:val="22"/>
                <w:szCs w:val="22"/>
              </w:rPr>
            </w:pPr>
          </w:p>
        </w:tc>
      </w:tr>
      <w:tr w:rsidR="002F6C32"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2F6C32" w:rsidRPr="000E151F" w:rsidRDefault="002F6C32" w:rsidP="002F6C32">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13A05899"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152F2D97"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2F6C32" w:rsidRPr="000E151F" w:rsidRDefault="002F6C32" w:rsidP="002F6C32">
            <w:pPr>
              <w:rPr>
                <w:sz w:val="22"/>
                <w:szCs w:val="22"/>
              </w:rPr>
            </w:pPr>
          </w:p>
        </w:tc>
      </w:tr>
      <w:tr w:rsidR="002F6C32"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2F6C32" w:rsidRDefault="002F6C32" w:rsidP="002F6C32">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0973A041"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4DF4A5B1"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2F6C32" w:rsidRPr="000E151F" w:rsidRDefault="002F6C32" w:rsidP="002F6C32">
            <w:pPr>
              <w:rPr>
                <w:sz w:val="22"/>
                <w:szCs w:val="22"/>
              </w:rPr>
            </w:pPr>
          </w:p>
        </w:tc>
      </w:tr>
      <w:tr w:rsidR="002F6C32"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2F6C32" w:rsidRDefault="002F6C32" w:rsidP="002F6C32">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33D799B5"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3D854BBF"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2F6C32" w:rsidRPr="000E151F" w:rsidRDefault="002F6C32" w:rsidP="002F6C32">
            <w:pPr>
              <w:rPr>
                <w:sz w:val="22"/>
                <w:szCs w:val="22"/>
              </w:rPr>
            </w:pPr>
          </w:p>
        </w:tc>
      </w:tr>
      <w:tr w:rsidR="002F6C32"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2F6C32" w:rsidRDefault="002F6C32" w:rsidP="002F6C32">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1308227"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3DB7AD10"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2F6C32" w:rsidRPr="000E151F" w:rsidRDefault="002F6C32" w:rsidP="002F6C32">
            <w:pPr>
              <w:rPr>
                <w:sz w:val="22"/>
                <w:szCs w:val="22"/>
              </w:rPr>
            </w:pPr>
          </w:p>
        </w:tc>
      </w:tr>
      <w:tr w:rsidR="002F6C32"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2F6C32" w:rsidRDefault="002F6C32" w:rsidP="002F6C32">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2DC11B72" w:rsidR="002F6C32" w:rsidRPr="000E151F" w:rsidRDefault="002F6C32" w:rsidP="002F6C3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2F6C32" w:rsidRPr="000E151F" w:rsidRDefault="002F6C32" w:rsidP="002F6C32">
            <w:pPr>
              <w:rPr>
                <w:sz w:val="22"/>
                <w:szCs w:val="22"/>
              </w:rPr>
            </w:pPr>
          </w:p>
        </w:tc>
      </w:tr>
      <w:tr w:rsidR="002F6C32"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2F6C32" w:rsidRDefault="002F6C32" w:rsidP="002F6C32">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67FA105E"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4A770E03"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2F6C32" w:rsidRPr="000E151F" w:rsidRDefault="002F6C32" w:rsidP="002F6C32">
            <w:pPr>
              <w:rPr>
                <w:sz w:val="22"/>
                <w:szCs w:val="22"/>
              </w:rPr>
            </w:pPr>
          </w:p>
        </w:tc>
      </w:tr>
      <w:tr w:rsidR="002F6C32"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2F6C32" w:rsidRDefault="002F6C32" w:rsidP="002F6C32">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F52C2FB"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546162B4"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2F6C32" w:rsidRPr="000E151F" w:rsidRDefault="002F6C32" w:rsidP="002F6C32">
            <w:pPr>
              <w:rPr>
                <w:sz w:val="22"/>
                <w:szCs w:val="22"/>
              </w:rPr>
            </w:pPr>
          </w:p>
        </w:tc>
      </w:tr>
      <w:tr w:rsidR="002F6C32"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2F6C32" w:rsidRPr="000E151F" w:rsidRDefault="002F6C32" w:rsidP="002F6C32">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50F1969"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37147686"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2F6C32" w:rsidRPr="000E151F" w:rsidRDefault="002F6C32" w:rsidP="002F6C32">
            <w:pPr>
              <w:rPr>
                <w:sz w:val="22"/>
                <w:szCs w:val="22"/>
              </w:rPr>
            </w:pPr>
          </w:p>
        </w:tc>
      </w:tr>
      <w:tr w:rsidR="002F6C32"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2F6C32" w:rsidRPr="000E151F" w:rsidRDefault="002F6C32" w:rsidP="002F6C32">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4F4E9F4B"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771F415"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2F6C32" w:rsidRPr="000E151F" w:rsidRDefault="002F6C32" w:rsidP="002F6C32">
            <w:pPr>
              <w:rPr>
                <w:sz w:val="22"/>
                <w:szCs w:val="22"/>
              </w:rPr>
            </w:pPr>
          </w:p>
        </w:tc>
      </w:tr>
      <w:tr w:rsidR="002F6C32"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2F6C32" w:rsidRPr="000E151F" w:rsidRDefault="002F6C32" w:rsidP="002F6C32">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64469DF5" w:rsidR="002F6C32" w:rsidRPr="000E151F" w:rsidRDefault="002F6C32" w:rsidP="002F6C3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2F6C32" w:rsidRPr="000E151F" w:rsidRDefault="002F6C32" w:rsidP="002F6C32">
            <w:pPr>
              <w:rPr>
                <w:sz w:val="22"/>
                <w:szCs w:val="22"/>
              </w:rPr>
            </w:pPr>
          </w:p>
        </w:tc>
      </w:tr>
      <w:tr w:rsidR="002F6C32"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2F6C32" w:rsidRPr="000E151F" w:rsidRDefault="002F6C32" w:rsidP="002F6C32">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0426AD07" w:rsidR="002F6C32" w:rsidRPr="000E151F" w:rsidRDefault="002F6C32" w:rsidP="002F6C3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39A329A4" w:rsidR="002F6C32" w:rsidRPr="000E151F" w:rsidRDefault="002F6C32" w:rsidP="002F6C3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2F6C32" w:rsidRPr="000E151F" w:rsidRDefault="002F6C32" w:rsidP="002F6C32">
            <w:pPr>
              <w:rPr>
                <w:sz w:val="22"/>
                <w:szCs w:val="22"/>
              </w:rPr>
            </w:pPr>
          </w:p>
        </w:tc>
      </w:tr>
      <w:tr w:rsidR="002F6C32"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2F6C32" w:rsidRPr="000E151F" w:rsidRDefault="002F6C32" w:rsidP="002F6C32">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137E92E5"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43814EE5"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2F6C32" w:rsidRPr="000E151F" w:rsidRDefault="002F6C32" w:rsidP="002F6C32">
            <w:pPr>
              <w:rPr>
                <w:sz w:val="22"/>
                <w:szCs w:val="22"/>
              </w:rPr>
            </w:pPr>
          </w:p>
        </w:tc>
      </w:tr>
      <w:tr w:rsidR="002F6C32"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2F6C32" w:rsidRDefault="002F6C32" w:rsidP="002F6C32">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79B562E8" w:rsidR="002F6C32" w:rsidRPr="000E151F" w:rsidRDefault="002F6C32" w:rsidP="002F6C3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2F6C32" w:rsidRPr="000E151F" w:rsidRDefault="002F6C32" w:rsidP="002F6C32">
            <w:pPr>
              <w:rPr>
                <w:sz w:val="22"/>
                <w:szCs w:val="22"/>
              </w:rPr>
            </w:pPr>
          </w:p>
        </w:tc>
      </w:tr>
      <w:tr w:rsidR="002F6C32"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2F6C32" w:rsidRPr="000E151F" w:rsidRDefault="002F6C32" w:rsidP="002F6C32">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23B88AE6" w:rsidR="002F6C32" w:rsidRPr="000E151F" w:rsidRDefault="002F6C32" w:rsidP="002F6C32">
            <w:pPr>
              <w:rPr>
                <w:sz w:val="22"/>
                <w:szCs w:val="22"/>
              </w:rPr>
            </w:pPr>
            <w:r w:rsidRPr="00077C7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52BC8A9F" w:rsidR="002F6C32" w:rsidRPr="000E151F" w:rsidRDefault="002F6C32" w:rsidP="002F6C32">
            <w:pPr>
              <w:rPr>
                <w:sz w:val="22"/>
                <w:szCs w:val="22"/>
              </w:rPr>
            </w:pPr>
            <w:r w:rsidRPr="00077C76">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2F6C32" w:rsidRPr="000E151F" w:rsidRDefault="002F6C32" w:rsidP="002F6C3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2F6C32" w:rsidRPr="000E151F" w:rsidRDefault="002F6C32" w:rsidP="002F6C3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2F6C32" w:rsidRPr="000E151F" w:rsidRDefault="002F6C32" w:rsidP="002F6C3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2F6C32" w:rsidRPr="000E151F" w:rsidRDefault="002F6C32" w:rsidP="002F6C32">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5AC8A408"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13952E82" w:rsidR="000E2953" w:rsidRPr="000E151F" w:rsidRDefault="002F6C32"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13489C95" w:rsidR="000E2953" w:rsidRPr="000E151F" w:rsidRDefault="002F6C32"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0E2953" w:rsidRPr="000E151F" w:rsidRDefault="000E2953" w:rsidP="000E295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4C7730BA" w:rsidR="000E2953" w:rsidRPr="000E151F" w:rsidRDefault="002F6C32"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63ABBACC" w:rsidR="000E2953" w:rsidRPr="000E151F" w:rsidRDefault="002F6C32"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5D25EA05" w:rsidR="000E2953" w:rsidRPr="000E151F" w:rsidRDefault="002F6C32"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1D1D9184" w:rsidR="000E2953" w:rsidRPr="000E151F" w:rsidRDefault="002F6C32"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2E416071" w:rsidR="000E2953" w:rsidRPr="000E151F" w:rsidRDefault="002F6C32"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2D731693" w:rsidR="000E2953" w:rsidRPr="000E151F" w:rsidRDefault="000546E9"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59F610AA" w:rsidR="000E2953" w:rsidRPr="000E151F" w:rsidRDefault="002F6C32"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128FB5E2" w:rsidR="000E2953" w:rsidRPr="000E151F" w:rsidRDefault="002F6C32"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9AD9561" w:rsidR="000E2953" w:rsidRPr="000E151F" w:rsidRDefault="002F6C32"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3D4AB614" w:rsidR="003A581E" w:rsidRPr="000E151F" w:rsidRDefault="002F6C32"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637E917" w:rsidR="003A581E" w:rsidRPr="000E151F" w:rsidRDefault="002F6C32"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3FED" w14:textId="77777777" w:rsidR="00137035" w:rsidRDefault="00137035">
      <w:r>
        <w:separator/>
      </w:r>
    </w:p>
  </w:endnote>
  <w:endnote w:type="continuationSeparator" w:id="0">
    <w:p w14:paraId="4C4391C4" w14:textId="77777777" w:rsidR="00137035" w:rsidRDefault="0013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FB7D" w14:textId="77777777" w:rsidR="00137035" w:rsidRDefault="00137035">
      <w:r>
        <w:separator/>
      </w:r>
    </w:p>
  </w:footnote>
  <w:footnote w:type="continuationSeparator" w:id="0">
    <w:p w14:paraId="0A4FAA7D" w14:textId="77777777" w:rsidR="00137035" w:rsidRDefault="0013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2"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69517D1"/>
    <w:multiLevelType w:val="hybridMultilevel"/>
    <w:tmpl w:val="AB74FAC4"/>
    <w:lvl w:ilvl="0" w:tplc="6368E95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CD95B08"/>
    <w:multiLevelType w:val="hybridMultilevel"/>
    <w:tmpl w:val="194016C6"/>
    <w:lvl w:ilvl="0" w:tplc="E2208EE8">
      <w:numFmt w:val="bullet"/>
      <w:lvlText w:val="-"/>
      <w:lvlJc w:val="left"/>
      <w:pPr>
        <w:ind w:left="1011" w:hanging="360"/>
      </w:pPr>
      <w:rPr>
        <w:rFonts w:ascii="Times New Roman" w:eastAsia="Times New Roman" w:hAnsi="Times New Roman" w:cs="Times New Roman" w:hint="default"/>
      </w:rPr>
    </w:lvl>
    <w:lvl w:ilvl="1" w:tplc="041D0003" w:tentative="1">
      <w:start w:val="1"/>
      <w:numFmt w:val="bullet"/>
      <w:lvlText w:val="o"/>
      <w:lvlJc w:val="left"/>
      <w:pPr>
        <w:ind w:left="1731" w:hanging="360"/>
      </w:pPr>
      <w:rPr>
        <w:rFonts w:ascii="Courier New" w:hAnsi="Courier New" w:cs="Courier New" w:hint="default"/>
      </w:rPr>
    </w:lvl>
    <w:lvl w:ilvl="2" w:tplc="041D0005" w:tentative="1">
      <w:start w:val="1"/>
      <w:numFmt w:val="bullet"/>
      <w:lvlText w:val=""/>
      <w:lvlJc w:val="left"/>
      <w:pPr>
        <w:ind w:left="2451" w:hanging="360"/>
      </w:pPr>
      <w:rPr>
        <w:rFonts w:ascii="Wingdings" w:hAnsi="Wingdings" w:hint="default"/>
      </w:rPr>
    </w:lvl>
    <w:lvl w:ilvl="3" w:tplc="041D0001" w:tentative="1">
      <w:start w:val="1"/>
      <w:numFmt w:val="bullet"/>
      <w:lvlText w:val=""/>
      <w:lvlJc w:val="left"/>
      <w:pPr>
        <w:ind w:left="3171" w:hanging="360"/>
      </w:pPr>
      <w:rPr>
        <w:rFonts w:ascii="Symbol" w:hAnsi="Symbol" w:hint="default"/>
      </w:rPr>
    </w:lvl>
    <w:lvl w:ilvl="4" w:tplc="041D0003" w:tentative="1">
      <w:start w:val="1"/>
      <w:numFmt w:val="bullet"/>
      <w:lvlText w:val="o"/>
      <w:lvlJc w:val="left"/>
      <w:pPr>
        <w:ind w:left="3891" w:hanging="360"/>
      </w:pPr>
      <w:rPr>
        <w:rFonts w:ascii="Courier New" w:hAnsi="Courier New" w:cs="Courier New" w:hint="default"/>
      </w:rPr>
    </w:lvl>
    <w:lvl w:ilvl="5" w:tplc="041D0005" w:tentative="1">
      <w:start w:val="1"/>
      <w:numFmt w:val="bullet"/>
      <w:lvlText w:val=""/>
      <w:lvlJc w:val="left"/>
      <w:pPr>
        <w:ind w:left="4611" w:hanging="360"/>
      </w:pPr>
      <w:rPr>
        <w:rFonts w:ascii="Wingdings" w:hAnsi="Wingdings" w:hint="default"/>
      </w:rPr>
    </w:lvl>
    <w:lvl w:ilvl="6" w:tplc="041D0001" w:tentative="1">
      <w:start w:val="1"/>
      <w:numFmt w:val="bullet"/>
      <w:lvlText w:val=""/>
      <w:lvlJc w:val="left"/>
      <w:pPr>
        <w:ind w:left="5331" w:hanging="360"/>
      </w:pPr>
      <w:rPr>
        <w:rFonts w:ascii="Symbol" w:hAnsi="Symbol" w:hint="default"/>
      </w:rPr>
    </w:lvl>
    <w:lvl w:ilvl="7" w:tplc="041D0003" w:tentative="1">
      <w:start w:val="1"/>
      <w:numFmt w:val="bullet"/>
      <w:lvlText w:val="o"/>
      <w:lvlJc w:val="left"/>
      <w:pPr>
        <w:ind w:left="6051" w:hanging="360"/>
      </w:pPr>
      <w:rPr>
        <w:rFonts w:ascii="Courier New" w:hAnsi="Courier New" w:cs="Courier New" w:hint="default"/>
      </w:rPr>
    </w:lvl>
    <w:lvl w:ilvl="8" w:tplc="041D0005" w:tentative="1">
      <w:start w:val="1"/>
      <w:numFmt w:val="bullet"/>
      <w:lvlText w:val=""/>
      <w:lvlJc w:val="left"/>
      <w:pPr>
        <w:ind w:left="6771"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3"/>
  </w:num>
  <w:num w:numId="5">
    <w:abstractNumId w:val="14"/>
  </w:num>
  <w:num w:numId="6">
    <w:abstractNumId w:val="2"/>
  </w:num>
  <w:num w:numId="7">
    <w:abstractNumId w:val="10"/>
  </w:num>
  <w:num w:numId="8">
    <w:abstractNumId w:val="5"/>
  </w:num>
  <w:num w:numId="9">
    <w:abstractNumId w:val="6"/>
  </w:num>
  <w:num w:numId="10">
    <w:abstractNumId w:val="15"/>
  </w:num>
  <w:num w:numId="11">
    <w:abstractNumId w:val="11"/>
  </w:num>
  <w:num w:numId="12">
    <w:abstractNumId w:val="9"/>
  </w:num>
  <w:num w:numId="13">
    <w:abstractNumId w:val="13"/>
  </w:num>
  <w:num w:numId="14">
    <w:abstractNumId w:val="7"/>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3A8D"/>
    <w:rsid w:val="00007689"/>
    <w:rsid w:val="00011230"/>
    <w:rsid w:val="00013B42"/>
    <w:rsid w:val="0002748E"/>
    <w:rsid w:val="0003470E"/>
    <w:rsid w:val="00035F71"/>
    <w:rsid w:val="0004121C"/>
    <w:rsid w:val="00042EA9"/>
    <w:rsid w:val="00043986"/>
    <w:rsid w:val="00046C0A"/>
    <w:rsid w:val="00050120"/>
    <w:rsid w:val="000534EB"/>
    <w:rsid w:val="0005453F"/>
    <w:rsid w:val="000546E9"/>
    <w:rsid w:val="0006237B"/>
    <w:rsid w:val="00062D71"/>
    <w:rsid w:val="000736F6"/>
    <w:rsid w:val="00084E75"/>
    <w:rsid w:val="000853D9"/>
    <w:rsid w:val="00087F8C"/>
    <w:rsid w:val="000902C1"/>
    <w:rsid w:val="000A3563"/>
    <w:rsid w:val="000B0699"/>
    <w:rsid w:val="000B29E8"/>
    <w:rsid w:val="000B4B42"/>
    <w:rsid w:val="000B5EE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7035"/>
    <w:rsid w:val="001418E1"/>
    <w:rsid w:val="00141BE2"/>
    <w:rsid w:val="001436E6"/>
    <w:rsid w:val="00146CDA"/>
    <w:rsid w:val="00161AA6"/>
    <w:rsid w:val="001655F6"/>
    <w:rsid w:val="001756F2"/>
    <w:rsid w:val="001765D3"/>
    <w:rsid w:val="00183CBA"/>
    <w:rsid w:val="001852E2"/>
    <w:rsid w:val="00191D88"/>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17763"/>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764B3"/>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2F6C32"/>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0EFF"/>
    <w:rsid w:val="003F39D9"/>
    <w:rsid w:val="003F7DF6"/>
    <w:rsid w:val="00402142"/>
    <w:rsid w:val="004078AA"/>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90A8B"/>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11BCC"/>
    <w:rsid w:val="00515552"/>
    <w:rsid w:val="00520187"/>
    <w:rsid w:val="005228C9"/>
    <w:rsid w:val="00522D24"/>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5E75D2"/>
    <w:rsid w:val="005F7023"/>
    <w:rsid w:val="00614C70"/>
    <w:rsid w:val="00617AB2"/>
    <w:rsid w:val="00627839"/>
    <w:rsid w:val="006375F0"/>
    <w:rsid w:val="00643E28"/>
    <w:rsid w:val="006457B3"/>
    <w:rsid w:val="00653B39"/>
    <w:rsid w:val="006547E7"/>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D5ED7"/>
    <w:rsid w:val="006E04F7"/>
    <w:rsid w:val="006F35AF"/>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7F0C14"/>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17"/>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0758"/>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86A95"/>
    <w:rsid w:val="00A9276D"/>
    <w:rsid w:val="00AA0DFB"/>
    <w:rsid w:val="00AA2873"/>
    <w:rsid w:val="00AB4139"/>
    <w:rsid w:val="00AC283D"/>
    <w:rsid w:val="00AC3BCB"/>
    <w:rsid w:val="00AD0133"/>
    <w:rsid w:val="00AD47F5"/>
    <w:rsid w:val="00AE5BBD"/>
    <w:rsid w:val="00AE7247"/>
    <w:rsid w:val="00AF3CA6"/>
    <w:rsid w:val="00AF41B4"/>
    <w:rsid w:val="00B0167F"/>
    <w:rsid w:val="00B054F1"/>
    <w:rsid w:val="00B30DC4"/>
    <w:rsid w:val="00B33983"/>
    <w:rsid w:val="00B36495"/>
    <w:rsid w:val="00B44E5B"/>
    <w:rsid w:val="00B5195D"/>
    <w:rsid w:val="00B523F7"/>
    <w:rsid w:val="00B54410"/>
    <w:rsid w:val="00B547D0"/>
    <w:rsid w:val="00B55F04"/>
    <w:rsid w:val="00B75C46"/>
    <w:rsid w:val="00B86CB0"/>
    <w:rsid w:val="00B9203B"/>
    <w:rsid w:val="00BA24DC"/>
    <w:rsid w:val="00BB6541"/>
    <w:rsid w:val="00BB6AE7"/>
    <w:rsid w:val="00BC2283"/>
    <w:rsid w:val="00BC2DCD"/>
    <w:rsid w:val="00BD39D1"/>
    <w:rsid w:val="00BE5A5B"/>
    <w:rsid w:val="00BF0A00"/>
    <w:rsid w:val="00BF0B99"/>
    <w:rsid w:val="00C06043"/>
    <w:rsid w:val="00C07F65"/>
    <w:rsid w:val="00C12324"/>
    <w:rsid w:val="00C14ECD"/>
    <w:rsid w:val="00C15B79"/>
    <w:rsid w:val="00C33C35"/>
    <w:rsid w:val="00C3449C"/>
    <w:rsid w:val="00C35200"/>
    <w:rsid w:val="00C3579D"/>
    <w:rsid w:val="00C447CF"/>
    <w:rsid w:val="00C45FAF"/>
    <w:rsid w:val="00C540B9"/>
    <w:rsid w:val="00C574FE"/>
    <w:rsid w:val="00C63961"/>
    <w:rsid w:val="00C64E6C"/>
    <w:rsid w:val="00C664B6"/>
    <w:rsid w:val="00C66E21"/>
    <w:rsid w:val="00C74946"/>
    <w:rsid w:val="00C7772B"/>
    <w:rsid w:val="00C81586"/>
    <w:rsid w:val="00C82D0B"/>
    <w:rsid w:val="00C83B28"/>
    <w:rsid w:val="00C8766C"/>
    <w:rsid w:val="00C92C53"/>
    <w:rsid w:val="00C93236"/>
    <w:rsid w:val="00CA3B1E"/>
    <w:rsid w:val="00CA58BF"/>
    <w:rsid w:val="00CA5D30"/>
    <w:rsid w:val="00CB01C5"/>
    <w:rsid w:val="00CB3A0A"/>
    <w:rsid w:val="00CB3B88"/>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2E1A"/>
    <w:rsid w:val="00D34D00"/>
    <w:rsid w:val="00D36AB7"/>
    <w:rsid w:val="00D37D24"/>
    <w:rsid w:val="00D4656A"/>
    <w:rsid w:val="00D46648"/>
    <w:rsid w:val="00D470BA"/>
    <w:rsid w:val="00D47EFF"/>
    <w:rsid w:val="00D518B5"/>
    <w:rsid w:val="00D74308"/>
    <w:rsid w:val="00D84F88"/>
    <w:rsid w:val="00D86209"/>
    <w:rsid w:val="00DA1CE8"/>
    <w:rsid w:val="00DA30F0"/>
    <w:rsid w:val="00DB165E"/>
    <w:rsid w:val="00DB1740"/>
    <w:rsid w:val="00DB1AB2"/>
    <w:rsid w:val="00DC5A2B"/>
    <w:rsid w:val="00DD11DB"/>
    <w:rsid w:val="00DE3126"/>
    <w:rsid w:val="00DE54FF"/>
    <w:rsid w:val="00DF06AE"/>
    <w:rsid w:val="00E0219D"/>
    <w:rsid w:val="00E15BE8"/>
    <w:rsid w:val="00E16DC2"/>
    <w:rsid w:val="00E2015B"/>
    <w:rsid w:val="00E264E7"/>
    <w:rsid w:val="00E27E50"/>
    <w:rsid w:val="00E3503F"/>
    <w:rsid w:val="00E43F8A"/>
    <w:rsid w:val="00E443F3"/>
    <w:rsid w:val="00E4502B"/>
    <w:rsid w:val="00E5492F"/>
    <w:rsid w:val="00E653E8"/>
    <w:rsid w:val="00E67EBA"/>
    <w:rsid w:val="00E75A7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2345F"/>
    <w:rsid w:val="00F37B10"/>
    <w:rsid w:val="00F37DC2"/>
    <w:rsid w:val="00F44BFA"/>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02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Kommentarsreferens">
    <w:name w:val="annotation reference"/>
    <w:basedOn w:val="Standardstycketeckensnitt"/>
    <w:rsid w:val="00F2345F"/>
    <w:rPr>
      <w:sz w:val="16"/>
      <w:szCs w:val="16"/>
    </w:rPr>
  </w:style>
  <w:style w:type="paragraph" w:styleId="Kommentarer">
    <w:name w:val="annotation text"/>
    <w:basedOn w:val="Normal"/>
    <w:link w:val="KommentarerChar"/>
    <w:rsid w:val="00F2345F"/>
    <w:rPr>
      <w:sz w:val="20"/>
    </w:rPr>
  </w:style>
  <w:style w:type="character" w:customStyle="1" w:styleId="KommentarerChar">
    <w:name w:val="Kommentarer Char"/>
    <w:basedOn w:val="Standardstycketeckensnitt"/>
    <w:link w:val="Kommentarer"/>
    <w:rsid w:val="00F2345F"/>
  </w:style>
  <w:style w:type="paragraph" w:styleId="Kommentarsmne">
    <w:name w:val="annotation subject"/>
    <w:basedOn w:val="Kommentarer"/>
    <w:next w:val="Kommentarer"/>
    <w:link w:val="KommentarsmneChar"/>
    <w:rsid w:val="00F2345F"/>
    <w:rPr>
      <w:b/>
      <w:bCs/>
    </w:rPr>
  </w:style>
  <w:style w:type="character" w:customStyle="1" w:styleId="KommentarsmneChar">
    <w:name w:val="Kommentarsämne Char"/>
    <w:basedOn w:val="KommentarerChar"/>
    <w:link w:val="Kommentarsmne"/>
    <w:rsid w:val="00F23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0107565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1147</Words>
  <Characters>8051</Characters>
  <Application>Microsoft Office Word</Application>
  <DocSecurity>0</DocSecurity>
  <Lines>67</Lines>
  <Paragraphs>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6</cp:revision>
  <cp:lastPrinted>2018-10-02T11:13:00Z</cp:lastPrinted>
  <dcterms:created xsi:type="dcterms:W3CDTF">2025-04-22T13:45:00Z</dcterms:created>
  <dcterms:modified xsi:type="dcterms:W3CDTF">2025-04-29T08:53:00Z</dcterms:modified>
</cp:coreProperties>
</file>