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59A5" w:rsidRDefault="00D859A5">
      <w:pPr>
        <w:pStyle w:val="Rubrik1"/>
        <w:spacing w:before="0"/>
      </w:pPr>
      <w:r>
        <w:rPr>
          <w:vanish/>
        </w:rPr>
        <w:t>&lt;1</w:t>
      </w:r>
      <w:bookmarkStart w:id="0" w:name="_Toc353852545"/>
      <w:r>
        <w:t>Till konstitutionsutskottet</w:t>
      </w:r>
      <w:bookmarkEnd w:id="0"/>
    </w:p>
    <w:p w:rsidR="00D859A5" w:rsidRDefault="00D859A5">
      <w:bookmarkStart w:id="1" w:name="Textstart"/>
      <w:bookmarkEnd w:id="1"/>
      <w:r>
        <w:t>Konstitutionsutskottet har hemställt hos övriga utskott och hos EU-nämnden om yttranden angående EU-frågornas behandling i riksdagen. Som underlag för denna begäran har konstitutionsutskottet bifogat en promemoria som upprättats inom utskottets kansli och som innehåller olika frågor om utsko</w:t>
      </w:r>
      <w:r>
        <w:t>t</w:t>
      </w:r>
      <w:r>
        <w:t>tens arbete med EU-frågorna och relationer med EU-nämnden.</w:t>
      </w:r>
    </w:p>
    <w:p w:rsidR="00D859A5" w:rsidRDefault="00D859A5">
      <w:pPr>
        <w:pStyle w:val="Rubrik1"/>
      </w:pPr>
      <w:r>
        <w:t>Näringsutskottet</w:t>
      </w:r>
    </w:p>
    <w:p w:rsidR="00D859A5" w:rsidRDefault="00D859A5">
      <w:pPr>
        <w:pStyle w:val="Rubrik2"/>
        <w:spacing w:before="123"/>
      </w:pPr>
      <w:r>
        <w:t>Utskottets hittillsvarande arbete med EU-frågorna</w:t>
      </w:r>
    </w:p>
    <w:p w:rsidR="00D859A5" w:rsidRDefault="00D859A5">
      <w:r>
        <w:t xml:space="preserve">Med hänsyn till näringsutskottets beredningsområde har utskottet anledning att följa utvecklingen inom EU på ett flertal områden, som ämnesmässigt är fördelade på huvudsakligen tre olika departement. Utskottet har också hittills mottagit ett stort antal EU-dokument. </w:t>
      </w:r>
    </w:p>
    <w:p w:rsidR="00D859A5" w:rsidRDefault="00D859A5">
      <w:pPr>
        <w:pStyle w:val="Normaltindrag"/>
      </w:pPr>
      <w:r>
        <w:t>Utskottets uppläggning av EU-arbetet innebär att inkomna dokument r</w:t>
      </w:r>
      <w:r>
        <w:t>e</w:t>
      </w:r>
      <w:r>
        <w:t>gistreras i ett särskilt diarium. Utdrag ur diariet avseende nyinkomna dok</w:t>
      </w:r>
      <w:r>
        <w:t>u</w:t>
      </w:r>
      <w:r>
        <w:t>ment anmäls sedan inför utskottet i princip en gång per vecka under perioder då utskottet sammanträder. Vid viktigare dokument (t.ex. grön- och vitböc</w:t>
      </w:r>
      <w:r>
        <w:t>k</w:t>
      </w:r>
      <w:r>
        <w:t>er) begärs – om så önskas – kompletterande information från aktuellt depa</w:t>
      </w:r>
      <w:r>
        <w:t>r</w:t>
      </w:r>
      <w:r>
        <w:t>tement. Inkomna faktapromemorior samt rapporter från berörda ministe</w:t>
      </w:r>
      <w:r>
        <w:t>r</w:t>
      </w:r>
      <w:r>
        <w:t xml:space="preserve">rådsmöten utdelas till samtliga ledamöter och suppleanter.   </w:t>
      </w:r>
    </w:p>
    <w:p w:rsidR="00D859A5" w:rsidRDefault="00D859A5">
      <w:pPr>
        <w:pStyle w:val="Normaltindrag"/>
      </w:pPr>
      <w:r>
        <w:t>Härutöver har utskottet vid skilda tillfällen inhämtat information från för</w:t>
      </w:r>
      <w:r>
        <w:t>e</w:t>
      </w:r>
      <w:r>
        <w:t>träd</w:t>
      </w:r>
      <w:r>
        <w:t>a</w:t>
      </w:r>
      <w:r>
        <w:t>re för Finans-, Närings- och Utrikesdepartementen om aktuella EU-frågor. Hittills har utskottet fått sådana redovisningar av berört statsråd eller statssekreterare vid sammanlagt sex tillfällen. I vissa fall har dessa inform</w:t>
      </w:r>
      <w:r>
        <w:t>a</w:t>
      </w:r>
      <w:r>
        <w:t>tionstillfällen legat i anslutning till kommande ministerrådsm</w:t>
      </w:r>
      <w:r>
        <w:t>ö</w:t>
      </w:r>
      <w:r>
        <w:t>ten.</w:t>
      </w:r>
    </w:p>
    <w:p w:rsidR="00D859A5" w:rsidRDefault="00D859A5">
      <w:pPr>
        <w:pStyle w:val="Normaltindrag"/>
      </w:pPr>
      <w:r>
        <w:t>I december 1995 beslutade utskottet att koncentrera arbetet med EU-frågorna till vissa särskilda områden, i första hand forsknings- och energifr</w:t>
      </w:r>
      <w:r>
        <w:t>å</w:t>
      </w:r>
      <w:r>
        <w:t>gor. På uppdrag av utskottet utarbetade utskottskansliet särskilda promem</w:t>
      </w:r>
      <w:r>
        <w:t>o</w:t>
      </w:r>
      <w:r>
        <w:t>rior med redovisning av vad som är aktuellt inom EU beträffande nu nämnda områden. Efter genomgång av dessa promemorior beslutades om vissa insa</w:t>
      </w:r>
      <w:r>
        <w:t>t</w:t>
      </w:r>
      <w:r>
        <w:t xml:space="preserve">ser som skall företas av utskottet i fråga om de båda områdena under den närmaste tiden. </w:t>
      </w:r>
    </w:p>
    <w:p w:rsidR="00D859A5" w:rsidRDefault="00D859A5">
      <w:pPr>
        <w:pStyle w:val="Normaltindrag"/>
      </w:pPr>
      <w:r>
        <w:t>Vad gäller forskningsfrågorna skall utskottet uppmärksamma i vilken u</w:t>
      </w:r>
      <w:r>
        <w:t>t</w:t>
      </w:r>
      <w:r>
        <w:t xml:space="preserve">sträckning som den svenska industrin – inte minst de små och medelstora </w:t>
      </w:r>
      <w:r>
        <w:lastRenderedPageBreak/>
        <w:t>företagen – deltar i och kan göra sig gällande i forskningsprogram inom EU. Vidare kommer utskottet att följa arbetet med den grönbok om innovation som  framlagts av kommissi</w:t>
      </w:r>
      <w:r>
        <w:t>o</w:t>
      </w:r>
      <w:r>
        <w:t>nen.</w:t>
      </w:r>
    </w:p>
    <w:p w:rsidR="00D859A5" w:rsidRDefault="00D859A5">
      <w:pPr>
        <w:pStyle w:val="Normaltindrag"/>
      </w:pPr>
      <w:r>
        <w:t>På energiområdet avser utskottet att under våren 1996 bevaka diskussi</w:t>
      </w:r>
      <w:r>
        <w:t>o</w:t>
      </w:r>
      <w:r>
        <w:t>nerna inom regeringskonferensen om ett eventuellt införlivande i Romfö</w:t>
      </w:r>
      <w:r>
        <w:t>r</w:t>
      </w:r>
      <w:r>
        <w:t>draget av gemensamma regler för energiområdet. En rapport från kommi</w:t>
      </w:r>
      <w:r>
        <w:t>s</w:t>
      </w:r>
      <w:r>
        <w:t>sionen i den frågan har nyligen lagts fram.Vidare har en vitbok på energio</w:t>
      </w:r>
      <w:r>
        <w:t>m</w:t>
      </w:r>
      <w:r>
        <w:t>rådet redovisats, och utskottet skall följa arbetet kring denna vitbok inför det planerade energiministerrådsmötet i maj 1996. Andra områden som utskottet ämnar fördjupa sig i gäller den inre marknaden för energi (särskilt frågan om transitering på högspänningsnäten, s.k. Third Party Access – TPA), ett eventuellt nordiskt gasledningsnät samt frågor om olika energiforsknings- och energie</w:t>
      </w:r>
      <w:r>
        <w:t>f</w:t>
      </w:r>
      <w:r>
        <w:t>fektiviseringsinsatser.</w:t>
      </w:r>
    </w:p>
    <w:p w:rsidR="00D859A5" w:rsidRDefault="00D859A5">
      <w:pPr>
        <w:pStyle w:val="Rubrik2"/>
      </w:pPr>
      <w:r>
        <w:t>Utvärdering av det hittillsvarande arbetet</w:t>
      </w:r>
    </w:p>
    <w:p w:rsidR="00D859A5" w:rsidRDefault="00D859A5">
      <w:r>
        <w:t>Sverige har varit medlem i EU i endast drygt ett år. Enligt näringsutskottets uppfattning är det en alltför kort period att basera en omfattande utvärdering på. I det följande lämnas därför endast en översiktlig redovisning av utsko</w:t>
      </w:r>
      <w:r>
        <w:t>t</w:t>
      </w:r>
      <w:r>
        <w:t>tets uppfattning om det hittillsvarande arbetet med EU-frågorna. Näringsu</w:t>
      </w:r>
      <w:r>
        <w:t>t</w:t>
      </w:r>
      <w:r>
        <w:t>skottet förutsätter att EU-frågornas behandling i riksdagen blir föremål för en fördjup</w:t>
      </w:r>
      <w:r>
        <w:t>a</w:t>
      </w:r>
      <w:r>
        <w:t>d utvärdering inom något år.</w:t>
      </w:r>
    </w:p>
    <w:p w:rsidR="00D859A5" w:rsidRDefault="00D859A5">
      <w:pPr>
        <w:pStyle w:val="Normaltindrag"/>
      </w:pPr>
      <w:r>
        <w:t>Näringsutskottets arbete med EU-frågorna har under det första året prä</w:t>
      </w:r>
      <w:r>
        <w:t>g</w:t>
      </w:r>
      <w:r>
        <w:t>lats av informationsinhämtande. Som framgår av den inledande redovisnin</w:t>
      </w:r>
      <w:r>
        <w:t>g</w:t>
      </w:r>
      <w:r>
        <w:t>en har utskottet införskaffat denna information främst genom de framlagda förslagen från kommissionen och faktapromemoriorna från regeringskansliet samt genom återkommande redovisningar från berörda departement. Från näringsutskottets utgångspunkt har informationsflödet fungerat i huvudsak bra. Den lämnade redovisningen inför utskottet av berörda statsråd och stat</w:t>
      </w:r>
      <w:r>
        <w:t>s</w:t>
      </w:r>
      <w:r>
        <w:t>sekreterare har hittills skett enbart på utskottets begäran. Återrapporteringen från ministerrådsmötena har tillgodosetts genom införskaffande av de upprä</w:t>
      </w:r>
      <w:r>
        <w:t>t</w:t>
      </w:r>
      <w:r>
        <w:t>tade rapporterna från dessa möten. Det har hittills inte givits tillfälle för utskottet att informera sig i någon fråga som är ”på gång” inom kommissi</w:t>
      </w:r>
      <w:r>
        <w:t>o</w:t>
      </w:r>
      <w:r>
        <w:t xml:space="preserve">nen eller i ett ärende som bereds av någon arbetsgrupp inom rådet. </w:t>
      </w:r>
    </w:p>
    <w:p w:rsidR="00D859A5" w:rsidRDefault="00D859A5">
      <w:pPr>
        <w:pStyle w:val="Normaltindrag"/>
      </w:pPr>
      <w:r>
        <w:t>Näringsutskottet har inte i något ärende haft någon formell kontakt med EU-nämnden. Kallelser till nämndens sammanträden tillställs utskottets kansli, och utskottet ges därigenom möjlighet att följa de frågor som är a</w:t>
      </w:r>
      <w:r>
        <w:t>k</w:t>
      </w:r>
      <w:r>
        <w:t>tuella på nämndens möten. Utskottet ser för närvarande inga större problem beträffande komp</w:t>
      </w:r>
      <w:r>
        <w:t>e</w:t>
      </w:r>
      <w:r>
        <w:t>tensgränserna mellan utskottet och nämnden.</w:t>
      </w:r>
    </w:p>
    <w:p w:rsidR="00D859A5" w:rsidRDefault="00D859A5">
      <w:pPr>
        <w:pStyle w:val="Normaltindrag"/>
      </w:pPr>
      <w:r>
        <w:t>Enligt näringsutskottet är det inte meningsfullt att utskottet följer och granskar alla EU-ärenden inom utskottets ämnesområde. Utskottet har dä</w:t>
      </w:r>
      <w:r>
        <w:t>r</w:t>
      </w:r>
      <w:r>
        <w:t>för, som redan nämnts, beslutat att koncentrera arbetet med EU-frågorna till vissa särskilda områden. Avsikten är att utskottet skall sätta sig in mer grundligt i frågor på dessa områden och komma in tidigare i beslutsproce</w:t>
      </w:r>
      <w:r>
        <w:t>s</w:t>
      </w:r>
      <w:r>
        <w:t>sen. Exempel på frågor som utskottet ämnar bevaka mer noggrant är sådana som tas upp i viktigare grön- och vitböcker inom utskottets ämnesområde. Förutom kontakter med berörda departement i dessa frågor kan utskottets arbete med grön- och vitböckerna komma att innebära kontakter med berörda arbetsgrupper under rådet och aktuellt utskott i Europaparlamentet. N</w:t>
      </w:r>
      <w:r>
        <w:t>ä</w:t>
      </w:r>
      <w:r>
        <w:t xml:space="preserve">ringsutskottet har hittills inte haft några sådana kontakter. </w:t>
      </w:r>
    </w:p>
    <w:p w:rsidR="00D859A5" w:rsidRDefault="00D859A5">
      <w:pPr>
        <w:pStyle w:val="R2"/>
      </w:pPr>
      <w:r>
        <w:t>Frågan om reglering av arbetet med EU-frågorna</w:t>
      </w:r>
    </w:p>
    <w:p w:rsidR="00D859A5" w:rsidRDefault="00D859A5">
      <w:r>
        <w:t>I samband med riksdagens beslut om samverkan mellan riksdag och regering med anledning av Sveriges anslutning till EU anförde konstitutionsutskottet (bet. 1994/95:KU22) att det är nödvändigt att utskottens kontakter och sy</w:t>
      </w:r>
      <w:r>
        <w:t>n</w:t>
      </w:r>
      <w:r>
        <w:t>punkter tas till vara i samrådsförfarandet och att det är fråga om en ömses</w:t>
      </w:r>
      <w:r>
        <w:t>i</w:t>
      </w:r>
      <w:r>
        <w:t>dig process mellan utskotten och EU-nämnden. Konstitutionsutskottet ville dock inte då förorda någon reglering av formerna för samråd och inform</w:t>
      </w:r>
      <w:r>
        <w:t>a</w:t>
      </w:r>
      <w:r>
        <w:t>tionsutb</w:t>
      </w:r>
      <w:r>
        <w:t>y</w:t>
      </w:r>
      <w:r>
        <w:t>te mellan nämnden och utskotten.</w:t>
      </w:r>
    </w:p>
    <w:p w:rsidR="00D859A5" w:rsidRDefault="00D859A5">
      <w:pPr>
        <w:pStyle w:val="Normaltindrag"/>
      </w:pPr>
      <w:r>
        <w:t>Näringsutskottet instämmer i bedömningen att det är viktigt med konta</w:t>
      </w:r>
      <w:r>
        <w:t>k</w:t>
      </w:r>
      <w:r>
        <w:t>terna mellan utskotten och EU-nämnden men anser – baserat på hittillsv</w:t>
      </w:r>
      <w:r>
        <w:t>a</w:t>
      </w:r>
      <w:r>
        <w:t>rande erfarenheter – att det inte är lämpligt att formalisera dessa kontakter genom yttranden eller skrivelser av olika slag. Enligt utskottets mening bör kontakterna i första hand ske inom respektive partigrupp. Utskottet utesluter emellertid inte att informationsutbytet mellan utskottens och nämndens tjänstemän kan förbättras så att tjänstemännen i respektive kansli hålls i</w:t>
      </w:r>
      <w:r>
        <w:t>n</w:t>
      </w:r>
      <w:r>
        <w:t xml:space="preserve">formerade om aktuella aktiviteter på EU-området.   </w:t>
      </w:r>
    </w:p>
    <w:p w:rsidR="00D859A5" w:rsidRDefault="00D859A5">
      <w:pPr>
        <w:pStyle w:val="Normaltindrag"/>
      </w:pPr>
      <w:r>
        <w:rPr>
          <w:i/>
        </w:rPr>
        <w:t>Sammanfattningsvis</w:t>
      </w:r>
      <w:r>
        <w:t xml:space="preserve"> menar näringsutskottet att strävan bör vara att det skall upprätthållas en effektiv arbetsfördelning mellan utskotten och EU-nämnden samt att kontakterna dem emellan – och även med de svenska Europaparlamentarikerna – bör ske via partigrupperna. Utskotten bör inrikta sig på att tidigt i påverkansprocessen informera sig om och lämna synpunkter i frågor av mer väsentlig betydelse. Enligt näringsutskottets mening kan det finnas skäl att studera i vilken utsträckning och på vilket sätt fackutskotten i övriga E</w:t>
      </w:r>
      <w:r>
        <w:t>U-länder engagerar sig på ett tidigt stadium när det gäller viktigare EU-ärenden. Vidare anser utskottet att en förnyad och mer grundlig utvärd</w:t>
      </w:r>
      <w:r>
        <w:t>e</w:t>
      </w:r>
      <w:r>
        <w:t>ring av EU-frågornas behandling i riksdagen bör genomföras inom något år då ytterligare erfare</w:t>
      </w:r>
      <w:r>
        <w:t>n</w:t>
      </w:r>
      <w:r>
        <w:t>heter hunnit nås.</w:t>
      </w:r>
    </w:p>
    <w:p w:rsidR="00D859A5" w:rsidRDefault="00D859A5">
      <w:pPr>
        <w:pStyle w:val="Normaltindrag"/>
      </w:pPr>
    </w:p>
    <w:p w:rsidR="00D859A5" w:rsidRDefault="00D859A5">
      <w:r>
        <w:rPr>
          <w:vanish/>
        </w:rPr>
        <w:t>&lt;A</w:t>
      </w:r>
      <w:r>
        <w:t>Stockholm den 18 april 1996</w:t>
      </w:r>
    </w:p>
    <w:p w:rsidR="00D859A5" w:rsidRDefault="00D859A5">
      <w:r>
        <w:t>På näringsutskottets vägnar</w:t>
      </w:r>
    </w:p>
    <w:p w:rsidR="00D859A5" w:rsidRDefault="00D859A5">
      <w:pPr>
        <w:pStyle w:val="Ordfnamn"/>
      </w:pPr>
      <w:bookmarkStart w:id="2" w:name="Ordförande"/>
      <w:bookmarkEnd w:id="2"/>
      <w:r>
        <w:t>Birgitta Johansson</w:t>
      </w:r>
    </w:p>
    <w:p w:rsidR="00D859A5" w:rsidRDefault="00D859A5">
      <w:pPr>
        <w:pStyle w:val="Normaltindrag"/>
      </w:pPr>
    </w:p>
    <w:p w:rsidR="00D859A5" w:rsidRDefault="00D859A5">
      <w:pPr>
        <w:pStyle w:val="Citat"/>
        <w:spacing w:before="123"/>
      </w:pPr>
      <w:bookmarkStart w:id="3" w:name="Deltagare"/>
      <w:bookmarkEnd w:id="3"/>
      <w:r>
        <w:t>I beslutet har deltagit: Birgitta Johansson (s), Karin Falkmer (m), Reynoldh Furustrand (s), Mikael Odenberg (m), Sylvia Lindgren (s), Kjell Ericsson (c), Barbro Andersson (s), Chris Heister (m), Marie Granlund (s), Eva Goës (mp), Göran Hägglund (kds), Laila Bäck (s), Inge Carlsson (s), Sten Tolgfors (m), Eva Flyborg (fp) och Frank Lassen (s).</w:t>
      </w:r>
    </w:p>
    <w:p w:rsidR="00D859A5" w:rsidRDefault="00D859A5">
      <w:pPr>
        <w:pStyle w:val="Tryckort"/>
        <w:spacing w:before="600"/>
      </w:pPr>
      <w:r>
        <w:t>Gotab, Stockholm  1996</w:t>
      </w:r>
    </w:p>
    <w:sectPr w:rsidR="00D859A5">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9A5" w:rsidRDefault="00D859A5">
      <w:pPr>
        <w:spacing w:before="0" w:line="240" w:lineRule="auto"/>
      </w:pPr>
      <w:r>
        <w:separator/>
      </w:r>
    </w:p>
  </w:endnote>
  <w:endnote w:type="continuationSeparator" w:id="0">
    <w:p w:rsidR="00D859A5" w:rsidRDefault="00D859A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9A5" w:rsidRDefault="00D859A5">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4</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9A5" w:rsidRDefault="00D859A5">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9A5" w:rsidRDefault="00D859A5">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9A5" w:rsidRDefault="00D859A5">
      <w:pPr>
        <w:spacing w:before="0" w:line="240" w:lineRule="auto"/>
      </w:pPr>
      <w:r>
        <w:separator/>
      </w:r>
    </w:p>
  </w:footnote>
  <w:footnote w:type="continuationSeparator" w:id="0">
    <w:p w:rsidR="00D859A5" w:rsidRDefault="00D859A5">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9A5" w:rsidRDefault="00D859A5">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1995/96:NU7y</w:t>
    </w:r>
    <w:r>
      <w:fldChar w:fldCharType="end"/>
    </w:r>
  </w:p>
  <w:p w:rsidR="00D859A5" w:rsidRDefault="00D859A5">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D859A5" w:rsidRDefault="00D859A5">
    <w:pPr>
      <w:pStyle w:val="SidhuvudV"/>
      <w:framePr w:w="2302" w:h="1928" w:hRule="exact" w:wrap="notBeside"/>
    </w:pPr>
    <w:r>
      <w:fldChar w:fldCharType="end"/>
    </w:r>
  </w:p>
  <w:p w:rsidR="00D859A5" w:rsidRDefault="00D859A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9A5" w:rsidRDefault="00D859A5">
    <w:pPr>
      <w:pStyle w:val="SidhuvudKant"/>
      <w:framePr w:hSpace="284" w:wrap="around" w:y="568"/>
    </w:pPr>
    <w:r>
      <w:rPr>
        <w:sz w:val="21"/>
      </w:rPr>
      <w:t>1995/96:NU7y</w:t>
    </w:r>
  </w:p>
  <w:p w:rsidR="00D859A5" w:rsidRDefault="00D859A5">
    <w:pPr>
      <w:pStyle w:val="SidhuvudKant"/>
      <w:framePr w:hSpace="284" w:wrap="around" w:y="568"/>
      <w:rPr>
        <w:vanish/>
      </w:rPr>
    </w:pPr>
    <w:r>
      <w:rPr>
        <w:vanish/>
      </w:rPr>
      <w:t>&gt;B</w:t>
    </w:r>
  </w:p>
  <w:p w:rsidR="00D859A5" w:rsidRDefault="00D859A5">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9A5" w:rsidRDefault="00D859A5">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744" r:id="rId2"/>
      </w:object>
    </w:r>
  </w:p>
  <w:p w:rsidR="00D859A5" w:rsidRDefault="00D859A5">
    <w:pPr>
      <w:pStyle w:val="SidhuvudFVapen"/>
      <w:framePr w:wrap="notBeside" w:x="7253" w:y="188"/>
      <w:spacing w:line="230" w:lineRule="auto"/>
      <w:rPr>
        <w:sz w:val="24"/>
      </w:rPr>
    </w:pPr>
    <w:bookmarkStart w:id="4" w:name="BnrVapen"/>
    <w:r>
      <w:rPr>
        <w:sz w:val="24"/>
      </w:rPr>
      <w:t>1995/96</w:t>
    </w:r>
  </w:p>
  <w:p w:rsidR="00D859A5" w:rsidRDefault="00D859A5">
    <w:pPr>
      <w:pStyle w:val="SidhuvudFVapen"/>
      <w:framePr w:wrap="notBeside" w:x="7253" w:y="188"/>
      <w:spacing w:line="230" w:lineRule="auto"/>
      <w:rPr>
        <w:sz w:val="24"/>
      </w:rPr>
    </w:pPr>
    <w:r>
      <w:rPr>
        <w:sz w:val="24"/>
      </w:rPr>
      <w:t xml:space="preserve">NU7y </w:t>
    </w:r>
    <w:bookmarkEnd w:id="4"/>
    <w:r w:rsidR="00F94C2C">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47054870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CA82F81"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D859A5" w:rsidRDefault="00D859A5">
    <w:pPr>
      <w:pStyle w:val="SidhuvudFText"/>
      <w:framePr w:w="5727" w:h="2722" w:hRule="exact" w:hSpace="0" w:wrap="notBeside" w:hAnchor="page" w:x="1135" w:y="568"/>
      <w:spacing w:line="400" w:lineRule="exact"/>
      <w:ind w:right="629"/>
      <w:rPr>
        <w:sz w:val="36"/>
      </w:rPr>
    </w:pPr>
    <w:bookmarkStart w:id="5" w:name="DokumentTyp"/>
    <w:r>
      <w:rPr>
        <w:sz w:val="36"/>
      </w:rPr>
      <w:t xml:space="preserve">Näringsutskottets yttrande </w:t>
    </w:r>
    <w:bookmarkEnd w:id="5"/>
  </w:p>
  <w:p w:rsidR="00D859A5" w:rsidRDefault="00D859A5">
    <w:pPr>
      <w:pStyle w:val="SidhuvudFText"/>
      <w:framePr w:w="5727" w:h="2722" w:hRule="exact" w:hSpace="0" w:wrap="notBeside" w:hAnchor="page" w:x="1135" w:y="568"/>
      <w:spacing w:line="400" w:lineRule="exact"/>
      <w:ind w:right="629"/>
      <w:rPr>
        <w:sz w:val="36"/>
      </w:rPr>
    </w:pPr>
    <w:bookmarkStart w:id="6" w:name="Betänkandenummer"/>
    <w:r>
      <w:rPr>
        <w:sz w:val="36"/>
      </w:rPr>
      <w:t xml:space="preserve">1995/96:NU7y </w:t>
    </w:r>
    <w:bookmarkEnd w:id="6"/>
    <w:r>
      <w:rPr>
        <w:sz w:val="36"/>
      </w:rPr>
      <w:t xml:space="preserve">       </w:t>
    </w:r>
    <w:bookmarkStart w:id="7" w:name="Utkast"/>
    <w:r>
      <w:rPr>
        <w:sz w:val="36"/>
      </w:rPr>
      <w:t xml:space="preserve"> </w:t>
    </w:r>
  </w:p>
  <w:p w:rsidR="00D859A5" w:rsidRDefault="00D859A5">
    <w:pPr>
      <w:pStyle w:val="SidhuvudFText"/>
      <w:framePr w:w="5727" w:h="2722" w:hRule="exact" w:hSpace="0" w:wrap="notBeside" w:hAnchor="page" w:x="1135" w:y="568"/>
      <w:spacing w:before="40" w:after="900" w:line="280" w:lineRule="exact"/>
      <w:ind w:right="629"/>
      <w:rPr>
        <w:sz w:val="26"/>
      </w:rPr>
    </w:pPr>
    <w:bookmarkStart w:id="8" w:name="Rubrik"/>
    <w:bookmarkEnd w:id="7"/>
    <w:r>
      <w:rPr>
        <w:sz w:val="28"/>
      </w:rPr>
      <w:t>EU-frågornas behandling i riksdagen</w:t>
    </w:r>
    <w:r>
      <w:rPr>
        <w:sz w:val="26"/>
      </w:rPr>
      <w:t xml:space="preserve"> </w:t>
    </w:r>
    <w:bookmarkEnd w:id="8"/>
    <w:r>
      <w:rPr>
        <w:sz w:val="26"/>
      </w:rPr>
      <w:t xml:space="preserve"> </w:t>
    </w:r>
  </w:p>
  <w:p w:rsidR="00D859A5" w:rsidRDefault="00D859A5">
    <w:pPr>
      <w:pStyle w:val="SidhuvudFText"/>
      <w:framePr w:w="5727" w:h="2722" w:hRule="exact" w:hSpace="0" w:wrap="notBeside" w:hAnchor="page" w:x="1135" w:y="568"/>
      <w:spacing w:line="460" w:lineRule="exact"/>
      <w:ind w:right="629"/>
      <w:rPr>
        <w:sz w:val="36"/>
      </w:rPr>
    </w:pPr>
  </w:p>
  <w:p w:rsidR="00D859A5" w:rsidRDefault="00D859A5">
    <w:pPr>
      <w:pStyle w:val="SidhuvudFText"/>
      <w:framePr w:w="5727" w:h="2722" w:hRule="exact" w:hSpace="0" w:wrap="notBeside" w:hAnchor="page" w:x="1135" w:y="568"/>
      <w:spacing w:before="40" w:after="900" w:line="300" w:lineRule="exact"/>
      <w:ind w:right="629"/>
      <w:rPr>
        <w:sz w:val="26"/>
      </w:rPr>
    </w:pPr>
    <w:r>
      <w:rPr>
        <w:sz w:val="26"/>
      </w:rPr>
      <w:t xml:space="preserve"> </w:t>
    </w:r>
  </w:p>
  <w:p w:rsidR="00D859A5" w:rsidRDefault="00D859A5">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NU7y"/>
    <w:docVar w:name="HelaNamnet" w:val="1995/96:NU7y"/>
    <w:docVar w:name="NR" w:val="7y"/>
    <w:docVar w:name="RUBRIK" w:val="EU-frågornas behandling i riksdagen"/>
    <w:docVar w:name="SkapVERSION" w:val="V6.0, 960315"/>
    <w:docVar w:name="USK" w:val="NU"/>
    <w:docVar w:name="USKKORT" w:val="NU"/>
    <w:docVar w:name="USKNAMN" w:val="Näringsutskottets"/>
    <w:docVar w:name="USKNAMNG" w:val="näringsutskottets"/>
    <w:docVar w:name="ÅR" w:val="1995/96"/>
  </w:docVars>
  <w:rsids>
    <w:rsidRoot w:val="007F111E"/>
    <w:rsid w:val="007F111E"/>
    <w:rsid w:val="00D859A5"/>
    <w:rsid w:val="00F94C2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EFD5309-1228-4A6D-AF3A-C99DC4D7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1062</Words>
  <Characters>6842</Characters>
  <Application>Microsoft Office Word</Application>
  <DocSecurity>4</DocSecurity>
  <Lines>120</Lines>
  <Paragraphs>27</Paragraphs>
  <ScaleCrop>false</ScaleCrop>
  <Company/>
  <LinksUpToDate>false</LinksUpToDate>
  <CharactersWithSpaces>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Näringsutskottets betänkande nr 7y</dc:title>
  <dc:subject>Näringsutskottets betänkande nr 7y</dc:subject>
  <dc:creator>Riksdagen</dc:creator>
  <cp:keywords>Riksdagen</cp:keywords>
  <cp:lastModifiedBy>Lars Brink</cp:lastModifiedBy>
  <cp:revision>2</cp:revision>
  <cp:lastPrinted>1996-04-19T11:35:00Z</cp:lastPrinted>
  <dcterms:created xsi:type="dcterms:W3CDTF">2025-12-15T18:36:00Z</dcterms:created>
  <dcterms:modified xsi:type="dcterms:W3CDTF">2025-12-15T18:36:00Z</dcterms:modified>
</cp:coreProperties>
</file>