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5B82E8" w14:textId="77777777">
      <w:pPr>
        <w:pStyle w:val="Normalutanindragellerluft"/>
      </w:pPr>
    </w:p>
    <w:sdt>
      <w:sdtPr>
        <w:alias w:val="CC_Boilerplate_4"/>
        <w:tag w:val="CC_Boilerplate_4"/>
        <w:id w:val="-1644581176"/>
        <w:lock w:val="sdtLocked"/>
        <w:placeholder>
          <w:docPart w:val="00397E8DFC7B47A4BF949A2AE7523BD7"/>
        </w:placeholder>
        <w15:appearance w15:val="hidden"/>
        <w:text/>
      </w:sdtPr>
      <w:sdtEndPr/>
      <w:sdtContent>
        <w:p w:rsidR="00AF30DD" w:rsidP="00CC4C93" w:rsidRDefault="00AF30DD" w14:paraId="5C5B82E9" w14:textId="77777777">
          <w:pPr>
            <w:pStyle w:val="Rubrik1"/>
          </w:pPr>
          <w:r>
            <w:t>Förslag till riksdagsbeslut</w:t>
          </w:r>
        </w:p>
      </w:sdtContent>
    </w:sdt>
    <w:sdt>
      <w:sdtPr>
        <w:alias w:val="Förslag 1"/>
        <w:tag w:val="cd9d8245-37d5-485e-a4cd-6360180f0031"/>
        <w:id w:val="215637270"/>
        <w:lock w:val="sdtLocked"/>
      </w:sdtPr>
      <w:sdtEndPr/>
      <w:sdtContent>
        <w:p w:rsidR="00B73A19" w:rsidRDefault="00345F70" w14:paraId="5C5B82EA" w14:textId="1AC9E0FE">
          <w:pPr>
            <w:pStyle w:val="Frslagstext"/>
          </w:pPr>
          <w:r>
            <w:t>Riksdagen tillkännager för regeringen som sin mening vad som anförs i motionen om att lätta rekvisiten för brottsbekämpande myndigheters tillgång till hemlig övervakning och avlyssning av elektronisk kommunikation, hemlig kameraövervakning, hemlig rumsavlyssning samt överskottsinformation.</w:t>
          </w:r>
        </w:p>
      </w:sdtContent>
    </w:sdt>
    <w:p w:rsidR="00AF30DD" w:rsidP="00AF30DD" w:rsidRDefault="000156D9" w14:paraId="5C5B82EB" w14:textId="77777777">
      <w:pPr>
        <w:pStyle w:val="Rubrik1"/>
      </w:pPr>
      <w:bookmarkStart w:name="MotionsStart" w:id="0"/>
      <w:bookmarkEnd w:id="0"/>
      <w:r>
        <w:t>Motivering</w:t>
      </w:r>
    </w:p>
    <w:p w:rsidR="009F0CC3" w:rsidP="009F0CC3" w:rsidRDefault="009F0CC3" w14:paraId="5C5B82EC" w14:textId="77777777">
      <w:pPr>
        <w:pStyle w:val="Normalutanindragellerluft"/>
      </w:pPr>
      <w:r>
        <w:t>Hemliga tvångsmedel är ett kraftfullt och effektivt verktyg mot den grova brottsligheten när de väl används. Det framgår inte minst av regeringens årliga redovisning av användningen av hemlig övervakning och avlyssning av elektronisk kommunikation samt hemlig kameraövervakning.</w:t>
      </w:r>
      <w:r>
        <w:rPr>
          <w:rStyle w:val="Fotnotsreferens"/>
        </w:rPr>
        <w:footnoteReference w:id="1"/>
      </w:r>
      <w:r>
        <w:t xml:space="preserve"> Rapporten SOU 2012:44 om hemliga tvångsmedel mot allvarliga brott visar i sin tur också att hemlig rumsavlyssning är ett viktigt verktyg. Tyvärr regleras användningen idag av alldeles för stränga restriktioner, och detta är vi inte ensamma om att tycka.</w:t>
      </w:r>
    </w:p>
    <w:p w:rsidR="009F0CC3" w:rsidP="009F0CC3" w:rsidRDefault="009F0CC3" w14:paraId="5C5B82ED" w14:textId="77777777">
      <w:pPr>
        <w:pStyle w:val="Normalutanindragellerluft"/>
      </w:pPr>
    </w:p>
    <w:p w:rsidR="009F0CC3" w:rsidP="009F0CC3" w:rsidRDefault="00245497" w14:paraId="5C5B82EE" w14:textId="1896FCF7">
      <w:pPr>
        <w:pStyle w:val="Normalutanindragellerluft"/>
      </w:pPr>
      <w:r>
        <w:t>I Brå</w:t>
      </w:r>
      <w:r w:rsidR="009F0CC3">
        <w:t xml:space="preserve">s utredning, ”Bekämpning av organiserad brottslighet” från 2011, framkommer det att svenska poliser och åklagare anser att användningen av hemliga tvångsmedel är viktig för att bekämpa organiserad brottslighet. Eftersom att lagstiftningen är för restriktiv används dessa dock mest för </w:t>
      </w:r>
      <w:r>
        <w:t xml:space="preserve">att </w:t>
      </w:r>
      <w:r w:rsidR="009F0CC3">
        <w:t>utreda narkotikabrott. Och narkotikabrott anser man vara en alldeles för smal träffyta för att kunna användas effektivt mot den organiserade brottsligheten.</w:t>
      </w:r>
      <w:r w:rsidR="009F0CC3">
        <w:rPr>
          <w:rStyle w:val="Fotnotsreferens"/>
        </w:rPr>
        <w:footnoteReference w:id="2"/>
      </w:r>
      <w:r>
        <w:t xml:space="preserve"> Högsta d</w:t>
      </w:r>
      <w:r w:rsidR="00B67469">
        <w:t>omstolen fastställde i juni 2011 dessutom ny praxis vilket kraftigt sänkt straffen för narkotikabrott, som alltså då begränsar tvångsmedlens användningsområde ytterligare.</w:t>
      </w:r>
    </w:p>
    <w:p w:rsidRPr="00B67469" w:rsidR="00B67469" w:rsidP="00B67469" w:rsidRDefault="00B67469" w14:paraId="5C5B82EF" w14:textId="77777777"/>
    <w:p w:rsidR="009F0CC3" w:rsidP="009F0CC3" w:rsidRDefault="009F0CC3" w14:paraId="5C5B82F0" w14:textId="77777777">
      <w:pPr>
        <w:pStyle w:val="Normalutanindragellerluft"/>
      </w:pPr>
      <w:r>
        <w:lastRenderedPageBreak/>
        <w:t xml:space="preserve">Ser man istället till vårt grannland Danmark ser det annorlunda ut. Där uppger chefen för utredningsverksamheten i Köpenhamns poliskrets, Svend Foldager, att man använder massiv teleavlyssning för att motverka den organiserade brottsligheten och lösa gängmorden med effektivare resultat än i Sverige. </w:t>
      </w:r>
    </w:p>
    <w:p w:rsidR="009F0CC3" w:rsidP="009F0CC3" w:rsidRDefault="009F0CC3" w14:paraId="5C5B82F1" w14:textId="77777777">
      <w:pPr>
        <w:pStyle w:val="Normalutanindragellerluft"/>
      </w:pPr>
    </w:p>
    <w:p w:rsidR="00AF30DD" w:rsidP="009F0CC3" w:rsidRDefault="00245497" w14:paraId="5C5B82F2" w14:textId="216784D9">
      <w:pPr>
        <w:pStyle w:val="Normalutanindragellerluft"/>
      </w:pPr>
      <w:r>
        <w:t>På grund av sin</w:t>
      </w:r>
      <w:r w:rsidR="009F0CC3">
        <w:t xml:space="preserve"> bättre avvägda lagstiftning kan polisen där använda hemlig teleavlyssning för brott med lägre straffvärde, t.ex. förberedelse till grov misshandel. Och ”domstolarna vet att polisen inte använder avlyssning i onödan”</w:t>
      </w:r>
      <w:r>
        <w:t>,</w:t>
      </w:r>
      <w:r w:rsidR="009F0CC3">
        <w:t xml:space="preserve"> uttrycker sig chefen.</w:t>
      </w:r>
      <w:r w:rsidR="009F0CC3">
        <w:rPr>
          <w:rStyle w:val="Fotnotsreferens"/>
        </w:rPr>
        <w:footnoteReference w:id="3"/>
      </w:r>
      <w:r w:rsidR="009F0CC3">
        <w:t xml:space="preserve"> Detta är ju ganska självklart; för att använda hemliga tvångsmedel krävs mycket polisresurser och dessa avsätter man inte gärna i onödan.</w:t>
      </w:r>
    </w:p>
    <w:p w:rsidR="009F0CC3" w:rsidP="009F0CC3" w:rsidRDefault="009F0CC3" w14:paraId="5C5B82F3" w14:textId="77777777">
      <w:pPr>
        <w:ind w:firstLine="0"/>
      </w:pPr>
    </w:p>
    <w:p w:rsidR="009F0CC3" w:rsidP="009F0CC3" w:rsidRDefault="00530320" w14:paraId="5C5B82F4" w14:textId="230902DF">
      <w:pPr>
        <w:ind w:firstLine="0"/>
      </w:pPr>
      <w:r>
        <w:t>Tidigare har SD verka</w:t>
      </w:r>
      <w:r w:rsidR="00245497">
        <w:t>t</w:t>
      </w:r>
      <w:r w:rsidR="009F0CC3">
        <w:t xml:space="preserve"> för att just förbättra des</w:t>
      </w:r>
      <w:r w:rsidR="00245497">
        <w:t>sa lagar, dock utan gehör från r</w:t>
      </w:r>
      <w:r w:rsidR="009F0CC3">
        <w:t xml:space="preserve">iksdagens övriga partier. I denna proposition har </w:t>
      </w:r>
      <w:r w:rsidR="00245497">
        <w:t>den förra regeringen dock gått S</w:t>
      </w:r>
      <w:r w:rsidR="009F0CC3">
        <w:t>verigedemokraterna tillmötes på några</w:t>
      </w:r>
      <w:r w:rsidR="00245497">
        <w:t xml:space="preserve"> punkter, vilket är välkommet, b</w:t>
      </w:r>
      <w:r w:rsidR="009F0CC3">
        <w:t xml:space="preserve">land annat genom att utvidga användningsområdet </w:t>
      </w:r>
      <w:r>
        <w:t>för att inkludera</w:t>
      </w:r>
      <w:r w:rsidR="009F0CC3">
        <w:t xml:space="preserve"> spioneri samt att </w:t>
      </w:r>
      <w:r w:rsidR="00563C3C">
        <w:t xml:space="preserve">en </w:t>
      </w:r>
      <w:r w:rsidR="009F0CC3">
        <w:t>förbättr</w:t>
      </w:r>
      <w:r w:rsidR="00563C3C">
        <w:t>ing av</w:t>
      </w:r>
      <w:r w:rsidR="009F0CC3">
        <w:t xml:space="preserve"> användningen av överskottsinformation vid hemlig rumsavlyssning.</w:t>
      </w:r>
    </w:p>
    <w:p w:rsidR="00563C3C" w:rsidP="009F0CC3" w:rsidRDefault="00563C3C" w14:paraId="5C5B82F5" w14:textId="77777777">
      <w:pPr>
        <w:ind w:firstLine="0"/>
      </w:pPr>
      <w:r>
        <w:br/>
        <w:t>Men fortfarande anser vi att gränserna för de hemliga</w:t>
      </w:r>
      <w:r w:rsidR="0089069E">
        <w:t xml:space="preserve"> tvångsmedlen är för högt satta och föreslår följande:</w:t>
      </w:r>
    </w:p>
    <w:p w:rsidR="00563C3C" w:rsidP="009F0CC3" w:rsidRDefault="00563C3C" w14:paraId="5C5B82F6" w14:textId="77777777">
      <w:pPr>
        <w:ind w:firstLine="0"/>
      </w:pPr>
    </w:p>
    <w:p w:rsidRPr="00563C3C" w:rsidR="00563C3C" w:rsidP="00563C3C" w:rsidRDefault="00563C3C" w14:paraId="5C5B82F7" w14:textId="77777777">
      <w:pPr>
        <w:ind w:firstLine="0"/>
        <w:rPr>
          <w:b/>
        </w:rPr>
      </w:pPr>
      <w:r w:rsidRPr="00563C3C">
        <w:rPr>
          <w:b/>
        </w:rPr>
        <w:t>Hemlig övervakning av elektronisk kommunikation (”teleövervakning”)</w:t>
      </w:r>
    </w:p>
    <w:p w:rsidR="00563C3C" w:rsidP="00563C3C" w:rsidRDefault="00563C3C" w14:paraId="5C5B82F8" w14:textId="77777777">
      <w:pPr>
        <w:ind w:firstLine="0"/>
      </w:pPr>
      <w:r>
        <w:t>Kvarstår som det är utformat i dagsläget, där föreskrivet straff f</w:t>
      </w:r>
      <w:r w:rsidR="00DA0E53">
        <w:t>ö</w:t>
      </w:r>
      <w:r>
        <w:t>r ett brott är minst sex månader.</w:t>
      </w:r>
    </w:p>
    <w:p w:rsidR="00563C3C" w:rsidP="00563C3C" w:rsidRDefault="00563C3C" w14:paraId="5C5B82F9" w14:textId="77777777">
      <w:pPr>
        <w:ind w:firstLine="0"/>
      </w:pPr>
    </w:p>
    <w:p w:rsidRPr="00563C3C" w:rsidR="00563C3C" w:rsidP="00563C3C" w:rsidRDefault="00563C3C" w14:paraId="5C5B82FA" w14:textId="77777777">
      <w:pPr>
        <w:ind w:firstLine="0"/>
        <w:rPr>
          <w:b/>
        </w:rPr>
      </w:pPr>
      <w:r w:rsidRPr="00563C3C">
        <w:rPr>
          <w:b/>
        </w:rPr>
        <w:t>Hemlig avlyssning av elektronisk kommunikation (”teleavlyssning”)</w:t>
      </w:r>
    </w:p>
    <w:p w:rsidR="00563C3C" w:rsidP="00563C3C" w:rsidRDefault="00563C3C" w14:paraId="5C5B82FB" w14:textId="77777777">
      <w:pPr>
        <w:ind w:firstLine="0"/>
      </w:pPr>
      <w:r>
        <w:lastRenderedPageBreak/>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00563C3C" w:rsidP="00563C3C" w:rsidRDefault="00563C3C" w14:paraId="5C5B82FC" w14:textId="77777777">
      <w:pPr>
        <w:ind w:firstLine="0"/>
      </w:pPr>
    </w:p>
    <w:p w:rsidRPr="00563C3C" w:rsidR="00563C3C" w:rsidP="00563C3C" w:rsidRDefault="00563C3C" w14:paraId="5C5B82FD" w14:textId="77777777">
      <w:pPr>
        <w:ind w:firstLine="0"/>
        <w:rPr>
          <w:b/>
        </w:rPr>
      </w:pPr>
      <w:r w:rsidRPr="00563C3C">
        <w:rPr>
          <w:b/>
        </w:rPr>
        <w:t>Hemlig kameraövervakning</w:t>
      </w:r>
    </w:p>
    <w:p w:rsidR="00563C3C" w:rsidP="00563C3C" w:rsidRDefault="00563C3C" w14:paraId="5C5B82FE" w14:textId="77777777">
      <w:pPr>
        <w:ind w:firstLine="0"/>
      </w:pPr>
      <w:r>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00563C3C" w:rsidP="00563C3C" w:rsidRDefault="00563C3C" w14:paraId="5C5B82FF" w14:textId="77777777">
      <w:pPr>
        <w:ind w:firstLine="0"/>
      </w:pPr>
    </w:p>
    <w:p w:rsidRPr="00563C3C" w:rsidR="00563C3C" w:rsidP="00563C3C" w:rsidRDefault="00563C3C" w14:paraId="5C5B8300" w14:textId="77777777">
      <w:pPr>
        <w:ind w:firstLine="0"/>
        <w:rPr>
          <w:b/>
        </w:rPr>
      </w:pPr>
      <w:r w:rsidRPr="00563C3C">
        <w:rPr>
          <w:b/>
        </w:rPr>
        <w:t>Hemlig rumsavlyssning (”buggning”)</w:t>
      </w:r>
    </w:p>
    <w:p w:rsidR="00563C3C" w:rsidP="00563C3C" w:rsidRDefault="00563C3C" w14:paraId="5C5B8301" w14:textId="77777777">
      <w:pPr>
        <w:ind w:firstLine="0"/>
      </w:pPr>
      <w:r>
        <w:t>Idag är kravet att det ska röra sig om brott för vilket inte är föreskrivet lindrigare straff än fyra års fängelse för att hemlig rumsavlyssning ska få användas eller brott där man antar att straffvärdet överstiger fyra år. Vi vill sänka dessa krav till två år för användning av detta tvångsmedel.</w:t>
      </w:r>
      <w:r>
        <w:br/>
      </w:r>
    </w:p>
    <w:p w:rsidR="009F0CC3" w:rsidP="009F0CC3" w:rsidRDefault="00563C3C" w14:paraId="5C5B8302" w14:textId="77777777">
      <w:pPr>
        <w:ind w:firstLine="0"/>
        <w:rPr>
          <w:b/>
        </w:rPr>
      </w:pPr>
      <w:r w:rsidRPr="00563C3C">
        <w:rPr>
          <w:b/>
        </w:rPr>
        <w:t>Överskottsinformation vid hemlig rumsavlyssning</w:t>
      </w:r>
    </w:p>
    <w:p w:rsidR="000D157F" w:rsidP="000D157F" w:rsidRDefault="000D157F" w14:paraId="5C5B8303" w14:textId="1D20BC3A">
      <w:pPr>
        <w:ind w:firstLine="0"/>
      </w:pPr>
      <w:r>
        <w:t>Som nämnt ovan välkomnar vi de förbättringar som görs rörande överskottsinformation vid hemlig rumsavlyssning, något vi efterfrågat under flera år. Vi</w:t>
      </w:r>
      <w:r w:rsidR="00245497">
        <w:t xml:space="preserve"> ser dock ingen anledning till att</w:t>
      </w:r>
      <w:r>
        <w:t xml:space="preserve"> överskottsinformationen inte ska kunna användas under samma pr</w:t>
      </w:r>
      <w:r w:rsidR="00DA0E53">
        <w:t xml:space="preserve">emisser som övriga tvångsmedel och föreslår därför </w:t>
      </w:r>
      <w:r>
        <w:t>att förundersökning eller motsvarande utredning om brottet får inledas om det är föreskrivet fängelse i ett år eller däröver.</w:t>
      </w:r>
    </w:p>
    <w:p w:rsidR="000D157F" w:rsidP="000D157F" w:rsidRDefault="000D157F" w14:paraId="5C5B8304" w14:textId="77777777">
      <w:pPr>
        <w:ind w:firstLine="0"/>
      </w:pPr>
    </w:p>
    <w:p w:rsidRPr="009F0CC3" w:rsidR="000D157F" w:rsidP="000D157F" w:rsidRDefault="000D157F" w14:paraId="5C5B8305" w14:textId="77777777">
      <w:pPr>
        <w:ind w:firstLine="0"/>
      </w:pPr>
    </w:p>
    <w:sdt>
      <w:sdtPr>
        <w:alias w:val="CC_Underskrifter"/>
        <w:tag w:val="CC_Underskrifter"/>
        <w:id w:val="583496634"/>
        <w:lock w:val="sdtContentLocked"/>
        <w:placeholder>
          <w:docPart w:val="BEE6EBC7C2174F6D805D430D9838878C"/>
        </w:placeholder>
        <w15:appearance w15:val="hidden"/>
      </w:sdtPr>
      <w:sdtEndPr/>
      <w:sdtContent>
        <w:p w:rsidRPr="009E153C" w:rsidR="00865E70" w:rsidP="004975DE" w:rsidRDefault="004975DE" w14:paraId="5C5B83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0036D4" w:rsidRDefault="000036D4" w14:paraId="5C5B830A" w14:textId="77777777"/>
    <w:sectPr w:rsidR="000036D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B830C" w14:textId="77777777" w:rsidR="009F0CC3" w:rsidRDefault="009F0CC3" w:rsidP="000C1CAD">
      <w:pPr>
        <w:spacing w:line="240" w:lineRule="auto"/>
      </w:pPr>
      <w:r>
        <w:separator/>
      </w:r>
    </w:p>
  </w:endnote>
  <w:endnote w:type="continuationSeparator" w:id="0">
    <w:p w14:paraId="5C5B830D" w14:textId="77777777" w:rsidR="009F0CC3" w:rsidRDefault="009F0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E0C4D" w14:textId="77777777" w:rsidR="00CE522C" w:rsidRDefault="00CE52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831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522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8318" w14:textId="77777777" w:rsidR="00C964DB" w:rsidRDefault="00C964DB">
    <w:pPr>
      <w:pStyle w:val="Sidfot"/>
    </w:pPr>
    <w:r>
      <w:fldChar w:fldCharType="begin"/>
    </w:r>
    <w:r>
      <w:instrText xml:space="preserve"> PRINTDATE  \@ "yyyy-MM-dd HH:mm"  \* MERGEFORMAT </w:instrText>
    </w:r>
    <w:r>
      <w:fldChar w:fldCharType="separate"/>
    </w:r>
    <w:r>
      <w:rPr>
        <w:noProof/>
      </w:rPr>
      <w:t>2014-10-06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B830A" w14:textId="77777777" w:rsidR="009F0CC3" w:rsidRDefault="009F0CC3" w:rsidP="000C1CAD">
      <w:pPr>
        <w:spacing w:line="240" w:lineRule="auto"/>
      </w:pPr>
      <w:r>
        <w:separator/>
      </w:r>
    </w:p>
  </w:footnote>
  <w:footnote w:type="continuationSeparator" w:id="0">
    <w:p w14:paraId="5C5B830B" w14:textId="77777777" w:rsidR="009F0CC3" w:rsidRDefault="009F0CC3" w:rsidP="000C1CAD">
      <w:pPr>
        <w:spacing w:line="240" w:lineRule="auto"/>
      </w:pPr>
      <w:r>
        <w:continuationSeparator/>
      </w:r>
    </w:p>
  </w:footnote>
  <w:footnote w:id="1">
    <w:p w14:paraId="5C5B8319" w14:textId="73734FF1" w:rsidR="009F0CC3" w:rsidRDefault="009F0CC3" w:rsidP="009F0CC3">
      <w:pPr>
        <w:pStyle w:val="Fotnotstext"/>
      </w:pPr>
      <w:r>
        <w:rPr>
          <w:rStyle w:val="Fotnotsreferens"/>
        </w:rPr>
        <w:footnoteRef/>
      </w:r>
      <w:r>
        <w:t xml:space="preserve"> Skr. 2011/12:39</w:t>
      </w:r>
      <w:r w:rsidR="00245497">
        <w:t>.</w:t>
      </w:r>
    </w:p>
  </w:footnote>
  <w:footnote w:id="2">
    <w:p w14:paraId="5C5B831A" w14:textId="29CEC3F1" w:rsidR="009F0CC3" w:rsidRDefault="009F0CC3">
      <w:pPr>
        <w:pStyle w:val="Fotnotstext"/>
      </w:pPr>
      <w:r>
        <w:rPr>
          <w:rStyle w:val="Fotnotsreferens"/>
        </w:rPr>
        <w:footnoteRef/>
      </w:r>
      <w:r>
        <w:t xml:space="preserve"> </w:t>
      </w:r>
      <w:r w:rsidRPr="009F0CC3">
        <w:t>Bekämpningen av organiserad brottslighet, Brå 2011</w:t>
      </w:r>
      <w:r w:rsidR="00245497">
        <w:t>,</w:t>
      </w:r>
      <w:r w:rsidRPr="009F0CC3">
        <w:t xml:space="preserve"> s. 9.</w:t>
      </w:r>
    </w:p>
  </w:footnote>
  <w:footnote w:id="3">
    <w:p w14:paraId="5C5B831B" w14:textId="2BBFDC76" w:rsidR="009F0CC3" w:rsidRDefault="009F0CC3">
      <w:pPr>
        <w:pStyle w:val="Fotnotstext"/>
      </w:pPr>
      <w:r>
        <w:rPr>
          <w:rStyle w:val="Fotnotsreferens"/>
        </w:rPr>
        <w:footnoteRef/>
      </w:r>
      <w:r>
        <w:t xml:space="preserve"> </w:t>
      </w:r>
      <w:r w:rsidRPr="009F0CC3">
        <w:t>http://www.sydsvenskan.se/danmark/polisen-loser-gangmorden</w:t>
      </w:r>
      <w:r w:rsidR="0024549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2C" w:rsidRDefault="00CE522C" w14:paraId="2DAB57B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2C" w:rsidRDefault="00CE522C" w14:paraId="186D37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C5B831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964DB">
      <w:rPr>
        <w:rStyle w:val="Platshllartext"/>
        <w:color w:val="auto"/>
      </w:rPr>
      <w:t>SD158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CE522C" w14:paraId="5C5B8314" w14:textId="295AAFEE">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39</w:t>
        </w:r>
      </w:sdtContent>
    </w:sdt>
  </w:p>
  <w:p w:rsidR="00C850B3" w:rsidP="00283E0F" w:rsidRDefault="00CE522C" w14:paraId="5C5B8315"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C850B3" w:rsidP="00283E0F" w:rsidRDefault="00345F70" w14:paraId="5C5B8316" w14:textId="474453B9">
        <w:pPr>
          <w:pStyle w:val="FSHRub2"/>
        </w:pPr>
        <w:r>
          <w:t>med anledning av prop. 2013/14:237 Hemliga tvångsmedel mot allvarliga brott</w:t>
        </w:r>
      </w:p>
    </w:sdtContent>
  </w:sdt>
  <w:sdt>
    <w:sdtPr>
      <w:alias w:val="CC_Boilerplate_3"/>
      <w:tag w:val="CC_Boilerplate_3"/>
      <w:id w:val="-1567486118"/>
      <w:lock w:val="sdtContentLocked"/>
      <w15:appearance w15:val="hidden"/>
      <w:text w:multiLine="1"/>
    </w:sdtPr>
    <w:sdtEndPr/>
    <w:sdtContent>
      <w:p w:rsidR="00C850B3" w:rsidP="00283E0F" w:rsidRDefault="00C850B3" w14:paraId="5C5B83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9F0CC3"/>
    <w:rsid w:val="000036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57F"/>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21C"/>
    <w:rsid w:val="00233501"/>
    <w:rsid w:val="002369C4"/>
    <w:rsid w:val="00237A4F"/>
    <w:rsid w:val="00237EA6"/>
    <w:rsid w:val="0024549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F7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3ECA"/>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975DE"/>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0320"/>
    <w:rsid w:val="005315D0"/>
    <w:rsid w:val="00535EE7"/>
    <w:rsid w:val="00536192"/>
    <w:rsid w:val="00536C91"/>
    <w:rsid w:val="00537502"/>
    <w:rsid w:val="005376A1"/>
    <w:rsid w:val="00542806"/>
    <w:rsid w:val="005518E6"/>
    <w:rsid w:val="00552AFC"/>
    <w:rsid w:val="00553508"/>
    <w:rsid w:val="00555C97"/>
    <w:rsid w:val="00557C3D"/>
    <w:rsid w:val="00563C3C"/>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0E6"/>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69E"/>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A28"/>
    <w:rsid w:val="009223E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6C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CC3"/>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8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1E74"/>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288"/>
    <w:rsid w:val="00B63A7C"/>
    <w:rsid w:val="00B63CF7"/>
    <w:rsid w:val="00B65DB1"/>
    <w:rsid w:val="00B67469"/>
    <w:rsid w:val="00B71138"/>
    <w:rsid w:val="00B718D2"/>
    <w:rsid w:val="00B728B6"/>
    <w:rsid w:val="00B737C6"/>
    <w:rsid w:val="00B73A19"/>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068"/>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4D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2C"/>
    <w:rsid w:val="00CE7274"/>
    <w:rsid w:val="00CF4519"/>
    <w:rsid w:val="00D03CE4"/>
    <w:rsid w:val="00D047CF"/>
    <w:rsid w:val="00D12A28"/>
    <w:rsid w:val="00D131C0"/>
    <w:rsid w:val="00D15950"/>
    <w:rsid w:val="00D17F21"/>
    <w:rsid w:val="00D2384D"/>
    <w:rsid w:val="00D3037D"/>
    <w:rsid w:val="00D3230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E53"/>
    <w:rsid w:val="00DA451B"/>
    <w:rsid w:val="00DA5731"/>
    <w:rsid w:val="00DA5854"/>
    <w:rsid w:val="00DA6396"/>
    <w:rsid w:val="00DA7F72"/>
    <w:rsid w:val="00DB65E8"/>
    <w:rsid w:val="00DB7E7F"/>
    <w:rsid w:val="00DC668D"/>
    <w:rsid w:val="00DD783E"/>
    <w:rsid w:val="00DE3D8E"/>
    <w:rsid w:val="00DE524A"/>
    <w:rsid w:val="00DE5C0B"/>
    <w:rsid w:val="00DF00C2"/>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3E3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5B82E8"/>
  <w15:chartTrackingRefBased/>
  <w15:docId w15:val="{A125459F-B14A-4E22-8F60-2D3C038A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F0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39201">
      <w:bodyDiv w:val="1"/>
      <w:marLeft w:val="0"/>
      <w:marRight w:val="0"/>
      <w:marTop w:val="0"/>
      <w:marBottom w:val="0"/>
      <w:divBdr>
        <w:top w:val="none" w:sz="0" w:space="0" w:color="auto"/>
        <w:left w:val="none" w:sz="0" w:space="0" w:color="auto"/>
        <w:bottom w:val="none" w:sz="0" w:space="0" w:color="auto"/>
        <w:right w:val="none" w:sz="0" w:space="0" w:color="auto"/>
      </w:divBdr>
    </w:div>
    <w:div w:id="1039090063">
      <w:bodyDiv w:val="1"/>
      <w:marLeft w:val="0"/>
      <w:marRight w:val="0"/>
      <w:marTop w:val="0"/>
      <w:marBottom w:val="0"/>
      <w:divBdr>
        <w:top w:val="none" w:sz="0" w:space="0" w:color="auto"/>
        <w:left w:val="none" w:sz="0" w:space="0" w:color="auto"/>
        <w:bottom w:val="none" w:sz="0" w:space="0" w:color="auto"/>
        <w:right w:val="none" w:sz="0" w:space="0" w:color="auto"/>
      </w:divBdr>
    </w:div>
    <w:div w:id="1191341617">
      <w:bodyDiv w:val="1"/>
      <w:marLeft w:val="0"/>
      <w:marRight w:val="0"/>
      <w:marTop w:val="0"/>
      <w:marBottom w:val="0"/>
      <w:divBdr>
        <w:top w:val="none" w:sz="0" w:space="0" w:color="auto"/>
        <w:left w:val="none" w:sz="0" w:space="0" w:color="auto"/>
        <w:bottom w:val="none" w:sz="0" w:space="0" w:color="auto"/>
        <w:right w:val="none" w:sz="0" w:space="0" w:color="auto"/>
      </w:divBdr>
    </w:div>
    <w:div w:id="1829399190">
      <w:bodyDiv w:val="1"/>
      <w:marLeft w:val="0"/>
      <w:marRight w:val="0"/>
      <w:marTop w:val="0"/>
      <w:marBottom w:val="0"/>
      <w:divBdr>
        <w:top w:val="none" w:sz="0" w:space="0" w:color="auto"/>
        <w:left w:val="none" w:sz="0" w:space="0" w:color="auto"/>
        <w:bottom w:val="none" w:sz="0" w:space="0" w:color="auto"/>
        <w:right w:val="none" w:sz="0" w:space="0" w:color="auto"/>
      </w:divBdr>
      <w:divsChild>
        <w:div w:id="741949752">
          <w:marLeft w:val="0"/>
          <w:marRight w:val="0"/>
          <w:marTop w:val="0"/>
          <w:marBottom w:val="25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397E8DFC7B47A4BF949A2AE7523BD7"/>
        <w:category>
          <w:name w:val="Allmänt"/>
          <w:gallery w:val="placeholder"/>
        </w:category>
        <w:types>
          <w:type w:val="bbPlcHdr"/>
        </w:types>
        <w:behaviors>
          <w:behavior w:val="content"/>
        </w:behaviors>
        <w:guid w:val="{FE105630-BC51-47F0-9698-EFEA57F501D9}"/>
      </w:docPartPr>
      <w:docPartBody>
        <w:p w:rsidR="0084591A" w:rsidRDefault="0084591A">
          <w:pPr>
            <w:pStyle w:val="00397E8DFC7B47A4BF949A2AE7523BD7"/>
          </w:pPr>
          <w:r w:rsidRPr="009A726D">
            <w:rPr>
              <w:rStyle w:val="Platshllartext"/>
            </w:rPr>
            <w:t>Klicka här för att ange text.</w:t>
          </w:r>
        </w:p>
      </w:docPartBody>
    </w:docPart>
    <w:docPart>
      <w:docPartPr>
        <w:name w:val="BEE6EBC7C2174F6D805D430D9838878C"/>
        <w:category>
          <w:name w:val="Allmänt"/>
          <w:gallery w:val="placeholder"/>
        </w:category>
        <w:types>
          <w:type w:val="bbPlcHdr"/>
        </w:types>
        <w:behaviors>
          <w:behavior w:val="content"/>
        </w:behaviors>
        <w:guid w:val="{4B3DA673-BFC9-4DAC-BA13-81DD8C96F1F9}"/>
      </w:docPartPr>
      <w:docPartBody>
        <w:p w:rsidR="0084591A" w:rsidRDefault="0084591A">
          <w:pPr>
            <w:pStyle w:val="BEE6EBC7C2174F6D805D430D983887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1A"/>
    <w:rsid w:val="00845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397E8DFC7B47A4BF949A2AE7523BD7">
    <w:name w:val="00397E8DFC7B47A4BF949A2AE7523BD7"/>
  </w:style>
  <w:style w:type="paragraph" w:customStyle="1" w:styleId="DF895DB7E38E4FAA89B7EA074A23DE6E">
    <w:name w:val="DF895DB7E38E4FAA89B7EA074A23DE6E"/>
  </w:style>
  <w:style w:type="paragraph" w:customStyle="1" w:styleId="BEE6EBC7C2174F6D805D430D9838878C">
    <w:name w:val="BEE6EBC7C2174F6D805D430D98388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43</RubrikLookup>
    <MotionGuid xmlns="00d11361-0b92-4bae-a181-288d6a55b763">ca49f1eb-b322-427a-9945-da006f2e23de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B701-E8EE-4719-8F78-BCFCDB3C9186}"/>
</file>

<file path=customXml/itemProps2.xml><?xml version="1.0" encoding="utf-8"?>
<ds:datastoreItem xmlns:ds="http://schemas.openxmlformats.org/officeDocument/2006/customXml" ds:itemID="{87284967-64F9-4CFE-8C75-14CDCD076319}"/>
</file>

<file path=customXml/itemProps3.xml><?xml version="1.0" encoding="utf-8"?>
<ds:datastoreItem xmlns:ds="http://schemas.openxmlformats.org/officeDocument/2006/customXml" ds:itemID="{3B1E1C81-3488-4F8A-95E1-9AD5E9537E9E}"/>
</file>

<file path=customXml/itemProps4.xml><?xml version="1.0" encoding="utf-8"?>
<ds:datastoreItem xmlns:ds="http://schemas.openxmlformats.org/officeDocument/2006/customXml" ds:itemID="{B18307D0-5C32-4E67-8E29-C1CC43F43D93}"/>
</file>

<file path=docProps/app.xml><?xml version="1.0" encoding="utf-8"?>
<Properties xmlns="http://schemas.openxmlformats.org/officeDocument/2006/extended-properties" xmlns:vt="http://schemas.openxmlformats.org/officeDocument/2006/docPropsVTypes">
  <Template>GranskaMot</Template>
  <TotalTime>58</TotalTime>
  <Pages>3</Pages>
  <Words>636</Words>
  <Characters>3831</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 med anledning av 2013 14 237 Hemliga tvångsmedel mot allvarliga brott</vt:lpstr>
      <vt:lpstr/>
    </vt:vector>
  </TitlesOfParts>
  <Company>Riksdagen</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201415SD158 med anledning av 2013 14 237 Hemliga tvångsmedel mot allvarliga brott</dc:title>
  <dc:subject/>
  <dc:creator>It-avdelningen</dc:creator>
  <cp:keywords/>
  <dc:description/>
  <cp:lastModifiedBy>Sofie Verdin</cp:lastModifiedBy>
  <cp:revision>20</cp:revision>
  <cp:lastPrinted>2014-10-06T13:00:00Z</cp:lastPrinted>
  <dcterms:created xsi:type="dcterms:W3CDTF">2014-10-06T10:17:00Z</dcterms:created>
  <dcterms:modified xsi:type="dcterms:W3CDTF">2016-07-08T07:41:00Z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6 oktober 2014</vt:lpwstr>
  </property>
  <property fmtid="{D5CDD505-2E9C-101B-9397-08002B2CF9AE}" pid="6" name="avsändar-e-post">
    <vt:lpwstr>kent.ekeroth@riksdagen.se </vt:lpwstr>
  </property>
  <property fmtid="{D5CDD505-2E9C-101B-9397-08002B2CF9AE}" pid="7" name="Checksum">
    <vt:lpwstr>*TCA5B7F212112*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SD158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http://filur.riksdagen.se/drop/DropOffLibrary/TCA5B7F212112.docx</vt:lpwstr>
  </property>
  <property fmtid="{D5CDD505-2E9C-101B-9397-08002B2CF9AE}" pid="22" name="RevisionsOn">
    <vt:lpwstr>1</vt:lpwstr>
  </property>
</Properties>
</file>