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53819">
        <w:tblPrEx>
          <w:tblCellMar>
            <w:top w:w="0" w:type="dxa"/>
            <w:left w:w="0" w:type="dxa"/>
            <w:bottom w:w="0" w:type="dxa"/>
            <w:right w:w="0" w:type="dxa"/>
          </w:tblCellMar>
        </w:tblPrEx>
        <w:trPr>
          <w:gridAfter w:val="2"/>
          <w:wAfter w:w="1758" w:type="dxa"/>
          <w:cantSplit/>
          <w:trHeight w:val="1320"/>
        </w:trPr>
        <w:tc>
          <w:tcPr>
            <w:tcW w:w="5897" w:type="dxa"/>
          </w:tcPr>
          <w:p w:rsidR="006B29A2" w:rsidRPr="00453819" w:rsidRDefault="006B29A2">
            <w:pPr>
              <w:pStyle w:val="HuvudRubrik"/>
            </w:pPr>
            <w:r w:rsidRPr="00453819">
              <w:t>Regeringskansliet</w:t>
            </w:r>
          </w:p>
          <w:p w:rsidR="006B29A2" w:rsidRPr="00453819" w:rsidRDefault="006B29A2">
            <w:pPr>
              <w:pStyle w:val="HuvudRubrik"/>
            </w:pPr>
            <w:r w:rsidRPr="00453819">
              <w:t xml:space="preserve">Faktapromemoria </w:t>
            </w:r>
            <w:r w:rsidRPr="00453819">
              <w:t>2006/07</w:t>
            </w:r>
            <w:r w:rsidRPr="00453819">
              <w:t>:</w:t>
            </w:r>
            <w:r w:rsidRPr="00453819">
              <w:t>FPM112</w:t>
            </w:r>
          </w:p>
        </w:tc>
      </w:tr>
      <w:tr w:rsidR="00000000" w:rsidRPr="00453819">
        <w:tblPrEx>
          <w:tblCellMar>
            <w:top w:w="0" w:type="dxa"/>
            <w:left w:w="0" w:type="dxa"/>
            <w:bottom w:w="0" w:type="dxa"/>
            <w:right w:w="0" w:type="dxa"/>
          </w:tblCellMar>
        </w:tblPrEx>
        <w:trPr>
          <w:gridAfter w:val="2"/>
          <w:wAfter w:w="1758" w:type="dxa"/>
          <w:cantSplit/>
          <w:trHeight w:val="240"/>
        </w:trPr>
        <w:tc>
          <w:tcPr>
            <w:tcW w:w="5897" w:type="dxa"/>
          </w:tcPr>
          <w:p w:rsidR="006B29A2" w:rsidRPr="00453819" w:rsidRDefault="006B29A2">
            <w:pPr>
              <w:pStyle w:val="HuvudRubrik"/>
              <w:rPr>
                <w:sz w:val="28"/>
              </w:rPr>
            </w:pPr>
            <w:r w:rsidRPr="00453819">
              <w:t>Vitboken om EU och idrotten</w:t>
            </w:r>
          </w:p>
        </w:tc>
      </w:tr>
      <w:tr w:rsidR="006D4AA5" w:rsidRPr="00453819">
        <w:tblPrEx>
          <w:tblCellMar>
            <w:top w:w="0" w:type="dxa"/>
            <w:left w:w="0" w:type="dxa"/>
            <w:bottom w:w="0" w:type="dxa"/>
            <w:right w:w="0" w:type="dxa"/>
          </w:tblCellMar>
        </w:tblPrEx>
        <w:trPr>
          <w:cantSplit/>
          <w:trHeight w:val="285"/>
        </w:trPr>
        <w:tc>
          <w:tcPr>
            <w:tcW w:w="7655" w:type="dxa"/>
            <w:gridSpan w:val="3"/>
          </w:tcPr>
          <w:p w:rsidR="006D4AA5" w:rsidRPr="00453819" w:rsidRDefault="00FE6AFB">
            <w:pPr>
              <w:pStyle w:val="Departement"/>
              <w:rPr>
                <w:sz w:val="28"/>
              </w:rPr>
            </w:pPr>
            <w:r w:rsidRPr="00453819">
              <w:t>Kulturdepartementet</w:t>
            </w:r>
          </w:p>
        </w:tc>
      </w:tr>
      <w:tr w:rsidR="006D4AA5" w:rsidRPr="00453819">
        <w:tblPrEx>
          <w:tblCellMar>
            <w:top w:w="0" w:type="dxa"/>
            <w:left w:w="0" w:type="dxa"/>
            <w:bottom w:w="0" w:type="dxa"/>
            <w:right w:w="0" w:type="dxa"/>
          </w:tblCellMar>
        </w:tblPrEx>
        <w:trPr>
          <w:cantSplit/>
          <w:trHeight w:val="240"/>
        </w:trPr>
        <w:tc>
          <w:tcPr>
            <w:tcW w:w="7655" w:type="dxa"/>
            <w:gridSpan w:val="3"/>
          </w:tcPr>
          <w:p w:rsidR="006D4AA5" w:rsidRPr="00453819" w:rsidRDefault="00FE6AFB">
            <w:pPr>
              <w:pStyle w:val="Dokumentdatum"/>
            </w:pPr>
            <w:r w:rsidRPr="00453819">
              <w:t>2007-08-24</w:t>
            </w:r>
          </w:p>
        </w:tc>
      </w:tr>
      <w:tr w:rsidR="006D4AA5" w:rsidRPr="00453819">
        <w:tblPrEx>
          <w:tblCellMar>
            <w:top w:w="0" w:type="dxa"/>
            <w:left w:w="0" w:type="dxa"/>
            <w:bottom w:w="0" w:type="dxa"/>
            <w:right w:w="0" w:type="dxa"/>
          </w:tblCellMar>
        </w:tblPrEx>
        <w:trPr>
          <w:cantSplit/>
          <w:trHeight w:val="726"/>
        </w:trPr>
        <w:tc>
          <w:tcPr>
            <w:tcW w:w="7655" w:type="dxa"/>
            <w:gridSpan w:val="3"/>
            <w:vAlign w:val="bottom"/>
          </w:tcPr>
          <w:p w:rsidR="006D4AA5" w:rsidRPr="00453819" w:rsidRDefault="006D4AA5">
            <w:pPr>
              <w:pStyle w:val="Dokumentbeteckning"/>
            </w:pPr>
            <w:r w:rsidRPr="00453819">
              <w:t>Dokumentbeteckning</w:t>
            </w:r>
          </w:p>
        </w:tc>
      </w:tr>
      <w:tr w:rsidR="003A7E78" w:rsidRPr="00453819">
        <w:tblPrEx>
          <w:tblCellMar>
            <w:top w:w="0" w:type="dxa"/>
            <w:left w:w="0" w:type="dxa"/>
            <w:bottom w:w="0" w:type="dxa"/>
            <w:right w:w="0" w:type="dxa"/>
          </w:tblCellMar>
        </w:tblPrEx>
        <w:trPr>
          <w:gridAfter w:val="1"/>
          <w:wAfter w:w="1560" w:type="dxa"/>
          <w:trHeight w:val="120"/>
        </w:trPr>
        <w:tc>
          <w:tcPr>
            <w:tcW w:w="6095" w:type="dxa"/>
            <w:gridSpan w:val="2"/>
          </w:tcPr>
          <w:p w:rsidR="003A7E78" w:rsidRPr="00453819" w:rsidRDefault="00FE6AFB" w:rsidP="00FE6AFB">
            <w:bookmarkStart w:id="0" w:name="KomNr"/>
            <w:bookmarkEnd w:id="0"/>
            <w:r w:rsidRPr="00453819">
              <w:t>KOM (2007) 391 slutlig</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pPr>
              <w:pStyle w:val="Dokumentbeteckning-titel"/>
            </w:pPr>
            <w:r w:rsidRPr="00453819">
              <w:t>Vitbok om idrott</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r w:rsidRPr="00453819">
              <w:t>SEC (2007) 932</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pPr>
              <w:pStyle w:val="Dokumentbeteckning-titel"/>
            </w:pPr>
            <w:r w:rsidRPr="00453819">
              <w:t xml:space="preserve"> </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r w:rsidRPr="00453819">
              <w:t>SEC (2007) 934</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pPr>
              <w:pStyle w:val="Dokumentbeteckning-titel"/>
            </w:pPr>
            <w:r w:rsidRPr="00453819">
              <w:t xml:space="preserve"> </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r w:rsidRPr="00453819">
              <w:t>SEC (2007) 935</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pPr>
              <w:pStyle w:val="Dokumentbeteckning-titel"/>
            </w:pPr>
            <w:r w:rsidRPr="00453819">
              <w:t xml:space="preserve"> </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r w:rsidRPr="00453819">
              <w:t>SEC (2007) 936</w:t>
            </w:r>
          </w:p>
        </w:tc>
      </w:tr>
      <w:tr w:rsidR="00FE6AFB" w:rsidRPr="00453819">
        <w:tblPrEx>
          <w:tblCellMar>
            <w:top w:w="0" w:type="dxa"/>
            <w:left w:w="0" w:type="dxa"/>
            <w:bottom w:w="0" w:type="dxa"/>
            <w:right w:w="0" w:type="dxa"/>
          </w:tblCellMar>
        </w:tblPrEx>
        <w:trPr>
          <w:gridAfter w:val="1"/>
          <w:wAfter w:w="1560" w:type="dxa"/>
          <w:trHeight w:val="120"/>
        </w:trPr>
        <w:tc>
          <w:tcPr>
            <w:tcW w:w="6095" w:type="dxa"/>
            <w:gridSpan w:val="2"/>
          </w:tcPr>
          <w:p w:rsidR="00FE6AFB" w:rsidRPr="00453819" w:rsidRDefault="00FE6AFB" w:rsidP="00FE6AFB">
            <w:pPr>
              <w:pStyle w:val="Dokumentbeteckning-titel"/>
            </w:pPr>
            <w:r w:rsidRPr="00453819">
              <w:t xml:space="preserve"> </w:t>
            </w:r>
          </w:p>
        </w:tc>
      </w:tr>
    </w:tbl>
    <w:p w:rsidR="006D4AA5" w:rsidRPr="00453819" w:rsidRDefault="006D4AA5">
      <w:pPr>
        <w:pStyle w:val="Rubrik1"/>
        <w:numPr>
          <w:ilvl w:val="0"/>
          <w:numId w:val="0"/>
        </w:numPr>
      </w:pPr>
      <w:r w:rsidRPr="00453819">
        <w:t>Sammanfattning</w:t>
      </w:r>
    </w:p>
    <w:p w:rsidR="00B13759" w:rsidRPr="00453819" w:rsidRDefault="00BB05CD" w:rsidP="00B13759">
      <w:r w:rsidRPr="00453819">
        <w:t>Vitboken om idrott</w:t>
      </w:r>
      <w:r w:rsidR="00242DD9" w:rsidRPr="00453819">
        <w:t xml:space="preserve"> utgör det första</w:t>
      </w:r>
      <w:r w:rsidR="00242DD9" w:rsidRPr="00453819">
        <w:rPr>
          <w:b/>
        </w:rPr>
        <w:t xml:space="preserve"> </w:t>
      </w:r>
      <w:r w:rsidR="00242DD9" w:rsidRPr="00453819">
        <w:t>övergripande initiativet inom idrottsområdet och</w:t>
      </w:r>
      <w:r w:rsidRPr="00453819">
        <w:t xml:space="preserve"> </w:t>
      </w:r>
      <w:r w:rsidR="00D23AEF" w:rsidRPr="00453819">
        <w:t>syftar till att</w:t>
      </w:r>
      <w:r w:rsidR="009B6406" w:rsidRPr="00453819">
        <w:t xml:space="preserve"> på</w:t>
      </w:r>
      <w:r w:rsidRPr="00453819">
        <w:t xml:space="preserve"> ett</w:t>
      </w:r>
      <w:r w:rsidR="009B6406" w:rsidRPr="00453819">
        <w:t xml:space="preserve"> samlat sätt </w:t>
      </w:r>
      <w:r w:rsidR="00A03969" w:rsidRPr="00453819">
        <w:t>behandla idrottsrel</w:t>
      </w:r>
      <w:r w:rsidR="00242DD9" w:rsidRPr="00453819">
        <w:t>aterade frågor inom EU-arbetet</w:t>
      </w:r>
      <w:r w:rsidR="004C4DE7" w:rsidRPr="00453819">
        <w:t>.</w:t>
      </w:r>
      <w:r w:rsidR="00B13759" w:rsidRPr="00453819">
        <w:t xml:space="preserve"> </w:t>
      </w:r>
      <w:r w:rsidR="00A03969" w:rsidRPr="00453819">
        <w:t>De</w:t>
      </w:r>
      <w:r w:rsidR="00242DD9" w:rsidRPr="00453819">
        <w:t>t övergripande syftet</w:t>
      </w:r>
      <w:r w:rsidR="00A03969" w:rsidRPr="00453819">
        <w:t xml:space="preserve"> med vitboken är att tillhandahålla strategisk </w:t>
      </w:r>
      <w:r w:rsidR="00B13759" w:rsidRPr="00453819">
        <w:t>vägledning</w:t>
      </w:r>
      <w:r w:rsidR="00A03969" w:rsidRPr="00453819">
        <w:t xml:space="preserve"> </w:t>
      </w:r>
      <w:r w:rsidR="00B13759" w:rsidRPr="00453819">
        <w:t>för</w:t>
      </w:r>
      <w:r w:rsidR="00A03969" w:rsidRPr="00453819">
        <w:t xml:space="preserve"> idrottens roll i Europa, att uppmuntra</w:t>
      </w:r>
      <w:r w:rsidR="00B13759" w:rsidRPr="00453819">
        <w:t xml:space="preserve"> till </w:t>
      </w:r>
      <w:r w:rsidR="00A03969" w:rsidRPr="00453819">
        <w:t>diskussion runt särskilda problem</w:t>
      </w:r>
      <w:r w:rsidR="00B13759" w:rsidRPr="00453819">
        <w:t>områden</w:t>
      </w:r>
      <w:r w:rsidR="00A03969" w:rsidRPr="00453819">
        <w:t xml:space="preserve">, att tydliggöra idrotten inom EU-politiken och att öka medvetenheten om idrottens behov och </w:t>
      </w:r>
      <w:r w:rsidR="00F310A0" w:rsidRPr="00453819">
        <w:t xml:space="preserve">särdrag. </w:t>
      </w:r>
      <w:r w:rsidR="00B910BC" w:rsidRPr="00453819">
        <w:t>Kommissionen</w:t>
      </w:r>
      <w:r w:rsidR="00242DD9" w:rsidRPr="00453819">
        <w:t xml:space="preserve">s </w:t>
      </w:r>
      <w:r w:rsidR="003E631C" w:rsidRPr="00453819">
        <w:t>avsikt</w:t>
      </w:r>
      <w:r w:rsidR="00B910BC" w:rsidRPr="00453819">
        <w:t xml:space="preserve"> </w:t>
      </w:r>
      <w:r w:rsidR="003E631C" w:rsidRPr="00453819">
        <w:t>med vitboken är att behandla och bemöta</w:t>
      </w:r>
      <w:r w:rsidR="00B910BC" w:rsidRPr="00453819">
        <w:t xml:space="preserve"> olika intressenters förväntningar till den del de </w:t>
      </w:r>
      <w:r w:rsidR="00CD2BC2" w:rsidRPr="00453819">
        <w:t>bedöms vara</w:t>
      </w:r>
      <w:r w:rsidR="00B910BC" w:rsidRPr="00453819">
        <w:t xml:space="preserve"> realistiska, proportionerliga och inte försvagar EG-rättens tillämpning inom idrottsområdet.</w:t>
      </w:r>
    </w:p>
    <w:p w:rsidR="00B13759" w:rsidRPr="00453819" w:rsidRDefault="00FE3516" w:rsidP="00B13759">
      <w:r w:rsidRPr="00453819">
        <w:t>K</w:t>
      </w:r>
      <w:r w:rsidR="004C4DE7" w:rsidRPr="00453819">
        <w:t>ommissionen</w:t>
      </w:r>
      <w:r w:rsidR="00B13759" w:rsidRPr="00453819">
        <w:t xml:space="preserve"> </w:t>
      </w:r>
      <w:r w:rsidRPr="00453819">
        <w:t xml:space="preserve">anser att vitboken tar </w:t>
      </w:r>
      <w:r w:rsidR="00B13759" w:rsidRPr="00453819">
        <w:t xml:space="preserve">hänsyn till subsidiaritetsprincipen, idrottsorganisationernas självständighet och EU:s nu gällande juridiska ram. </w:t>
      </w:r>
      <w:r w:rsidR="004C4DE7" w:rsidRPr="00453819">
        <w:t>Kommissionen</w:t>
      </w:r>
      <w:r w:rsidR="00B13759" w:rsidRPr="00453819">
        <w:t xml:space="preserve"> utvecklar begreppet om idrottens </w:t>
      </w:r>
      <w:r w:rsidR="00B32111" w:rsidRPr="00453819">
        <w:t>särart</w:t>
      </w:r>
      <w:r w:rsidR="00B13759" w:rsidRPr="00453819">
        <w:t xml:space="preserve"> inom gränserna för EU:s aktuella befogenheter och sammanfattar </w:t>
      </w:r>
      <w:r w:rsidR="004C4DE7" w:rsidRPr="00453819">
        <w:t xml:space="preserve">i ett bilagt bakgrundsdokument </w:t>
      </w:r>
      <w:r w:rsidR="00B13759" w:rsidRPr="00453819">
        <w:t>EG-domstolens rättspraxis och kommissionens beslut inom idrott</w:t>
      </w:r>
      <w:r w:rsidR="00CD2BC2" w:rsidRPr="00453819">
        <w:t>sområdet</w:t>
      </w:r>
      <w:r w:rsidR="00B13759" w:rsidRPr="00453819">
        <w:t>.</w:t>
      </w:r>
    </w:p>
    <w:p w:rsidR="00EA41BC" w:rsidRPr="00453819" w:rsidRDefault="00D40661" w:rsidP="00EA41BC">
      <w:r w:rsidRPr="00453819">
        <w:t>Till v</w:t>
      </w:r>
      <w:r w:rsidR="00267779" w:rsidRPr="00453819">
        <w:t xml:space="preserve">itboken </w:t>
      </w:r>
      <w:r w:rsidRPr="00453819">
        <w:t>är foga</w:t>
      </w:r>
      <w:r w:rsidR="005B4B06" w:rsidRPr="00453819">
        <w:t>d</w:t>
      </w:r>
      <w:r w:rsidR="00267779" w:rsidRPr="00453819">
        <w:t xml:space="preserve"> </w:t>
      </w:r>
      <w:r w:rsidR="00CD2BC2" w:rsidRPr="00453819">
        <w:t>e</w:t>
      </w:r>
      <w:r w:rsidR="00225113" w:rsidRPr="00453819">
        <w:t>n</w:t>
      </w:r>
      <w:r w:rsidR="00CD2BC2" w:rsidRPr="00453819">
        <w:t xml:space="preserve"> handlingsp</w:t>
      </w:r>
      <w:r w:rsidR="00225113" w:rsidRPr="00453819">
        <w:t>lan</w:t>
      </w:r>
      <w:r w:rsidR="00CD2BC2" w:rsidRPr="00453819">
        <w:t xml:space="preserve"> med</w:t>
      </w:r>
      <w:r w:rsidR="00267779" w:rsidRPr="00453819">
        <w:t xml:space="preserve"> åtgärder som </w:t>
      </w:r>
      <w:r w:rsidR="00242DD9" w:rsidRPr="00453819">
        <w:t>ska</w:t>
      </w:r>
      <w:r w:rsidR="00267779" w:rsidRPr="00453819">
        <w:t xml:space="preserve"> genomföras eller stödjas av kommissionen. </w:t>
      </w:r>
      <w:r w:rsidR="00CD2BC2" w:rsidRPr="00453819">
        <w:t>Handlingsp</w:t>
      </w:r>
      <w:r w:rsidR="00225113" w:rsidRPr="00453819">
        <w:t>lanen</w:t>
      </w:r>
      <w:r w:rsidR="00267779" w:rsidRPr="00453819">
        <w:t xml:space="preserve"> som uppkallats efter Pierre </w:t>
      </w:r>
      <w:r w:rsidR="00267779" w:rsidRPr="00453819">
        <w:lastRenderedPageBreak/>
        <w:t>de Coubertin</w:t>
      </w:r>
      <w:r w:rsidR="004C4DE7" w:rsidRPr="00453819">
        <w:t>, Internationella Olympiska Kommitténs första ordförande,</w:t>
      </w:r>
      <w:r w:rsidR="00267779" w:rsidRPr="00453819">
        <w:t xml:space="preserve"> </w:t>
      </w:r>
      <w:r w:rsidR="00242DD9" w:rsidRPr="00453819">
        <w:t>ska</w:t>
      </w:r>
      <w:r w:rsidR="00267779" w:rsidRPr="00453819">
        <w:t xml:space="preserve"> tjäna som vägledning i kommissionens arbete med idrottsrelaterade frågor de närmaste åren.</w:t>
      </w:r>
    </w:p>
    <w:p w:rsidR="003A7E78" w:rsidRPr="00453819" w:rsidRDefault="003A7E78" w:rsidP="00FE6AFB"/>
    <w:p w:rsidR="003A7E78" w:rsidRPr="00453819" w:rsidRDefault="003A7E78" w:rsidP="00FE6AFB">
      <w:r w:rsidRPr="00453819">
        <w:rPr>
          <w:lang w:eastAsia="en-US"/>
        </w:rPr>
        <w:t>Regeringen värnar principen att idrottspolitiken först och främst är en nationell angelägenhet, och menar att stor</w:t>
      </w:r>
      <w:r w:rsidRPr="00453819">
        <w:rPr>
          <w:b/>
          <w:bCs/>
          <w:lang w:eastAsia="en-US"/>
        </w:rPr>
        <w:t xml:space="preserve"> </w:t>
      </w:r>
      <w:r w:rsidRPr="00453819">
        <w:rPr>
          <w:lang w:eastAsia="en-US"/>
        </w:rPr>
        <w:t>försiktighet bör iakttas kring förslag som utökar EU-arbetet på idrottsområdet. Det finns</w:t>
      </w:r>
      <w:r w:rsidRPr="00453819">
        <w:rPr>
          <w:b/>
          <w:bCs/>
          <w:lang w:eastAsia="en-US"/>
        </w:rPr>
        <w:t xml:space="preserve"> </w:t>
      </w:r>
      <w:r w:rsidRPr="00453819">
        <w:rPr>
          <w:lang w:eastAsia="en-US"/>
        </w:rPr>
        <w:t xml:space="preserve">strävanden  i vitboken som är rimliga men det är viktigt att kommissionen utifrån subsidiaritetsprincipen kan motivera och föra dialog med idrottsrörelsen om varje framtida förslag så att de kan bedömas var för sig utifrån bl.a. dess utformning, bakomliggande behov och rättsliga grund. </w:t>
      </w:r>
    </w:p>
    <w:p w:rsidR="009B6406" w:rsidRPr="00453819" w:rsidRDefault="009B6406" w:rsidP="00FE6AFB"/>
    <w:p w:rsidR="003A7E78" w:rsidRPr="00453819" w:rsidRDefault="003A7E78" w:rsidP="00FE6AFB"/>
    <w:p w:rsidR="00853565" w:rsidRPr="00453819" w:rsidRDefault="003A7E78" w:rsidP="003A7E78">
      <w:pPr>
        <w:pStyle w:val="Rubrik2"/>
        <w:numPr>
          <w:ilvl w:val="0"/>
          <w:numId w:val="0"/>
        </w:numPr>
      </w:pPr>
      <w:r w:rsidRPr="00453819">
        <w:t>1. Förslaget</w:t>
      </w:r>
    </w:p>
    <w:p w:rsidR="003A7E78" w:rsidRPr="00453819" w:rsidRDefault="003A7E78" w:rsidP="00853565">
      <w:pPr>
        <w:rPr>
          <w:i/>
        </w:rPr>
      </w:pPr>
      <w:r w:rsidRPr="00453819">
        <w:rPr>
          <w:i/>
        </w:rPr>
        <w:t>Bakgrund</w:t>
      </w:r>
    </w:p>
    <w:p w:rsidR="00573466" w:rsidRPr="00453819" w:rsidRDefault="00CB4E74" w:rsidP="00853565">
      <w:r w:rsidRPr="00453819">
        <w:t>Kommissionens avsikt med vitboken</w:t>
      </w:r>
      <w:r w:rsidR="00853565" w:rsidRPr="00453819">
        <w:t xml:space="preserve"> </w:t>
      </w:r>
      <w:r w:rsidRPr="00453819">
        <w:t xml:space="preserve">är att </w:t>
      </w:r>
      <w:r w:rsidR="00853565" w:rsidRPr="00453819">
        <w:t>ta ett helhetsgrepp om idrottsfrågor</w:t>
      </w:r>
      <w:r w:rsidRPr="00453819">
        <w:t>na</w:t>
      </w:r>
      <w:r w:rsidR="00853565" w:rsidRPr="00453819">
        <w:t xml:space="preserve"> </w:t>
      </w:r>
      <w:r w:rsidRPr="00453819">
        <w:t>för att till fullo kunna utnyttja idrottens potential att bidra till uppfyllandet av gemenskapens strategiska mål</w:t>
      </w:r>
      <w:r w:rsidR="00573466" w:rsidRPr="00453819">
        <w:t>, särskilt</w:t>
      </w:r>
      <w:r w:rsidRPr="00453819">
        <w:t xml:space="preserve"> i linje med Lissabonstrategin.</w:t>
      </w:r>
      <w:r w:rsidR="001907A4" w:rsidRPr="00453819">
        <w:t xml:space="preserve"> I</w:t>
      </w:r>
      <w:r w:rsidRPr="00453819">
        <w:t xml:space="preserve">drottens viktiga roll för </w:t>
      </w:r>
      <w:r w:rsidR="001907A4" w:rsidRPr="00453819">
        <w:t>det europeiska samhällslivet</w:t>
      </w:r>
      <w:r w:rsidRPr="00453819">
        <w:t xml:space="preserve"> har lyfts fram i </w:t>
      </w:r>
      <w:r w:rsidR="008F6B3C" w:rsidRPr="00453819">
        <w:t>främst en deklaration från den mellanstatliga regeringskonferensen i Amsterdam 1997 och i en deklaration från europeiska rådets möte i Nice 2000.</w:t>
      </w:r>
      <w:r w:rsidRPr="00453819">
        <w:t xml:space="preserve"> </w:t>
      </w:r>
      <w:r w:rsidR="001907A4" w:rsidRPr="00453819">
        <w:t xml:space="preserve">Medlemsstaterna har även uttryckt sitt stöd för ett kommissionsinitiativ inom idrottsområdet på informella idrottsministermöten, senast i Bryssel 2006 och i Stuttgart 2007. </w:t>
      </w:r>
      <w:r w:rsidR="00DB3FBA" w:rsidRPr="00453819">
        <w:t>Europaparlamentet har vid ett flertal tillfällen de senaste åren behandlat idrottsfrågor</w:t>
      </w:r>
      <w:r w:rsidR="008F6B3C" w:rsidRPr="00453819">
        <w:t xml:space="preserve"> och</w:t>
      </w:r>
      <w:r w:rsidR="00DB3FBA" w:rsidRPr="00453819">
        <w:t xml:space="preserve"> har bl.a. haft frågestunder om dopning och utbildning inom idrott samt antagit resolutioner o</w:t>
      </w:r>
      <w:r w:rsidR="00746283" w:rsidRPr="00453819">
        <w:t>m idrott och biståndspolitik</w:t>
      </w:r>
      <w:r w:rsidR="00DB3FBA" w:rsidRPr="00453819">
        <w:t xml:space="preserve"> och även antagit en rapport om </w:t>
      </w:r>
      <w:r w:rsidR="00573466" w:rsidRPr="00453819">
        <w:t>professionell fotboll i Europa.</w:t>
      </w:r>
    </w:p>
    <w:p w:rsidR="00853565" w:rsidRPr="00453819" w:rsidRDefault="001907A4" w:rsidP="00853565">
      <w:r w:rsidRPr="00453819">
        <w:t>Vitboken har inte föregåtts av någon grönbok men däremot av en omfattande</w:t>
      </w:r>
      <w:r w:rsidR="00DB3FBA" w:rsidRPr="00453819">
        <w:t xml:space="preserve"> kunskapsinhämtning och k</w:t>
      </w:r>
      <w:r w:rsidRPr="00453819">
        <w:t>onsultation med berörda intressenter såsom idrottsrörelsen och medlemsstaterna</w:t>
      </w:r>
      <w:r w:rsidR="008F6B3C" w:rsidRPr="00453819">
        <w:t xml:space="preserve">. Kommissionen ansåg </w:t>
      </w:r>
      <w:r w:rsidR="00DB3FBA" w:rsidRPr="00453819">
        <w:t>därför att en g</w:t>
      </w:r>
      <w:r w:rsidRPr="00453819">
        <w:t xml:space="preserve">rönbok inte skulle tillföra </w:t>
      </w:r>
      <w:r w:rsidR="00DB3FBA" w:rsidRPr="00453819">
        <w:t>något som inte redan framkommit.</w:t>
      </w:r>
    </w:p>
    <w:p w:rsidR="00853565" w:rsidRPr="00453819" w:rsidRDefault="003A7E78">
      <w:pPr>
        <w:pStyle w:val="Rubrik2"/>
      </w:pPr>
      <w:r w:rsidRPr="00453819">
        <w:t>I</w:t>
      </w:r>
      <w:r w:rsidR="00853565" w:rsidRPr="00453819">
        <w:t>nnehåll</w:t>
      </w:r>
    </w:p>
    <w:p w:rsidR="00573466" w:rsidRPr="00453819" w:rsidRDefault="00573466" w:rsidP="00573466">
      <w:r w:rsidRPr="00453819">
        <w:t xml:space="preserve">Vitboken fokuserar på </w:t>
      </w:r>
      <w:r w:rsidR="00CC332A" w:rsidRPr="00453819">
        <w:t xml:space="preserve">tre områden: </w:t>
      </w:r>
      <w:r w:rsidRPr="00453819">
        <w:t>idrottens roll</w:t>
      </w:r>
      <w:r w:rsidR="00225113" w:rsidRPr="00453819">
        <w:t xml:space="preserve"> i samhället</w:t>
      </w:r>
      <w:r w:rsidRPr="00453819">
        <w:t>, idrottens ekonomiska dimensionen och idrottens organisation i Europa. Inom dessa tre områden lägger vitboken fram förslag på åtgärder, vilka tillsammans utgör handlingsplanen ”Pierre de Coubertin”.</w:t>
      </w:r>
    </w:p>
    <w:p w:rsidR="00573466" w:rsidRPr="00453819" w:rsidRDefault="009A3369" w:rsidP="00573466">
      <w:r w:rsidRPr="00453819">
        <w:t>Kommissionen betonar idrottens roll</w:t>
      </w:r>
      <w:r w:rsidR="00225113" w:rsidRPr="00453819">
        <w:t xml:space="preserve"> i samhället</w:t>
      </w:r>
      <w:r w:rsidRPr="00453819">
        <w:t xml:space="preserve">, såväl amatör- som proffsidrott bidrar till folkhälsa och </w:t>
      </w:r>
      <w:r w:rsidR="00CC332A" w:rsidRPr="00453819">
        <w:t xml:space="preserve">idrotten </w:t>
      </w:r>
      <w:r w:rsidRPr="00453819">
        <w:t xml:space="preserve">har även en viktig roll för utbildning, sociala frågor, kultur och fritid. </w:t>
      </w:r>
    </w:p>
    <w:p w:rsidR="00AB762B" w:rsidRPr="00453819" w:rsidRDefault="00CC332A" w:rsidP="00573466">
      <w:r w:rsidRPr="00453819">
        <w:t>Idrotten har enligt kommissionen en underskattad makroekonomisk inverkan och kan bidra till</w:t>
      </w:r>
      <w:r w:rsidR="00225113" w:rsidRPr="00453819">
        <w:t xml:space="preserve"> att</w:t>
      </w:r>
      <w:r w:rsidRPr="00453819">
        <w:t xml:space="preserve"> L</w:t>
      </w:r>
      <w:r w:rsidR="008F6B3C" w:rsidRPr="00453819">
        <w:t>issabon</w:t>
      </w:r>
      <w:r w:rsidRPr="00453819">
        <w:t>mål</w:t>
      </w:r>
      <w:r w:rsidR="00225113" w:rsidRPr="00453819">
        <w:t>en</w:t>
      </w:r>
      <w:r w:rsidRPr="00453819">
        <w:t xml:space="preserve"> om tillväxt och sysselsättning</w:t>
      </w:r>
      <w:r w:rsidR="00225113" w:rsidRPr="00453819">
        <w:t xml:space="preserve"> uppnås</w:t>
      </w:r>
      <w:r w:rsidRPr="00453819">
        <w:t>. Idrotten kan även vara ett verktyg för att bidra till lokal och regional utveckling</w:t>
      </w:r>
      <w:r w:rsidR="00AB762B" w:rsidRPr="00453819">
        <w:t>, urban förnyelse och landsbygdens utveckling.</w:t>
      </w:r>
    </w:p>
    <w:p w:rsidR="00AB762B" w:rsidRPr="00453819" w:rsidRDefault="00AB762B" w:rsidP="00573466">
      <w:r w:rsidRPr="00453819">
        <w:t>Idrotten</w:t>
      </w:r>
      <w:r w:rsidR="00FC43BF" w:rsidRPr="00453819">
        <w:t xml:space="preserve"> i Europa</w:t>
      </w:r>
      <w:r w:rsidRPr="00453819">
        <w:t xml:space="preserve"> har genomgått stora </w:t>
      </w:r>
      <w:r w:rsidR="00FC43BF" w:rsidRPr="00453819">
        <w:t xml:space="preserve">organisatoriska </w:t>
      </w:r>
      <w:r w:rsidRPr="00453819">
        <w:t xml:space="preserve">förändringar och står inför </w:t>
      </w:r>
      <w:r w:rsidR="00FC43BF" w:rsidRPr="00453819">
        <w:t>ytterligare utmaningar. Uppkomsten av nya intressenter leder till frågor om styrning, demokrati och tillvaratagandet av olika intressen. Kommissionen erkänner idrottens självständighet men har i dialogen med idrottsrörelsen blivit upp</w:t>
      </w:r>
      <w:r w:rsidR="00E65D1B" w:rsidRPr="00453819">
        <w:t xml:space="preserve">märksammad på vissa problemområden. Dessa problemområden kan enligt kommissionen idrotten själv ofta lösa genom självreglering så länge EG-rätten respekteras. Kommissionen avser att underlätta ett sådant arbete men kan även komma att agera på egen hand om det är nödvändigt. Vitboken utvecklar begreppet </w:t>
      </w:r>
      <w:r w:rsidR="00E65D1B" w:rsidRPr="00453819">
        <w:rPr>
          <w:i/>
        </w:rPr>
        <w:t xml:space="preserve">idrottens </w:t>
      </w:r>
      <w:r w:rsidR="00B32111" w:rsidRPr="00453819">
        <w:rPr>
          <w:i/>
        </w:rPr>
        <w:t>särart</w:t>
      </w:r>
      <w:r w:rsidR="00E65D1B" w:rsidRPr="00453819">
        <w:t xml:space="preserve"> och konstaterar att EG-domstolen tagit hänsyn till denna </w:t>
      </w:r>
      <w:r w:rsidR="00B32111" w:rsidRPr="00453819">
        <w:t>särart</w:t>
      </w:r>
      <w:r w:rsidR="00E65D1B" w:rsidRPr="00453819">
        <w:t xml:space="preserve"> när den avgjort mål rörande idrott. Kommissionen ser ingen möjlighet till ett generellt undantag </w:t>
      </w:r>
      <w:r w:rsidR="008F6B3C" w:rsidRPr="00453819">
        <w:t>för idrotten från EG-rätten.</w:t>
      </w:r>
    </w:p>
    <w:p w:rsidR="00573466" w:rsidRPr="00453819" w:rsidRDefault="00573466" w:rsidP="00573466">
      <w:r w:rsidRPr="00453819">
        <w:t xml:space="preserve">Vitboken kommer att utgöra en vägledning för kommissionen under de närmaste åren i dess verksamhet inom idrott. Förslagen i handlingsplanen </w:t>
      </w:r>
      <w:r w:rsidR="009A3369" w:rsidRPr="00453819">
        <w:t xml:space="preserve">”Pierre de Coubertin” </w:t>
      </w:r>
      <w:r w:rsidRPr="00453819">
        <w:t>omfattar bland annat följande:</w:t>
      </w:r>
    </w:p>
    <w:p w:rsidR="00573466" w:rsidRPr="00453819" w:rsidRDefault="00573466" w:rsidP="00573466">
      <w:pPr>
        <w:numPr>
          <w:ilvl w:val="0"/>
          <w:numId w:val="7"/>
        </w:numPr>
        <w:tabs>
          <w:tab w:val="left" w:pos="720"/>
        </w:tabs>
      </w:pPr>
      <w:r w:rsidRPr="00453819">
        <w:t>Att utarbeta nya riktlinjer för fysisk aktivitet och införa ett flerårigt EU-nätverk för hälsofrämjande fysisk aktivitet.</w:t>
      </w:r>
    </w:p>
    <w:p w:rsidR="00573466" w:rsidRPr="00453819" w:rsidRDefault="00573466" w:rsidP="00573466">
      <w:pPr>
        <w:numPr>
          <w:ilvl w:val="0"/>
          <w:numId w:val="7"/>
        </w:numPr>
        <w:tabs>
          <w:tab w:val="left" w:pos="720"/>
        </w:tabs>
      </w:pPr>
      <w:r w:rsidRPr="00453819">
        <w:t>Att underlätta ett samordnat tillvägagångssätt för EU i kampen mot dopning, t.ex. genom att stödja ett nätverk av nationella antidopningsorganisationer</w:t>
      </w:r>
      <w:r w:rsidR="00FE3516" w:rsidRPr="00453819">
        <w:t xml:space="preserve"> och stärka samarbetet mellan medlemsstaternas brottsbekämpande myndigheter. Kommissionen anser att handel med olagliga dopningspreparat bör jämställas med handel med olagliga droger.</w:t>
      </w:r>
    </w:p>
    <w:p w:rsidR="00573466" w:rsidRPr="00453819" w:rsidRDefault="00573466" w:rsidP="00573466">
      <w:pPr>
        <w:numPr>
          <w:ilvl w:val="0"/>
          <w:numId w:val="7"/>
        </w:numPr>
        <w:tabs>
          <w:tab w:val="left" w:pos="720"/>
        </w:tabs>
      </w:pPr>
      <w:r w:rsidRPr="00453819">
        <w:t xml:space="preserve">Att införa </w:t>
      </w:r>
      <w:r w:rsidR="008D40C7" w:rsidRPr="00453819">
        <w:t>e</w:t>
      </w:r>
      <w:r w:rsidR="00225113" w:rsidRPr="00453819">
        <w:t>tt</w:t>
      </w:r>
      <w:r w:rsidR="008D40C7" w:rsidRPr="00453819">
        <w:t xml:space="preserve"> särskil</w:t>
      </w:r>
      <w:r w:rsidR="00225113" w:rsidRPr="00453819">
        <w:t>t</w:t>
      </w:r>
      <w:r w:rsidR="008D40C7" w:rsidRPr="00453819">
        <w:t xml:space="preserve"> </w:t>
      </w:r>
      <w:r w:rsidR="00225113" w:rsidRPr="00453819">
        <w:t>EU-märke</w:t>
      </w:r>
      <w:r w:rsidRPr="00453819">
        <w:t xml:space="preserve"> som ska tilldelas de skolor som gör en aktiv insats för att stödja och främja fysisk aktivitet</w:t>
      </w:r>
      <w:r w:rsidR="00225113" w:rsidRPr="00453819">
        <w:t xml:space="preserve"> i skolmiljön</w:t>
      </w:r>
      <w:r w:rsidRPr="00453819">
        <w:t>.</w:t>
      </w:r>
    </w:p>
    <w:p w:rsidR="00573466" w:rsidRPr="00453819" w:rsidRDefault="00573466" w:rsidP="00573466">
      <w:pPr>
        <w:numPr>
          <w:ilvl w:val="0"/>
          <w:numId w:val="7"/>
        </w:numPr>
        <w:tabs>
          <w:tab w:val="left" w:pos="720"/>
        </w:tabs>
      </w:pPr>
      <w:r w:rsidRPr="00453819">
        <w:t>Att genomföra en undersökning om ideellt arbete inom idrott</w:t>
      </w:r>
      <w:r w:rsidR="00C85394" w:rsidRPr="00453819">
        <w:t>en</w:t>
      </w:r>
      <w:r w:rsidRPr="00453819">
        <w:t>.</w:t>
      </w:r>
    </w:p>
    <w:p w:rsidR="00573466" w:rsidRPr="00453819" w:rsidRDefault="00573466" w:rsidP="00573466">
      <w:pPr>
        <w:numPr>
          <w:ilvl w:val="0"/>
          <w:numId w:val="7"/>
        </w:numPr>
        <w:tabs>
          <w:tab w:val="left" w:pos="720"/>
        </w:tabs>
      </w:pPr>
      <w:r w:rsidRPr="00453819">
        <w:t xml:space="preserve">Att förbättra möjligheterna att </w:t>
      </w:r>
      <w:r w:rsidR="00225113" w:rsidRPr="00453819">
        <w:t>främja</w:t>
      </w:r>
      <w:r w:rsidRPr="00453819">
        <w:t xml:space="preserve"> social integration </w:t>
      </w:r>
      <w:r w:rsidR="00225113" w:rsidRPr="00453819">
        <w:t>genom</w:t>
      </w:r>
      <w:r w:rsidRPr="00453819">
        <w:t xml:space="preserve"> idrott </w:t>
      </w:r>
      <w:r w:rsidR="00225113" w:rsidRPr="00453819">
        <w:t>via</w:t>
      </w:r>
      <w:r w:rsidRPr="00453819">
        <w:t xml:space="preserve"> EU-program och EU-medel som Progress-programmet, programmet för livslångt lärande, programmet </w:t>
      </w:r>
      <w:r w:rsidR="00FE3516" w:rsidRPr="00453819">
        <w:t xml:space="preserve">Ung och </w:t>
      </w:r>
      <w:r w:rsidRPr="00453819">
        <w:t>Aktiv</w:t>
      </w:r>
      <w:r w:rsidR="00FE3516" w:rsidRPr="00453819">
        <w:t xml:space="preserve"> i Europa</w:t>
      </w:r>
      <w:r w:rsidRPr="00453819">
        <w:t xml:space="preserve"> och programmet Europa för medborgarna, Europeiska socialfonden, Europeiska fonden för regionalutveckling och Europeiska integrationsfonden.</w:t>
      </w:r>
    </w:p>
    <w:p w:rsidR="00C85394" w:rsidRPr="00453819" w:rsidRDefault="00573466" w:rsidP="00C85394">
      <w:pPr>
        <w:numPr>
          <w:ilvl w:val="0"/>
          <w:numId w:val="7"/>
        </w:numPr>
        <w:tabs>
          <w:tab w:val="left" w:pos="720"/>
        </w:tabs>
      </w:pPr>
      <w:r w:rsidRPr="00453819">
        <w:t xml:space="preserve">Att </w:t>
      </w:r>
      <w:r w:rsidR="004E2455" w:rsidRPr="00453819">
        <w:t xml:space="preserve">stödja det brottsförebyggande arbetet mot våld och rasism genom att främja informationsutbytet mellan </w:t>
      </w:r>
      <w:r w:rsidR="00225113" w:rsidRPr="00453819">
        <w:t>rättsvårdande</w:t>
      </w:r>
      <w:r w:rsidRPr="00453819">
        <w:t xml:space="preserve"> myndigheter och idrottsorganisationer </w:t>
      </w:r>
      <w:r w:rsidR="004E2455" w:rsidRPr="00453819">
        <w:t xml:space="preserve">och stärka polisutbildningen vad gäller arbetet mot huliganism. Kommissionen vill slutligen undersöka möjligheten att ta fram nya rättsliga instrument för att förebygga störningar vid idrottsevenemang. </w:t>
      </w:r>
    </w:p>
    <w:p w:rsidR="00573466" w:rsidRPr="00453819" w:rsidRDefault="00573466" w:rsidP="00C85394">
      <w:pPr>
        <w:numPr>
          <w:ilvl w:val="0"/>
          <w:numId w:val="7"/>
        </w:numPr>
        <w:tabs>
          <w:tab w:val="left" w:pos="720"/>
        </w:tabs>
      </w:pPr>
      <w:r w:rsidRPr="00453819">
        <w:t>Att främja</w:t>
      </w:r>
      <w:r w:rsidR="00225113" w:rsidRPr="00453819">
        <w:t xml:space="preserve"> användningen av</w:t>
      </w:r>
      <w:r w:rsidRPr="00453819">
        <w:t xml:space="preserve"> idrott som ett </w:t>
      </w:r>
      <w:r w:rsidR="00225113" w:rsidRPr="00453819">
        <w:t>redskap</w:t>
      </w:r>
      <w:r w:rsidRPr="00453819">
        <w:t xml:space="preserve"> i EU:s biståndspolitik.</w:t>
      </w:r>
    </w:p>
    <w:p w:rsidR="00573466" w:rsidRPr="00453819" w:rsidRDefault="00573466" w:rsidP="00573466">
      <w:pPr>
        <w:numPr>
          <w:ilvl w:val="0"/>
          <w:numId w:val="7"/>
        </w:numPr>
        <w:tabs>
          <w:tab w:val="left" w:pos="720"/>
        </w:tabs>
      </w:pPr>
      <w:r w:rsidRPr="00453819">
        <w:t>Att tillsammans med medlemsstaterna utarbeta en europeisk statistikmetod för att mäta idrottens ekonomiska effekter.</w:t>
      </w:r>
    </w:p>
    <w:p w:rsidR="00573466" w:rsidRPr="00453819" w:rsidRDefault="00573466" w:rsidP="00573466">
      <w:pPr>
        <w:numPr>
          <w:ilvl w:val="0"/>
          <w:numId w:val="7"/>
        </w:numPr>
        <w:tabs>
          <w:tab w:val="left" w:pos="720"/>
        </w:tabs>
      </w:pPr>
      <w:r w:rsidRPr="00453819">
        <w:t>Att undersöka finansieringen i medlemsstaterna av idrott på gräsrotsnivå och idrott för alla både från offentliga och privata källor, och den inverkan som de pågående förändringarna på området innebär.</w:t>
      </w:r>
    </w:p>
    <w:p w:rsidR="00573466" w:rsidRPr="00453819" w:rsidRDefault="00573466" w:rsidP="00573466">
      <w:pPr>
        <w:numPr>
          <w:ilvl w:val="0"/>
          <w:numId w:val="7"/>
        </w:numPr>
        <w:tabs>
          <w:tab w:val="left" w:pos="720"/>
        </w:tabs>
      </w:pPr>
      <w:r w:rsidRPr="00453819">
        <w:t xml:space="preserve">Att göra en </w:t>
      </w:r>
      <w:r w:rsidR="00225113" w:rsidRPr="00453819">
        <w:t>analys</w:t>
      </w:r>
      <w:r w:rsidRPr="00453819">
        <w:t xml:space="preserve"> för att få en </w:t>
      </w:r>
      <w:r w:rsidR="00225113" w:rsidRPr="00453819">
        <w:t>tydlig bild av</w:t>
      </w:r>
      <w:r w:rsidRPr="00453819">
        <w:t xml:space="preserve"> spelaragenters verksamhet i EU och </w:t>
      </w:r>
      <w:r w:rsidR="00225113" w:rsidRPr="00453819">
        <w:t>bedöma</w:t>
      </w:r>
      <w:r w:rsidRPr="00453819">
        <w:t xml:space="preserve"> om en insats på EU-nivå är nödvändig.</w:t>
      </w:r>
    </w:p>
    <w:p w:rsidR="00573466" w:rsidRPr="00453819" w:rsidRDefault="00573466" w:rsidP="00573466">
      <w:pPr>
        <w:numPr>
          <w:ilvl w:val="0"/>
          <w:numId w:val="7"/>
        </w:numPr>
        <w:tabs>
          <w:tab w:val="left" w:pos="720"/>
        </w:tabs>
      </w:pPr>
      <w:r w:rsidRPr="00453819">
        <w:t>Att möjliggöra en mer effektiv dialogstruktur på EU-nivå om idrott, inbegripet ett årligt europeiskt idrottsforum.</w:t>
      </w:r>
    </w:p>
    <w:p w:rsidR="00573466" w:rsidRPr="00453819" w:rsidRDefault="00573466" w:rsidP="00573466">
      <w:pPr>
        <w:numPr>
          <w:ilvl w:val="0"/>
          <w:numId w:val="7"/>
        </w:numPr>
        <w:tabs>
          <w:tab w:val="left" w:pos="720"/>
        </w:tabs>
      </w:pPr>
      <w:r w:rsidRPr="00453819">
        <w:t>Att föreslå medlemsstaterna att de förstärker det politiska samarbetet kring idrott via en förstärkt löpande dagordning, gemensamma prioriteringar och regelbunden rapportering till EU:s idrottsministrar.</w:t>
      </w:r>
    </w:p>
    <w:p w:rsidR="00853565" w:rsidRPr="00453819" w:rsidRDefault="00573466" w:rsidP="00746283">
      <w:pPr>
        <w:numPr>
          <w:ilvl w:val="0"/>
          <w:numId w:val="7"/>
        </w:numPr>
        <w:tabs>
          <w:tab w:val="left" w:pos="720"/>
        </w:tabs>
      </w:pPr>
      <w:r w:rsidRPr="00453819">
        <w:t>Att uppmuntra inrättandet av kommittéer för den europeiska sociala dialogen inom idrottssektorn och stödja arbetsgivare och arbetstagare i detta.</w:t>
      </w:r>
    </w:p>
    <w:p w:rsidR="006D4AA5" w:rsidRPr="00453819" w:rsidRDefault="006D4AA5">
      <w:pPr>
        <w:pStyle w:val="Rubrik2"/>
      </w:pPr>
      <w:r w:rsidRPr="00453819">
        <w:t>Gällande svenska regler och förslagets effekt på dessa</w:t>
      </w:r>
    </w:p>
    <w:p w:rsidR="00CD2BC2" w:rsidRPr="00453819" w:rsidRDefault="00C477C9" w:rsidP="00C477C9">
      <w:r w:rsidRPr="00453819">
        <w:t xml:space="preserve">Vitboken innehåller inga </w:t>
      </w:r>
      <w:r w:rsidR="00BB083E" w:rsidRPr="00453819">
        <w:t>förslag som</w:t>
      </w:r>
      <w:r w:rsidRPr="00453819">
        <w:t xml:space="preserve"> </w:t>
      </w:r>
      <w:r w:rsidR="00BB083E" w:rsidRPr="00453819">
        <w:t xml:space="preserve">föranleder ny eller ändrad </w:t>
      </w:r>
      <w:r w:rsidRPr="00453819">
        <w:t>nationell</w:t>
      </w:r>
      <w:r w:rsidR="00BB083E" w:rsidRPr="00453819">
        <w:t xml:space="preserve"> rätt</w:t>
      </w:r>
      <w:r w:rsidR="00353FC9" w:rsidRPr="00453819">
        <w:t>slig reglering</w:t>
      </w:r>
      <w:r w:rsidR="00BB083E" w:rsidRPr="00453819">
        <w:t xml:space="preserve"> </w:t>
      </w:r>
      <w:r w:rsidRPr="00453819">
        <w:t xml:space="preserve">eller </w:t>
      </w:r>
      <w:r w:rsidR="00BB083E" w:rsidRPr="00453819">
        <w:t>EG-rätt</w:t>
      </w:r>
      <w:r w:rsidR="00353FC9" w:rsidRPr="00453819">
        <w:t>slig reglering</w:t>
      </w:r>
      <w:r w:rsidRPr="00453819">
        <w:t xml:space="preserve">. </w:t>
      </w:r>
      <w:r w:rsidR="00CD2BC2" w:rsidRPr="00453819">
        <w:t xml:space="preserve">Kommissionen ska dock undersöka möjligheterna till ny lagstiftning eller annan reglering för att förhindra att den allmänna ordningen störs vid idrottsevenemang. Om en sådan reglering kommer till stånd kan detta föranleda ett behov av att se över vissa delar av </w:t>
      </w:r>
      <w:r w:rsidR="004E2455" w:rsidRPr="00453819">
        <w:t xml:space="preserve">bl.a. </w:t>
      </w:r>
      <w:r w:rsidR="00CD2BC2" w:rsidRPr="00453819">
        <w:t>ordningslagen (1993:1617)</w:t>
      </w:r>
      <w:r w:rsidR="00C46B7B" w:rsidRPr="00453819">
        <w:t>,</w:t>
      </w:r>
      <w:r w:rsidR="004E2455" w:rsidRPr="00453819">
        <w:t xml:space="preserve"> lagen (2005:321) om tillträdesförbud vid idrottsarrangemang</w:t>
      </w:r>
      <w:r w:rsidR="00C46B7B" w:rsidRPr="00453819">
        <w:t xml:space="preserve"> och eventuellt även vissa regler avseende informationsutbyte och rättsligt samarbete</w:t>
      </w:r>
      <w:r w:rsidR="00CD2BC2" w:rsidRPr="00453819">
        <w:t xml:space="preserve">. Kommissionen ska även se över spelaragenternas roll vilket kan komma att resultera i ett lagstiftningsinitiativ från kommissionens sida. </w:t>
      </w:r>
      <w:r w:rsidR="00BB083E" w:rsidRPr="00453819">
        <w:t>Av vitboken framgår att k</w:t>
      </w:r>
      <w:r w:rsidRPr="00453819">
        <w:t xml:space="preserve">ommissionen </w:t>
      </w:r>
      <w:r w:rsidR="00CD2BC2" w:rsidRPr="00453819">
        <w:t>avser att</w:t>
      </w:r>
      <w:r w:rsidRPr="00453819">
        <w:t xml:space="preserve"> försvara de nuvarande undantagen för idrotten inom mervärdesskatteområdet. </w:t>
      </w:r>
      <w:r w:rsidR="00B7096B" w:rsidRPr="00453819">
        <w:t>Några ändringar av mervärdesskattelagen (1994:200) och de svenska undantagen inom idrottsområdet kommer därmed inte att ske med anledning av vitboken.</w:t>
      </w:r>
    </w:p>
    <w:p w:rsidR="006D4AA5" w:rsidRPr="00453819" w:rsidRDefault="00B7096B">
      <w:r w:rsidRPr="00453819">
        <w:t>Ko</w:t>
      </w:r>
      <w:r w:rsidR="00CD2BC2" w:rsidRPr="00453819">
        <w:t>mmissionen aviserar även att den</w:t>
      </w:r>
      <w:r w:rsidRPr="00453819">
        <w:t xml:space="preserve"> kommer att övervaka att</w:t>
      </w:r>
      <w:r w:rsidR="007D65B5" w:rsidRPr="00453819">
        <w:t xml:space="preserve"> </w:t>
      </w:r>
      <w:r w:rsidR="00A34BF3" w:rsidRPr="00453819">
        <w:t xml:space="preserve">viss </w:t>
      </w:r>
      <w:r w:rsidR="007D65B5" w:rsidRPr="00453819">
        <w:t>befintlig</w:t>
      </w:r>
      <w:r w:rsidRPr="00453819">
        <w:t xml:space="preserve"> </w:t>
      </w:r>
      <w:r w:rsidR="007D65B5" w:rsidRPr="00453819">
        <w:t xml:space="preserve">idrottsrelaterad </w:t>
      </w:r>
      <w:r w:rsidRPr="00453819">
        <w:t>EG-lagstiftning</w:t>
      </w:r>
      <w:r w:rsidR="007D65B5" w:rsidRPr="00453819">
        <w:t xml:space="preserve"> implementera</w:t>
      </w:r>
      <w:r w:rsidR="00A23A06" w:rsidRPr="00453819">
        <w:t>t</w:t>
      </w:r>
      <w:r w:rsidR="007D65B5" w:rsidRPr="00453819">
        <w:t xml:space="preserve">s nationellt, detta gäller t.ex. direktivet om skydd av minderåriga i arbetslivet och </w:t>
      </w:r>
      <w:r w:rsidR="00CD2BC2" w:rsidRPr="00453819">
        <w:t xml:space="preserve">de så kallade </w:t>
      </w:r>
      <w:r w:rsidR="00A34BF3" w:rsidRPr="00453819">
        <w:t xml:space="preserve">penningtvättsdirektiven. </w:t>
      </w:r>
      <w:r w:rsidR="00FE5C9F" w:rsidRPr="00453819">
        <w:t>Några problem med den svenska implementeringen av dessa direktiv är i dessa avseenden inte kända</w:t>
      </w:r>
      <w:r w:rsidR="00A34BF3" w:rsidRPr="00453819">
        <w:t xml:space="preserve">. </w:t>
      </w:r>
    </w:p>
    <w:p w:rsidR="006D4AA5" w:rsidRPr="00453819" w:rsidRDefault="006D4AA5">
      <w:pPr>
        <w:pStyle w:val="Rubrik2"/>
      </w:pPr>
      <w:r w:rsidRPr="00453819">
        <w:t>Budgetära konsekvenser</w:t>
      </w:r>
    </w:p>
    <w:p w:rsidR="006D4AA5" w:rsidRPr="00453819" w:rsidRDefault="00FE5C9F">
      <w:r w:rsidRPr="00453819">
        <w:t xml:space="preserve">Vitboken och de aviserade åtgärderna i </w:t>
      </w:r>
      <w:r w:rsidR="00E6121B" w:rsidRPr="00453819">
        <w:t xml:space="preserve">handlingsplanen ”Pierre de Coubertin” </w:t>
      </w:r>
      <w:r w:rsidR="007B17A7" w:rsidRPr="00453819">
        <w:t xml:space="preserve">kommer inte att </w:t>
      </w:r>
      <w:r w:rsidRPr="00453819">
        <w:t xml:space="preserve">kräva särskild finansiering utan </w:t>
      </w:r>
      <w:r w:rsidR="007B17A7" w:rsidRPr="00453819">
        <w:t xml:space="preserve">kommer att </w:t>
      </w:r>
      <w:r w:rsidR="00B055D5" w:rsidRPr="00453819">
        <w:t>genomföras</w:t>
      </w:r>
      <w:r w:rsidR="007B17A7" w:rsidRPr="00453819">
        <w:t xml:space="preserve"> inom kommissio</w:t>
      </w:r>
      <w:r w:rsidR="004C4DE7" w:rsidRPr="00453819">
        <w:t>nens budgetram</w:t>
      </w:r>
      <w:r w:rsidR="00BC489B" w:rsidRPr="00453819">
        <w:t xml:space="preserve"> och berörda program</w:t>
      </w:r>
      <w:r w:rsidR="004C4DE7" w:rsidRPr="00453819">
        <w:t>.</w:t>
      </w:r>
    </w:p>
    <w:p w:rsidR="006D4AA5" w:rsidRPr="00453819" w:rsidRDefault="006D4AA5">
      <w:pPr>
        <w:pStyle w:val="Rubrik1"/>
      </w:pPr>
      <w:r w:rsidRPr="00453819">
        <w:t>Ståndpunkter</w:t>
      </w:r>
    </w:p>
    <w:p w:rsidR="006D4AA5" w:rsidRPr="00453819" w:rsidRDefault="006D4AA5">
      <w:pPr>
        <w:pStyle w:val="Rubrik2"/>
      </w:pPr>
      <w:r w:rsidRPr="00453819">
        <w:t>Svensk ståndpunkt</w:t>
      </w:r>
    </w:p>
    <w:p w:rsidR="00AD21D8" w:rsidRPr="00453819" w:rsidRDefault="003A7E78" w:rsidP="0076112E">
      <w:pPr>
        <w:rPr>
          <w:color w:val="000000"/>
          <w:sz w:val="18"/>
          <w:szCs w:val="18"/>
          <w:lang w:eastAsia="en-US"/>
        </w:rPr>
      </w:pPr>
      <w:r w:rsidRPr="00453819">
        <w:rPr>
          <w:color w:val="000000"/>
          <w:sz w:val="18"/>
          <w:szCs w:val="18"/>
          <w:lang w:eastAsia="en-US"/>
        </w:rPr>
        <w:t>Regeringen värnar principen att idrottspolitiken först och främst är en nationell angelägenhet, och menar att stor</w:t>
      </w:r>
      <w:r w:rsidRPr="00453819">
        <w:rPr>
          <w:b/>
          <w:bCs/>
          <w:color w:val="000000"/>
          <w:sz w:val="18"/>
          <w:szCs w:val="18"/>
          <w:lang w:eastAsia="en-US"/>
        </w:rPr>
        <w:t xml:space="preserve"> </w:t>
      </w:r>
      <w:r w:rsidRPr="00453819">
        <w:rPr>
          <w:color w:val="000000"/>
          <w:sz w:val="18"/>
          <w:szCs w:val="18"/>
          <w:lang w:eastAsia="en-US"/>
        </w:rPr>
        <w:t>försiktighet bör iakttas kring förslag som utökar EU-arbetet på idrottsområdet. Det finns</w:t>
      </w:r>
      <w:r w:rsidRPr="00453819">
        <w:rPr>
          <w:b/>
          <w:bCs/>
          <w:color w:val="000000"/>
          <w:sz w:val="18"/>
          <w:szCs w:val="18"/>
          <w:lang w:eastAsia="en-US"/>
        </w:rPr>
        <w:t xml:space="preserve"> </w:t>
      </w:r>
      <w:r w:rsidRPr="00453819">
        <w:rPr>
          <w:color w:val="000000"/>
          <w:sz w:val="18"/>
          <w:szCs w:val="18"/>
          <w:lang w:eastAsia="en-US"/>
        </w:rPr>
        <w:t xml:space="preserve">strävanden  i vitboken som är rimliga men det är viktigt att kommissionen utifrån subsidiaritetsprincipen kan motivera och föra dialog med idrottsrörelsen om varje framtida förslag så att de kan bedömas var för sig utifrån bl.a. dess utformning, bakomliggande behov och rättsliga grund. </w:t>
      </w:r>
    </w:p>
    <w:p w:rsidR="00AD21D8" w:rsidRPr="00453819" w:rsidRDefault="003A7E78" w:rsidP="0076112E">
      <w:pPr>
        <w:rPr>
          <w:color w:val="000000"/>
          <w:sz w:val="18"/>
          <w:szCs w:val="18"/>
          <w:lang w:eastAsia="en-US"/>
        </w:rPr>
      </w:pPr>
      <w:r w:rsidRPr="00453819">
        <w:rPr>
          <w:color w:val="000000"/>
          <w:sz w:val="18"/>
          <w:szCs w:val="18"/>
          <w:lang w:eastAsia="en-US"/>
        </w:rPr>
        <w:t xml:space="preserve">Vitboken ger en genomlysande beskrivning av idrottsfrågornas horisontella kapacitet för utvecklingen inom EU. Det faktum att idrottsfrågorna saknar rättslig grund i EU-fördraget utesluter inte att vissa åtgärder kan vidtas inom olika områden där idrottsfrågorna kan bidra till att förverkliga politiken inom EU. </w:t>
      </w:r>
    </w:p>
    <w:p w:rsidR="004E2455" w:rsidRPr="00453819" w:rsidRDefault="004E2455" w:rsidP="0076112E">
      <w:r w:rsidRPr="00453819">
        <w:t>Det är oklart hur kommissionen avser att gå vidare med de åtgärder som föreslås inom ramen för det brottsbekämpande och straffrättsliga samarbetet. Exempelvis saknas analys av behovet av en ny lagstiftning för att förhindra att den allmänna ordningen störs vid idrottsevenemang.</w:t>
      </w:r>
    </w:p>
    <w:p w:rsidR="0076112E" w:rsidRPr="00453819" w:rsidRDefault="00E6121B" w:rsidP="0076112E">
      <w:r w:rsidRPr="00453819">
        <w:t xml:space="preserve">Det är </w:t>
      </w:r>
      <w:r w:rsidR="00E413C7" w:rsidRPr="00453819">
        <w:t>positivt att v</w:t>
      </w:r>
      <w:r w:rsidRPr="00453819">
        <w:t xml:space="preserve">itboken bidrar till att synliggöra idrottsorganisationernas betydelse inom EU. Vitboken kan även bidra till att skapa bättre förståelse för idrottsorganisationernas </w:t>
      </w:r>
      <w:r w:rsidR="004953EC" w:rsidRPr="00453819">
        <w:t>sär</w:t>
      </w:r>
      <w:r w:rsidRPr="00453819">
        <w:t>drag inom EU:s institutioner samtidigt som idrottsorganisationernas förståelse för arbetet inom EU förstärks.</w:t>
      </w:r>
      <w:r w:rsidR="00353FC9" w:rsidRPr="00453819">
        <w:t xml:space="preserve"> </w:t>
      </w:r>
      <w:r w:rsidR="00FE3516" w:rsidRPr="00453819">
        <w:t>De olika initiativ som kommissionen tagit genom vitböckerna om idrott, nya insatser för Europas ungdom samt</w:t>
      </w:r>
      <w:r w:rsidR="00293BF7" w:rsidRPr="00453819">
        <w:t xml:space="preserve"> en EU-strategi för hälsofrågor som rör</w:t>
      </w:r>
      <w:r w:rsidR="00FE3516" w:rsidRPr="00453819">
        <w:t xml:space="preserve"> kost, övervikt och fetma förutses komplettera varandra. </w:t>
      </w:r>
      <w:r w:rsidR="00BC489B" w:rsidRPr="00453819">
        <w:t>D</w:t>
      </w:r>
      <w:r w:rsidR="00E413C7" w:rsidRPr="00453819">
        <w:t>et är särskilt viktigt</w:t>
      </w:r>
      <w:r w:rsidR="00BB083E" w:rsidRPr="00453819">
        <w:t xml:space="preserve"> att kommissionen samarbetar nära med företrädare för såväl medlemsstaterna som idrottsorganisationerna i arbetet med att förverkliga vitbokens förslag.</w:t>
      </w:r>
    </w:p>
    <w:p w:rsidR="00FC3264" w:rsidRPr="00453819" w:rsidRDefault="00F14A29" w:rsidP="0076112E">
      <w:r w:rsidRPr="00453819">
        <w:t xml:space="preserve">Vitboken berör frågan om sociala risker för minderåriga inom idrotten. Det är viktigt att betona barn och ungdomars rättigheter och hälsa och att idrottslig tävlingsverksamhet inte får medföra risk för att dessa åsidosätts. </w:t>
      </w:r>
      <w:r w:rsidR="00FC3264" w:rsidRPr="00453819">
        <w:t xml:space="preserve">Oavsett om det rör sig om tävlings- eller motionsidrott, har barn och ungdomar rätt till ett verkligt inflytande över sin idrottsutövning. </w:t>
      </w:r>
    </w:p>
    <w:p w:rsidR="0076112E" w:rsidRPr="00453819" w:rsidRDefault="0076112E" w:rsidP="0076112E">
      <w:r w:rsidRPr="00453819">
        <w:t xml:space="preserve">Kommissionen avser att jämställdhetsintegrera alla idrottsrelaterade aktiviteter inom ramen för </w:t>
      </w:r>
      <w:r w:rsidR="00C46B7B" w:rsidRPr="00453819">
        <w:t>färd</w:t>
      </w:r>
      <w:r w:rsidRPr="00453819">
        <w:t xml:space="preserve">planen för jämställdhet mellan kvinnor och män 2006 – 2010. </w:t>
      </w:r>
      <w:r w:rsidR="00C46B7B" w:rsidRPr="00453819">
        <w:t>Jämställdhetsperspektivet är inte integrerat</w:t>
      </w:r>
      <w:r w:rsidRPr="00453819">
        <w:t xml:space="preserve"> i vitboken om idrott i övrigt. Regeringen anser att jämställdhetsperspektivet i vitboken sammantaget är dåligt utvecklat och avser att påtala detta för kommissionen och föreslå att kommissionen </w:t>
      </w:r>
      <w:r w:rsidR="00D1519D" w:rsidRPr="00453819">
        <w:t>har jämställdhetsintegrering som en generell metod i genomförandet av</w:t>
      </w:r>
      <w:r w:rsidR="00C46B7B" w:rsidRPr="00453819">
        <w:t xml:space="preserve"> åtgärderna i</w:t>
      </w:r>
      <w:r w:rsidR="00D1519D" w:rsidRPr="00453819">
        <w:t xml:space="preserve"> vitboken.</w:t>
      </w:r>
    </w:p>
    <w:p w:rsidR="006D4AA5" w:rsidRPr="00453819" w:rsidRDefault="006D4AA5">
      <w:pPr>
        <w:pStyle w:val="Rubrik2"/>
      </w:pPr>
      <w:r w:rsidRPr="00453819">
        <w:t>Medlemsstaternas ståndpunkter</w:t>
      </w:r>
    </w:p>
    <w:p w:rsidR="006D4AA5" w:rsidRPr="00453819" w:rsidRDefault="00B910BC">
      <w:r w:rsidRPr="00453819">
        <w:t>Medlemsstaternas ståndpunkter är ännu inte kända</w:t>
      </w:r>
      <w:r w:rsidR="006A4F64" w:rsidRPr="00453819">
        <w:t xml:space="preserve"> men förväntas presenteras vid en informell idrottsministerkonferens i oktober 2007.</w:t>
      </w:r>
    </w:p>
    <w:p w:rsidR="006D4AA5" w:rsidRPr="00453819" w:rsidRDefault="006D4AA5">
      <w:pPr>
        <w:pStyle w:val="Rubrik2"/>
      </w:pPr>
      <w:r w:rsidRPr="00453819">
        <w:t>Institutionernas ståndpunkter</w:t>
      </w:r>
    </w:p>
    <w:p w:rsidR="006D4AA5" w:rsidRPr="00453819" w:rsidRDefault="00B910BC">
      <w:pPr>
        <w:rPr>
          <w:i/>
        </w:rPr>
      </w:pPr>
      <w:r w:rsidRPr="00453819">
        <w:t>Institutionernas ståndpunkter är ännu inte kända</w:t>
      </w:r>
      <w:r w:rsidR="00FE5C9F" w:rsidRPr="00453819">
        <w:t xml:space="preserve"> men deras tidigare syn på idrottsområdet framkommer till viss del under avsnitt 1.1. ovan.</w:t>
      </w:r>
    </w:p>
    <w:p w:rsidR="006D4AA5" w:rsidRPr="00453819" w:rsidRDefault="006D4AA5">
      <w:pPr>
        <w:pStyle w:val="Rubrik2"/>
      </w:pPr>
      <w:r w:rsidRPr="00453819">
        <w:t>Remissinstansernas ståndpunkter</w:t>
      </w:r>
    </w:p>
    <w:p w:rsidR="006D4AA5" w:rsidRPr="00453819" w:rsidRDefault="00B910BC">
      <w:r w:rsidRPr="00453819">
        <w:t xml:space="preserve">Vitboken har </w:t>
      </w:r>
      <w:r w:rsidR="00BB083E" w:rsidRPr="00453819">
        <w:t xml:space="preserve"> </w:t>
      </w:r>
      <w:r w:rsidRPr="00453819">
        <w:t>inte remi</w:t>
      </w:r>
      <w:r w:rsidR="002F21EC" w:rsidRPr="00453819">
        <w:t>tterats</w:t>
      </w:r>
      <w:r w:rsidR="009270A6" w:rsidRPr="00453819">
        <w:t>.</w:t>
      </w:r>
    </w:p>
    <w:p w:rsidR="006D4AA5" w:rsidRPr="00453819" w:rsidRDefault="006D4AA5">
      <w:pPr>
        <w:pStyle w:val="Rubrik1"/>
      </w:pPr>
      <w:r w:rsidRPr="00453819">
        <w:t>Övrigt</w:t>
      </w:r>
    </w:p>
    <w:p w:rsidR="006D4AA5" w:rsidRPr="00453819" w:rsidRDefault="006D4AA5">
      <w:pPr>
        <w:pStyle w:val="Rubrik2"/>
      </w:pPr>
      <w:r w:rsidRPr="00453819">
        <w:t>Fortsatt behandling av ärendet</w:t>
      </w:r>
    </w:p>
    <w:p w:rsidR="00E6121B" w:rsidRPr="00453819" w:rsidRDefault="00E6121B" w:rsidP="00E6121B">
      <w:r w:rsidRPr="00453819">
        <w:t>Vitboken om idrott har överlämnats till Europaparlamentet, rådet, Regionkommittén och</w:t>
      </w:r>
      <w:r w:rsidR="00FE5C9F" w:rsidRPr="00453819">
        <w:t xml:space="preserve"> till </w:t>
      </w:r>
      <w:r w:rsidRPr="00453819">
        <w:t>Ekonomiska och sociala kommittén</w:t>
      </w:r>
      <w:r w:rsidR="00BC489B" w:rsidRPr="00453819">
        <w:t>.</w:t>
      </w:r>
    </w:p>
    <w:p w:rsidR="00632C85" w:rsidRPr="00453819" w:rsidRDefault="006A4F64">
      <w:r w:rsidRPr="00453819">
        <w:t>Vitboken kommer att presenteras för intressenter inom idrotten på en av kommissionen anordnad konferens i oktober</w:t>
      </w:r>
      <w:r w:rsidR="00E6121B" w:rsidRPr="00453819">
        <w:t xml:space="preserve"> 2007 samt </w:t>
      </w:r>
      <w:r w:rsidRPr="00453819">
        <w:t xml:space="preserve">senare i oktober presenteras </w:t>
      </w:r>
      <w:r w:rsidR="009270A6" w:rsidRPr="00453819">
        <w:t>vid</w:t>
      </w:r>
      <w:r w:rsidRPr="00453819">
        <w:t xml:space="preserve"> ett informellt idrottsministermöte under Portugals ordförandeskap. Vitboken kommer också att presenteras för Europaparlamentet, Regionkommittén och </w:t>
      </w:r>
      <w:r w:rsidR="00FE5C9F" w:rsidRPr="00453819">
        <w:t xml:space="preserve">för </w:t>
      </w:r>
      <w:r w:rsidRPr="00453819">
        <w:t>Ekonomiska och sociala kommittén</w:t>
      </w:r>
      <w:r w:rsidR="00FE5C9F" w:rsidRPr="00453819">
        <w:t>.</w:t>
      </w:r>
      <w:r w:rsidR="00632C85" w:rsidRPr="00453819">
        <w:t xml:space="preserve"> </w:t>
      </w:r>
    </w:p>
    <w:p w:rsidR="006D4AA5" w:rsidRPr="00453819" w:rsidRDefault="00632C85">
      <w:r w:rsidRPr="00453819">
        <w:t xml:space="preserve">De olika förslag som framförs i vitboken kan väntas få konkret efterföljd i form av förslag </w:t>
      </w:r>
      <w:r w:rsidR="009270A6" w:rsidRPr="00453819">
        <w:t>inom</w:t>
      </w:r>
      <w:r w:rsidRPr="00453819">
        <w:t xml:space="preserve"> olika berörda områden.</w:t>
      </w:r>
    </w:p>
    <w:p w:rsidR="006D4AA5" w:rsidRPr="00453819" w:rsidRDefault="006D4AA5">
      <w:pPr>
        <w:pStyle w:val="Rubrik2"/>
      </w:pPr>
      <w:r w:rsidRPr="00453819">
        <w:t>Rättslig grund och beslutsförfarande</w:t>
      </w:r>
    </w:p>
    <w:p w:rsidR="006D4AA5" w:rsidRPr="00453819" w:rsidRDefault="00AA01DD">
      <w:r w:rsidRPr="00453819">
        <w:t xml:space="preserve">I fördragen </w:t>
      </w:r>
      <w:r w:rsidR="00D40661" w:rsidRPr="00453819">
        <w:t>finns ingen</w:t>
      </w:r>
      <w:r w:rsidR="00677ABA" w:rsidRPr="00453819">
        <w:t xml:space="preserve"> </w:t>
      </w:r>
      <w:r w:rsidR="00B32111" w:rsidRPr="00453819">
        <w:t>specifik</w:t>
      </w:r>
      <w:r w:rsidRPr="00453819">
        <w:t xml:space="preserve"> </w:t>
      </w:r>
      <w:r w:rsidR="00D40661" w:rsidRPr="00453819">
        <w:t>rättslig</w:t>
      </w:r>
      <w:r w:rsidRPr="00453819">
        <w:t xml:space="preserve"> kompetens inom idrottsområdet. Vitbokens åtgärder</w:t>
      </w:r>
      <w:r w:rsidR="00E6121B" w:rsidRPr="00453819">
        <w:t xml:space="preserve"> inom idrottsområdet</w:t>
      </w:r>
      <w:r w:rsidRPr="00453819">
        <w:t xml:space="preserve"> är av horisontell natur och </w:t>
      </w:r>
      <w:r w:rsidR="00D40661" w:rsidRPr="00453819">
        <w:t xml:space="preserve">i </w:t>
      </w:r>
      <w:r w:rsidRPr="00453819">
        <w:t>den</w:t>
      </w:r>
      <w:r w:rsidR="00D40661" w:rsidRPr="00453819">
        <w:t xml:space="preserve"> mån åtgärderna kräver rättslig grund</w:t>
      </w:r>
      <w:r w:rsidRPr="00453819">
        <w:t xml:space="preserve"> återfinns</w:t>
      </w:r>
      <w:r w:rsidR="00BB083E" w:rsidRPr="00453819">
        <w:t xml:space="preserve"> dessa</w:t>
      </w:r>
      <w:r w:rsidRPr="00453819">
        <w:t xml:space="preserve"> inom ett flertal politikområden.</w:t>
      </w:r>
    </w:p>
    <w:p w:rsidR="006D4AA5" w:rsidRPr="00453819" w:rsidRDefault="006D4AA5">
      <w:pPr>
        <w:pStyle w:val="Rubrik2"/>
      </w:pPr>
      <w:r w:rsidRPr="00453819">
        <w:t>Fackuttryck/termer</w:t>
      </w:r>
    </w:p>
    <w:p w:rsidR="00632C85" w:rsidRPr="00453819" w:rsidRDefault="00632C85" w:rsidP="00632C85">
      <w:pPr>
        <w:rPr>
          <w:b/>
        </w:rPr>
      </w:pPr>
      <w:r w:rsidRPr="00453819">
        <w:rPr>
          <w:b/>
        </w:rPr>
        <w:t>Idrott</w:t>
      </w:r>
    </w:p>
    <w:p w:rsidR="00632C85" w:rsidRPr="00453819" w:rsidRDefault="00632C85" w:rsidP="00632C85">
      <w:r w:rsidRPr="00453819">
        <w:t>Kommissionen anger att för klarhetens och enkelhetens skull tillämpas i vitboken Europarådets definition av idrott: ”varje organiserat eller icke-organiserat utövande av fysisk aktivitet som syftar till förbättring av den fysiska och psykiska konditionen, utveckling av sociala relationer eller uppnående av tävlingsresultat på alla nivåer”.</w:t>
      </w:r>
    </w:p>
    <w:sectPr w:rsidR="00632C85" w:rsidRPr="0045381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9A2" w:rsidRPr="00453819" w:rsidRDefault="006B29A2">
      <w:r w:rsidRPr="00453819">
        <w:separator/>
      </w:r>
    </w:p>
  </w:endnote>
  <w:endnote w:type="continuationSeparator" w:id="0">
    <w:p w:rsidR="006B29A2" w:rsidRPr="00453819" w:rsidRDefault="006B29A2">
      <w:r w:rsidRPr="004538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FB" w:rsidRPr="00453819" w:rsidRDefault="00FE6A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FB" w:rsidRPr="00453819" w:rsidRDefault="006B29A2">
    <w:pPr>
      <w:pStyle w:val="SidfotH"/>
      <w:framePr w:wrap="around"/>
    </w:pPr>
    <w:r w:rsidRPr="00453819">
      <w:t>2</w:t>
    </w:r>
  </w:p>
  <w:p w:rsidR="00FE6AFB" w:rsidRPr="00453819" w:rsidRDefault="00FE6AF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FB" w:rsidRPr="00453819" w:rsidRDefault="006B29A2">
    <w:pPr>
      <w:pStyle w:val="SidfotH"/>
      <w:framePr w:wrap="around"/>
    </w:pPr>
    <w:r w:rsidRPr="00453819">
      <w:t>1</w:t>
    </w:r>
  </w:p>
  <w:p w:rsidR="00FE6AFB" w:rsidRPr="00453819" w:rsidRDefault="00FE6A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9A2" w:rsidRPr="00453819" w:rsidRDefault="006B29A2">
      <w:r w:rsidRPr="00453819">
        <w:separator/>
      </w:r>
    </w:p>
  </w:footnote>
  <w:footnote w:type="continuationSeparator" w:id="0">
    <w:p w:rsidR="006B29A2" w:rsidRPr="00453819" w:rsidRDefault="006B29A2">
      <w:r w:rsidRPr="004538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FB" w:rsidRPr="00453819" w:rsidRDefault="00FE6A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FB" w:rsidRPr="00453819" w:rsidRDefault="00FE6AFB">
    <w:pPr>
      <w:pStyle w:val="Kantrubrik"/>
      <w:framePr w:h="1157" w:hRule="exact" w:wrap="around" w:y="738"/>
    </w:pPr>
    <w:r w:rsidRPr="00453819">
      <w:t>2006/07:FPM112</w:t>
    </w:r>
  </w:p>
  <w:p w:rsidR="00FE6AFB" w:rsidRPr="00453819" w:rsidRDefault="00FE6AF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AFB" w:rsidRPr="00453819" w:rsidRDefault="00453819">
    <w:pPr>
      <w:pStyle w:val="Sidhuvud"/>
    </w:pPr>
    <w:r w:rsidRPr="0045381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37528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6AFB" w:rsidRDefault="00FE6AF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E6AFB" w:rsidRDefault="00FE6AFB">
                    <w:pPr>
                      <w:pStyle w:val="Logo"/>
                    </w:pPr>
                    <w:r>
                      <w:object w:dxaOrig="840" w:dyaOrig="1545">
                        <v:shape id="_x0000_i1025" type="#_x0000_t75" style="width:42pt;height:77.15pt" filled="t">
                          <v:imagedata r:id="rId1" o:title=""/>
                        </v:shape>
                        <o:OLEObject Type="Embed" ProgID="Word.Picture.8" ShapeID="_x0000_i1025" DrawAspect="Content" ObjectID="_18274593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47C05E5"/>
    <w:multiLevelType w:val="hybridMultilevel"/>
    <w:tmpl w:val="A8FEB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96219505">
    <w:abstractNumId w:val="5"/>
  </w:num>
  <w:num w:numId="2" w16cid:durableId="2047488068">
    <w:abstractNumId w:val="1"/>
  </w:num>
  <w:num w:numId="3" w16cid:durableId="1570454505">
    <w:abstractNumId w:val="3"/>
  </w:num>
  <w:num w:numId="4" w16cid:durableId="330257934">
    <w:abstractNumId w:val="4"/>
  </w:num>
  <w:num w:numId="5" w16cid:durableId="316301517">
    <w:abstractNumId w:val="6"/>
  </w:num>
  <w:num w:numId="6" w16cid:durableId="1609117185">
    <w:abstractNumId w:val="0"/>
  </w:num>
  <w:num w:numId="7" w16cid:durableId="30612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8-24"/>
    <w:docVar w:name="Ar" w:val="2006/07"/>
    <w:docVar w:name="Dep" w:val="Kulturdepartementet"/>
    <w:docVar w:name="DepWeb" w:val="Kulturdepartementet"/>
    <w:docVar w:name="GDB1" w:val="KOM (2007) 391 slutlig"/>
    <w:docVar w:name="GDB10" w:val=" "/>
    <w:docVar w:name="GDB11" w:val=" "/>
    <w:docVar w:name="GDB12" w:val=" "/>
    <w:docVar w:name="GDB13" w:val=" "/>
    <w:docVar w:name="GDB2" w:val="SEC (2007) 932"/>
    <w:docVar w:name="GDB3" w:val="SEC (2007) 934"/>
    <w:docVar w:name="GDB4" w:val="SEC (2007) 935"/>
    <w:docVar w:name="GDB5" w:val="SEC (2007) 936"/>
    <w:docVar w:name="GDB6" w:val=" "/>
    <w:docVar w:name="GDB7" w:val=" "/>
    <w:docVar w:name="GDB8" w:val=" "/>
    <w:docVar w:name="GDB9" w:val=" "/>
    <w:docVar w:name="GDT1" w:val="Vitbok om idro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391 slutlig, SEC (2007) 932, SEC (2007) 934, SEC (2007) 935, SEC (2007) 936"/>
    <w:docVar w:name="Nr" w:val="00"/>
    <w:docVar w:name="RD_APPVERSION" w:val="3.00"/>
    <w:docVar w:name="Rub" w:val="Vitboken om EU och idrotten"/>
    <w:docVar w:name="UppDat" w:val="2007-08-24"/>
    <w:docVar w:name="Utsk" w:val="Kulturutskottet"/>
  </w:docVars>
  <w:rsids>
    <w:rsidRoot w:val="00453819"/>
    <w:rsid w:val="000246EE"/>
    <w:rsid w:val="00080256"/>
    <w:rsid w:val="000D1D85"/>
    <w:rsid w:val="000F00C9"/>
    <w:rsid w:val="00162BC7"/>
    <w:rsid w:val="001907A4"/>
    <w:rsid w:val="001C4B17"/>
    <w:rsid w:val="00222B2B"/>
    <w:rsid w:val="00225113"/>
    <w:rsid w:val="00241611"/>
    <w:rsid w:val="00242DD9"/>
    <w:rsid w:val="00267779"/>
    <w:rsid w:val="00293BF7"/>
    <w:rsid w:val="002F1958"/>
    <w:rsid w:val="002F21EC"/>
    <w:rsid w:val="00306F86"/>
    <w:rsid w:val="00325383"/>
    <w:rsid w:val="003355A2"/>
    <w:rsid w:val="00353FC9"/>
    <w:rsid w:val="003A7E78"/>
    <w:rsid w:val="003E631C"/>
    <w:rsid w:val="00416539"/>
    <w:rsid w:val="00453819"/>
    <w:rsid w:val="00493DB0"/>
    <w:rsid w:val="004953EC"/>
    <w:rsid w:val="004B185E"/>
    <w:rsid w:val="004B56C5"/>
    <w:rsid w:val="004C4DE7"/>
    <w:rsid w:val="004E2455"/>
    <w:rsid w:val="00516155"/>
    <w:rsid w:val="00521241"/>
    <w:rsid w:val="005516EF"/>
    <w:rsid w:val="00573466"/>
    <w:rsid w:val="005B4B06"/>
    <w:rsid w:val="005F68FF"/>
    <w:rsid w:val="00610341"/>
    <w:rsid w:val="00632C85"/>
    <w:rsid w:val="00662E67"/>
    <w:rsid w:val="00667437"/>
    <w:rsid w:val="00677ABA"/>
    <w:rsid w:val="00680457"/>
    <w:rsid w:val="006A4F64"/>
    <w:rsid w:val="006B29A2"/>
    <w:rsid w:val="006D4AA5"/>
    <w:rsid w:val="006E0B1D"/>
    <w:rsid w:val="006E3360"/>
    <w:rsid w:val="00746283"/>
    <w:rsid w:val="0076112E"/>
    <w:rsid w:val="00781BA5"/>
    <w:rsid w:val="00784271"/>
    <w:rsid w:val="007A7CA1"/>
    <w:rsid w:val="007B17A7"/>
    <w:rsid w:val="007B7877"/>
    <w:rsid w:val="007D65B5"/>
    <w:rsid w:val="00853565"/>
    <w:rsid w:val="008D40C7"/>
    <w:rsid w:val="008E0520"/>
    <w:rsid w:val="008F6B3C"/>
    <w:rsid w:val="00902C63"/>
    <w:rsid w:val="009172C6"/>
    <w:rsid w:val="009270A6"/>
    <w:rsid w:val="009A3369"/>
    <w:rsid w:val="009B6406"/>
    <w:rsid w:val="009D7CBF"/>
    <w:rsid w:val="00A03969"/>
    <w:rsid w:val="00A23A06"/>
    <w:rsid w:val="00A34BF3"/>
    <w:rsid w:val="00A4638C"/>
    <w:rsid w:val="00A62E79"/>
    <w:rsid w:val="00AA01DD"/>
    <w:rsid w:val="00AB762B"/>
    <w:rsid w:val="00AD21D8"/>
    <w:rsid w:val="00AE302D"/>
    <w:rsid w:val="00B034C4"/>
    <w:rsid w:val="00B03C1D"/>
    <w:rsid w:val="00B055D5"/>
    <w:rsid w:val="00B062D5"/>
    <w:rsid w:val="00B13759"/>
    <w:rsid w:val="00B32111"/>
    <w:rsid w:val="00B47519"/>
    <w:rsid w:val="00B54C24"/>
    <w:rsid w:val="00B56022"/>
    <w:rsid w:val="00B7096B"/>
    <w:rsid w:val="00B73A5E"/>
    <w:rsid w:val="00B910BC"/>
    <w:rsid w:val="00BA4F07"/>
    <w:rsid w:val="00BB05CD"/>
    <w:rsid w:val="00BB083E"/>
    <w:rsid w:val="00BC489B"/>
    <w:rsid w:val="00C46B7B"/>
    <w:rsid w:val="00C477C9"/>
    <w:rsid w:val="00C62862"/>
    <w:rsid w:val="00C67269"/>
    <w:rsid w:val="00C82A99"/>
    <w:rsid w:val="00C85394"/>
    <w:rsid w:val="00C8797A"/>
    <w:rsid w:val="00CB4E74"/>
    <w:rsid w:val="00CC332A"/>
    <w:rsid w:val="00CD2BC2"/>
    <w:rsid w:val="00D0011A"/>
    <w:rsid w:val="00D1519D"/>
    <w:rsid w:val="00D20033"/>
    <w:rsid w:val="00D23AEF"/>
    <w:rsid w:val="00D40661"/>
    <w:rsid w:val="00DB3FBA"/>
    <w:rsid w:val="00DD22B9"/>
    <w:rsid w:val="00DD4317"/>
    <w:rsid w:val="00E178BF"/>
    <w:rsid w:val="00E25EEA"/>
    <w:rsid w:val="00E413C7"/>
    <w:rsid w:val="00E6121B"/>
    <w:rsid w:val="00E65D1B"/>
    <w:rsid w:val="00EA41BC"/>
    <w:rsid w:val="00EB1E6F"/>
    <w:rsid w:val="00EC5197"/>
    <w:rsid w:val="00F14A29"/>
    <w:rsid w:val="00F310A0"/>
    <w:rsid w:val="00F76FB2"/>
    <w:rsid w:val="00FC3264"/>
    <w:rsid w:val="00FC43BF"/>
    <w:rsid w:val="00FE0C2A"/>
    <w:rsid w:val="00FE3516"/>
    <w:rsid w:val="00FE5C9F"/>
    <w:rsid w:val="00FE6A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19516E-C386-4F3A-A1B9-053CE482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character" w:styleId="Hyperlnk">
    <w:name w:val="Hyperlink"/>
    <w:basedOn w:val="Standardstycketeckensnitt"/>
    <w:rsid w:val="007B17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1764</Words>
  <Characters>11541</Characters>
  <Application>Microsoft Office Word</Application>
  <DocSecurity>4</DocSecurity>
  <Lines>226</Lines>
  <Paragraphs>79</Paragraphs>
  <ScaleCrop>false</ScaleCrop>
  <HeadingPairs>
    <vt:vector size="2" baseType="variant">
      <vt:variant>
        <vt:lpstr>Rubrik</vt:lpstr>
      </vt:variant>
      <vt:variant>
        <vt:i4>1</vt:i4>
      </vt:variant>
    </vt:vector>
  </HeadingPairs>
  <TitlesOfParts>
    <vt:vector size="1" baseType="lpstr">
      <vt:lpstr>FPM_200607__112</vt:lpstr>
    </vt:vector>
  </TitlesOfParts>
  <Company>RD-DTSL</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FPM_200607__112</dc:title>
  <dc:subject>FPM_200607__112</dc:subject>
  <dc:creator>Riksdagen</dc:creator>
  <cp:keywords>Riksdagen</cp:keywords>
  <dc:description>KP2004-version.  Ändringarna påverkar enbart användningen inom Riksdagen. 050429 nya departement DTSL.</dc:description>
  <cp:lastModifiedBy>Lars Brink</cp:lastModifiedBy>
  <cp:revision>2</cp:revision>
  <cp:lastPrinted>2007-08-24T13:07:00Z</cp:lastPrinted>
  <dcterms:created xsi:type="dcterms:W3CDTF">2025-12-17T03:09:00Z</dcterms:created>
  <dcterms:modified xsi:type="dcterms:W3CDTF">2025-12-17T03:09:00Z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112</vt:lpwstr>
  </property>
  <property fmtid="{D5CDD505-2E9C-101B-9397-08002B2CF9AE}" pid="4" name="GDB1">
    <vt:lpwstr>KOM (2007) 391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Vitboken om EU och idrotten</vt:lpwstr>
  </property>
  <property fmtid="{D5CDD505-2E9C-101B-9397-08002B2CF9AE}" pid="8" name="UppDat">
    <vt:lpwstr>2007-08-24</vt:lpwstr>
  </property>
  <property fmtid="{D5CDD505-2E9C-101B-9397-08002B2CF9AE}" pid="9" name="AnkDat">
    <vt:lpwstr>2007-08-24</vt:lpwstr>
  </property>
  <property fmtid="{D5CDD505-2E9C-101B-9397-08002B2CF9AE}" pid="10" name="Utsk">
    <vt:lpwstr>Kulturutskottet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SEC (2007) 932</vt:lpwstr>
  </property>
  <property fmtid="{D5CDD505-2E9C-101B-9397-08002B2CF9AE}" pid="15" name="GDB3">
    <vt:lpwstr>SEC (2007) 934</vt:lpwstr>
  </property>
  <property fmtid="{D5CDD505-2E9C-101B-9397-08002B2CF9AE}" pid="16" name="GDB4">
    <vt:lpwstr>SEC (2007) 935</vt:lpwstr>
  </property>
  <property fmtid="{D5CDD505-2E9C-101B-9397-08002B2CF9AE}" pid="17" name="GDB5">
    <vt:lpwstr>SEC (2007) 936</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JA</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9;0;0;439</vt:lpwstr>
  </property>
  <property fmtid="{D5CDD505-2E9C-101B-9397-08002B2CF9AE}" pid="41" name="Sprak">
    <vt:lpwstr>Svenska</vt:lpwstr>
  </property>
  <property fmtid="{D5CDD505-2E9C-101B-9397-08002B2CF9AE}" pid="42" name="DokID">
    <vt:i4>80</vt:i4>
  </property>
</Properties>
</file>