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7A66C-3482-40D9-AFFA-2922668248F7}"/>
</file>

<file path=customXml/itemProps2.xml><?xml version="1.0" encoding="utf-8"?>
<ds:datastoreItem xmlns:ds="http://schemas.openxmlformats.org/officeDocument/2006/customXml" ds:itemID="{4A95F5D3-253E-413C-9E3A-B33EA5162E12}"/>
</file>

<file path=customXml/itemProps3.xml><?xml version="1.0" encoding="utf-8"?>
<ds:datastoreItem xmlns:ds="http://schemas.openxmlformats.org/officeDocument/2006/customXml" ds:itemID="{027E5C59-7941-4BCC-8205-4B19E0731D59}"/>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