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706" w:rsidRPr="009C3D56" w:rsidRDefault="00F25706">
      <w:pPr>
        <w:pStyle w:val="Hemstlrubrik"/>
        <w:shd w:val="clear" w:color="000000" w:fill="auto"/>
      </w:pPr>
      <w:r w:rsidRPr="009C3D56">
        <w:t>Förslag till riksdagsbeslut</w:t>
      </w:r>
    </w:p>
    <w:p w:rsidR="007D149D" w:rsidRPr="009C3D56" w:rsidRDefault="007D149D">
      <w:pPr>
        <w:pStyle w:val="Hemstlatt"/>
        <w:numPr>
          <w:ilvl w:val="0"/>
          <w:numId w:val="1"/>
        </w:numPr>
        <w:shd w:val="clear" w:color="000000" w:fill="auto"/>
      </w:pPr>
      <w:r w:rsidRPr="009C3D56">
        <w:t>Riksdagen avslår vad regeringen föreslår om a</w:t>
      </w:r>
      <w:r w:rsidRPr="009C3D56">
        <w:t>v</w:t>
      </w:r>
      <w:r w:rsidRPr="009C3D56">
        <w:t>trappning av den statliga bostadsbyggnadssubventionen, det s.k. ränteb</w:t>
      </w:r>
      <w:r w:rsidRPr="009C3D56">
        <w:t>i</w:t>
      </w:r>
      <w:r w:rsidRPr="009C3D56">
        <w:t>draget.</w:t>
      </w:r>
    </w:p>
    <w:p w:rsidR="007D149D" w:rsidRPr="009C3D56" w:rsidRDefault="007D149D">
      <w:pPr>
        <w:pStyle w:val="Hemstlatt"/>
        <w:numPr>
          <w:ilvl w:val="0"/>
          <w:numId w:val="1"/>
        </w:numPr>
        <w:shd w:val="clear" w:color="000000" w:fill="auto"/>
      </w:pPr>
      <w:r w:rsidRPr="009C3D56">
        <w:t>Riksdagen anvisar med följande ändringar i förhållande till regeringens förslag anslagen under utgiftsområde 18 Samhällsplanering, byggande samt konsumentpolitik enligt uppställningen.</w:t>
      </w:r>
    </w:p>
    <w:tbl>
      <w:tblPr>
        <w:tblW w:w="5492" w:type="dxa"/>
        <w:tblInd w:w="430" w:type="dxa"/>
        <w:tblCellMar>
          <w:left w:w="70" w:type="dxa"/>
          <w:right w:w="70" w:type="dxa"/>
        </w:tblCellMar>
        <w:tblLook w:val="0000" w:firstRow="0" w:lastRow="0" w:firstColumn="0" w:lastColumn="0" w:noHBand="0" w:noVBand="0"/>
      </w:tblPr>
      <w:tblGrid>
        <w:gridCol w:w="3615"/>
        <w:gridCol w:w="946"/>
        <w:gridCol w:w="931"/>
      </w:tblGrid>
      <w:tr w:rsidR="00F87D34" w:rsidRPr="009C3D56">
        <w:trPr>
          <w:trHeight w:val="420"/>
        </w:trPr>
        <w:tc>
          <w:tcPr>
            <w:tcW w:w="3615" w:type="dxa"/>
            <w:tcBorders>
              <w:top w:val="single" w:sz="4" w:space="0" w:color="auto"/>
              <w:bottom w:val="single" w:sz="4" w:space="0" w:color="auto"/>
            </w:tcBorders>
            <w:vAlign w:val="bottom"/>
          </w:tcPr>
          <w:p w:rsidR="007D149D" w:rsidRPr="009C3D56" w:rsidRDefault="007D149D">
            <w:pPr>
              <w:shd w:val="clear" w:color="000000" w:fill="auto"/>
              <w:spacing w:before="60" w:line="200" w:lineRule="exact"/>
              <w:rPr>
                <w:b/>
                <w:bCs/>
                <w:color w:val="000000"/>
                <w:sz w:val="16"/>
                <w:szCs w:val="16"/>
              </w:rPr>
            </w:pPr>
            <w:r w:rsidRPr="009C3D56">
              <w:rPr>
                <w:b/>
                <w:bCs/>
                <w:color w:val="000000"/>
                <w:sz w:val="16"/>
                <w:szCs w:val="16"/>
              </w:rPr>
              <w:t xml:space="preserve">UO 18 </w:t>
            </w:r>
            <w:r w:rsidRPr="009C3D56">
              <w:rPr>
                <w:b/>
                <w:sz w:val="16"/>
                <w:szCs w:val="16"/>
              </w:rPr>
              <w:t>Samhällsplanering, byggande samt konsumentpolitik</w:t>
            </w:r>
          </w:p>
        </w:tc>
        <w:tc>
          <w:tcPr>
            <w:tcW w:w="946" w:type="dxa"/>
            <w:tcBorders>
              <w:top w:val="single" w:sz="4" w:space="0" w:color="auto"/>
              <w:bottom w:val="single" w:sz="4" w:space="0" w:color="auto"/>
            </w:tcBorders>
            <w:vAlign w:val="bottom"/>
          </w:tcPr>
          <w:p w:rsidR="007D149D" w:rsidRPr="009C3D56" w:rsidRDefault="007D149D">
            <w:pPr>
              <w:shd w:val="clear" w:color="000000" w:fill="auto"/>
              <w:spacing w:before="60" w:line="200" w:lineRule="exact"/>
              <w:jc w:val="right"/>
              <w:rPr>
                <w:b/>
                <w:bCs/>
                <w:color w:val="000000"/>
                <w:spacing w:val="-4"/>
                <w:sz w:val="16"/>
                <w:szCs w:val="16"/>
              </w:rPr>
            </w:pPr>
            <w:r w:rsidRPr="009C3D56">
              <w:rPr>
                <w:b/>
                <w:bCs/>
                <w:color w:val="000000"/>
                <w:spacing w:val="-4"/>
                <w:sz w:val="16"/>
                <w:szCs w:val="16"/>
              </w:rPr>
              <w:t>Regeringens förslag (</w:t>
            </w:r>
            <w:r w:rsidRPr="009C3D56">
              <w:rPr>
                <w:b/>
                <w:color w:val="000000"/>
                <w:spacing w:val="-4"/>
                <w:sz w:val="16"/>
                <w:szCs w:val="16"/>
              </w:rPr>
              <w:t>tkr)</w:t>
            </w:r>
          </w:p>
        </w:tc>
        <w:tc>
          <w:tcPr>
            <w:tcW w:w="931" w:type="dxa"/>
            <w:tcBorders>
              <w:top w:val="single" w:sz="4" w:space="0" w:color="auto"/>
              <w:bottom w:val="single" w:sz="4" w:space="0" w:color="auto"/>
            </w:tcBorders>
          </w:tcPr>
          <w:p w:rsidR="007D149D" w:rsidRPr="009C3D56" w:rsidRDefault="007D149D">
            <w:pPr>
              <w:shd w:val="clear" w:color="000000" w:fill="auto"/>
              <w:spacing w:before="60" w:line="200" w:lineRule="exact"/>
              <w:jc w:val="right"/>
              <w:rPr>
                <w:b/>
                <w:bCs/>
                <w:color w:val="000000"/>
                <w:spacing w:val="-4"/>
                <w:sz w:val="16"/>
                <w:szCs w:val="16"/>
              </w:rPr>
            </w:pPr>
            <w:r w:rsidRPr="009C3D56">
              <w:rPr>
                <w:b/>
                <w:bCs/>
                <w:color w:val="000000"/>
                <w:spacing w:val="-4"/>
                <w:sz w:val="16"/>
                <w:szCs w:val="16"/>
              </w:rPr>
              <w:t>Förändring (</w:t>
            </w:r>
            <w:r w:rsidRPr="009C3D56">
              <w:rPr>
                <w:b/>
                <w:color w:val="000000"/>
                <w:spacing w:val="-4"/>
                <w:sz w:val="16"/>
                <w:szCs w:val="16"/>
              </w:rPr>
              <w:t>tkr)</w:t>
            </w:r>
          </w:p>
        </w:tc>
      </w:tr>
      <w:tr w:rsidR="00F87D34" w:rsidRPr="009C3D56">
        <w:tc>
          <w:tcPr>
            <w:tcW w:w="3615" w:type="dxa"/>
            <w:tcBorders>
              <w:top w:val="single" w:sz="4" w:space="0" w:color="auto"/>
            </w:tcBorders>
            <w:noWrap/>
            <w:vAlign w:val="bottom"/>
          </w:tcPr>
          <w:p w:rsidR="007D149D" w:rsidRPr="009C3D56" w:rsidRDefault="007D149D">
            <w:pPr>
              <w:shd w:val="clear" w:color="000000" w:fill="auto"/>
              <w:spacing w:before="60" w:line="200" w:lineRule="exact"/>
              <w:rPr>
                <w:sz w:val="16"/>
                <w:szCs w:val="16"/>
              </w:rPr>
            </w:pPr>
            <w:r w:rsidRPr="009C3D56">
              <w:rPr>
                <w:sz w:val="16"/>
                <w:szCs w:val="16"/>
              </w:rPr>
              <w:t xml:space="preserve">31:2 Räntebidrag m.m. </w:t>
            </w:r>
          </w:p>
        </w:tc>
        <w:tc>
          <w:tcPr>
            <w:tcW w:w="946" w:type="dxa"/>
            <w:tcBorders>
              <w:top w:val="single" w:sz="4" w:space="0" w:color="auto"/>
            </w:tcBorders>
          </w:tcPr>
          <w:p w:rsidR="007D149D" w:rsidRPr="009C3D56" w:rsidRDefault="007D149D">
            <w:pPr>
              <w:shd w:val="clear" w:color="000000" w:fill="auto"/>
              <w:spacing w:before="60" w:line="200" w:lineRule="exact"/>
              <w:jc w:val="right"/>
              <w:rPr>
                <w:color w:val="000000"/>
                <w:sz w:val="16"/>
                <w:szCs w:val="16"/>
              </w:rPr>
            </w:pPr>
            <w:r w:rsidRPr="009C3D56">
              <w:rPr>
                <w:color w:val="000000"/>
                <w:sz w:val="16"/>
                <w:szCs w:val="16"/>
              </w:rPr>
              <w:t>1 013 963</w:t>
            </w:r>
          </w:p>
        </w:tc>
        <w:tc>
          <w:tcPr>
            <w:tcW w:w="931" w:type="dxa"/>
            <w:tcBorders>
              <w:top w:val="single" w:sz="4" w:space="0" w:color="auto"/>
            </w:tcBorders>
          </w:tcPr>
          <w:p w:rsidR="007D149D" w:rsidRPr="009C3D56" w:rsidRDefault="007D149D">
            <w:pPr>
              <w:shd w:val="clear" w:color="000000" w:fill="auto"/>
              <w:spacing w:before="60" w:line="200" w:lineRule="exact"/>
              <w:jc w:val="right"/>
              <w:rPr>
                <w:color w:val="000000"/>
                <w:sz w:val="16"/>
                <w:szCs w:val="16"/>
              </w:rPr>
            </w:pPr>
            <w:r w:rsidRPr="009C3D56">
              <w:rPr>
                <w:color w:val="000000"/>
                <w:sz w:val="16"/>
                <w:szCs w:val="16"/>
              </w:rPr>
              <w:t>944 701</w:t>
            </w:r>
          </w:p>
        </w:tc>
      </w:tr>
      <w:tr w:rsidR="00F87D34" w:rsidRPr="009C3D56">
        <w:tc>
          <w:tcPr>
            <w:tcW w:w="3615" w:type="dxa"/>
            <w:noWrap/>
            <w:vAlign w:val="bottom"/>
          </w:tcPr>
          <w:p w:rsidR="007D149D" w:rsidRPr="009C3D56" w:rsidRDefault="007D149D">
            <w:pPr>
              <w:shd w:val="clear" w:color="000000" w:fill="auto"/>
              <w:spacing w:before="60" w:line="200" w:lineRule="exact"/>
              <w:rPr>
                <w:sz w:val="16"/>
                <w:szCs w:val="16"/>
              </w:rPr>
            </w:pPr>
            <w:r w:rsidRPr="009C3D56">
              <w:rPr>
                <w:sz w:val="16"/>
                <w:szCs w:val="16"/>
              </w:rPr>
              <w:t>31:12 Ungdomsbostadssamordnare</w:t>
            </w:r>
          </w:p>
        </w:tc>
        <w:tc>
          <w:tcPr>
            <w:tcW w:w="946" w:type="dxa"/>
          </w:tcPr>
          <w:p w:rsidR="007D149D" w:rsidRPr="009C3D56" w:rsidRDefault="007D149D">
            <w:pPr>
              <w:shd w:val="clear" w:color="000000" w:fill="auto"/>
              <w:spacing w:before="60" w:line="200" w:lineRule="exact"/>
              <w:jc w:val="right"/>
              <w:rPr>
                <w:color w:val="000000"/>
                <w:sz w:val="16"/>
                <w:szCs w:val="16"/>
              </w:rPr>
            </w:pPr>
            <w:r w:rsidRPr="009C3D56">
              <w:rPr>
                <w:sz w:val="16"/>
                <w:szCs w:val="16"/>
              </w:rPr>
              <w:t>1 000</w:t>
            </w:r>
          </w:p>
        </w:tc>
        <w:tc>
          <w:tcPr>
            <w:tcW w:w="931" w:type="dxa"/>
          </w:tcPr>
          <w:p w:rsidR="007D149D" w:rsidRPr="009C3D56" w:rsidRDefault="007D149D">
            <w:pPr>
              <w:shd w:val="clear" w:color="000000" w:fill="auto"/>
              <w:spacing w:before="60" w:line="200" w:lineRule="exact"/>
              <w:jc w:val="right"/>
              <w:rPr>
                <w:color w:val="000000"/>
                <w:sz w:val="16"/>
                <w:szCs w:val="16"/>
              </w:rPr>
            </w:pPr>
            <w:r w:rsidRPr="009C3D56">
              <w:rPr>
                <w:sz w:val="16"/>
                <w:szCs w:val="16"/>
              </w:rPr>
              <w:t>1 491</w:t>
            </w:r>
          </w:p>
        </w:tc>
      </w:tr>
      <w:tr w:rsidR="00F87D34" w:rsidRPr="009C3D56">
        <w:tc>
          <w:tcPr>
            <w:tcW w:w="3615" w:type="dxa"/>
            <w:noWrap/>
            <w:vAlign w:val="bottom"/>
          </w:tcPr>
          <w:p w:rsidR="007D149D" w:rsidRPr="009C3D56" w:rsidRDefault="007D149D">
            <w:pPr>
              <w:shd w:val="clear" w:color="000000" w:fill="auto"/>
              <w:spacing w:before="60" w:line="200" w:lineRule="exact"/>
              <w:rPr>
                <w:sz w:val="16"/>
                <w:szCs w:val="16"/>
              </w:rPr>
            </w:pPr>
            <w:r w:rsidRPr="009C3D56">
              <w:rPr>
                <w:sz w:val="16"/>
                <w:szCs w:val="16"/>
              </w:rPr>
              <w:t>31:15 NYTT ANSLAG Nationell samordnare koop</w:t>
            </w:r>
            <w:r w:rsidRPr="009C3D56">
              <w:rPr>
                <w:sz w:val="16"/>
                <w:szCs w:val="16"/>
              </w:rPr>
              <w:t>e</w:t>
            </w:r>
            <w:r w:rsidRPr="009C3D56">
              <w:rPr>
                <w:sz w:val="16"/>
                <w:szCs w:val="16"/>
              </w:rPr>
              <w:t>rativa hyresrätter</w:t>
            </w:r>
          </w:p>
        </w:tc>
        <w:tc>
          <w:tcPr>
            <w:tcW w:w="946" w:type="dxa"/>
          </w:tcPr>
          <w:p w:rsidR="007D149D" w:rsidRPr="009C3D56" w:rsidRDefault="007D149D">
            <w:pPr>
              <w:shd w:val="clear" w:color="000000" w:fill="auto"/>
              <w:spacing w:before="60" w:line="200" w:lineRule="exact"/>
              <w:jc w:val="right"/>
              <w:rPr>
                <w:color w:val="000000"/>
                <w:sz w:val="16"/>
                <w:szCs w:val="16"/>
              </w:rPr>
            </w:pPr>
          </w:p>
        </w:tc>
        <w:tc>
          <w:tcPr>
            <w:tcW w:w="931" w:type="dxa"/>
            <w:vAlign w:val="bottom"/>
          </w:tcPr>
          <w:p w:rsidR="007D149D" w:rsidRPr="009C3D56" w:rsidRDefault="007D149D">
            <w:pPr>
              <w:shd w:val="clear" w:color="000000" w:fill="auto"/>
              <w:spacing w:before="60" w:line="200" w:lineRule="exact"/>
              <w:jc w:val="right"/>
              <w:rPr>
                <w:color w:val="000000"/>
                <w:sz w:val="16"/>
                <w:szCs w:val="16"/>
              </w:rPr>
            </w:pPr>
            <w:r w:rsidRPr="009C3D56">
              <w:rPr>
                <w:sz w:val="16"/>
                <w:szCs w:val="16"/>
              </w:rPr>
              <w:t>1 500</w:t>
            </w:r>
          </w:p>
        </w:tc>
      </w:tr>
      <w:tr w:rsidR="00F87D34" w:rsidRPr="009C3D56">
        <w:tc>
          <w:tcPr>
            <w:tcW w:w="3615" w:type="dxa"/>
            <w:noWrap/>
            <w:vAlign w:val="bottom"/>
          </w:tcPr>
          <w:p w:rsidR="007D149D" w:rsidRPr="009C3D56" w:rsidRDefault="007D149D">
            <w:pPr>
              <w:shd w:val="clear" w:color="000000" w:fill="auto"/>
              <w:spacing w:before="60" w:line="200" w:lineRule="exact"/>
              <w:rPr>
                <w:sz w:val="16"/>
                <w:szCs w:val="16"/>
              </w:rPr>
            </w:pPr>
            <w:r w:rsidRPr="009C3D56">
              <w:rPr>
                <w:sz w:val="16"/>
                <w:szCs w:val="16"/>
              </w:rPr>
              <w:t>31:16 NYTT ANSLAG Sanering av förorenade områden i tätort</w:t>
            </w:r>
          </w:p>
        </w:tc>
        <w:tc>
          <w:tcPr>
            <w:tcW w:w="946" w:type="dxa"/>
          </w:tcPr>
          <w:p w:rsidR="007D149D" w:rsidRPr="009C3D56" w:rsidRDefault="007D149D">
            <w:pPr>
              <w:shd w:val="clear" w:color="000000" w:fill="auto"/>
              <w:spacing w:before="60" w:line="200" w:lineRule="exact"/>
              <w:jc w:val="right"/>
              <w:rPr>
                <w:color w:val="000000"/>
                <w:sz w:val="16"/>
                <w:szCs w:val="16"/>
              </w:rPr>
            </w:pPr>
          </w:p>
        </w:tc>
        <w:tc>
          <w:tcPr>
            <w:tcW w:w="931" w:type="dxa"/>
            <w:vAlign w:val="bottom"/>
          </w:tcPr>
          <w:p w:rsidR="007D149D" w:rsidRPr="009C3D56" w:rsidRDefault="007D149D">
            <w:pPr>
              <w:shd w:val="clear" w:color="000000" w:fill="auto"/>
              <w:spacing w:before="60" w:line="200" w:lineRule="exact"/>
              <w:jc w:val="right"/>
              <w:rPr>
                <w:color w:val="000000"/>
                <w:sz w:val="16"/>
                <w:szCs w:val="16"/>
              </w:rPr>
            </w:pPr>
            <w:r w:rsidRPr="009C3D56">
              <w:rPr>
                <w:sz w:val="16"/>
                <w:szCs w:val="16"/>
              </w:rPr>
              <w:t>150 000</w:t>
            </w:r>
          </w:p>
        </w:tc>
      </w:tr>
      <w:tr w:rsidR="00F87D34" w:rsidRPr="009C3D56">
        <w:tc>
          <w:tcPr>
            <w:tcW w:w="3615" w:type="dxa"/>
            <w:noWrap/>
            <w:vAlign w:val="bottom"/>
          </w:tcPr>
          <w:p w:rsidR="007D149D" w:rsidRPr="009C3D56" w:rsidRDefault="007D149D">
            <w:pPr>
              <w:shd w:val="clear" w:color="000000" w:fill="auto"/>
              <w:spacing w:before="60" w:line="200" w:lineRule="exact"/>
              <w:rPr>
                <w:sz w:val="16"/>
                <w:szCs w:val="16"/>
              </w:rPr>
            </w:pPr>
            <w:r w:rsidRPr="009C3D56">
              <w:rPr>
                <w:sz w:val="16"/>
                <w:szCs w:val="16"/>
              </w:rPr>
              <w:t>31:17 NYTT ANSLAG Investeringsbidrag för anor</w:t>
            </w:r>
            <w:r w:rsidRPr="009C3D56">
              <w:rPr>
                <w:sz w:val="16"/>
                <w:szCs w:val="16"/>
              </w:rPr>
              <w:t>d</w:t>
            </w:r>
            <w:r w:rsidRPr="009C3D56">
              <w:rPr>
                <w:sz w:val="16"/>
                <w:szCs w:val="16"/>
              </w:rPr>
              <w:t>nande av hyresbostäder</w:t>
            </w:r>
          </w:p>
        </w:tc>
        <w:tc>
          <w:tcPr>
            <w:tcW w:w="946" w:type="dxa"/>
          </w:tcPr>
          <w:p w:rsidR="007D149D" w:rsidRPr="009C3D56" w:rsidRDefault="007D149D">
            <w:pPr>
              <w:shd w:val="clear" w:color="000000" w:fill="auto"/>
              <w:spacing w:before="60" w:line="200" w:lineRule="exact"/>
              <w:jc w:val="right"/>
              <w:rPr>
                <w:color w:val="000000"/>
                <w:sz w:val="16"/>
                <w:szCs w:val="16"/>
              </w:rPr>
            </w:pPr>
          </w:p>
        </w:tc>
        <w:tc>
          <w:tcPr>
            <w:tcW w:w="931" w:type="dxa"/>
            <w:vAlign w:val="bottom"/>
          </w:tcPr>
          <w:p w:rsidR="007D149D" w:rsidRPr="009C3D56" w:rsidRDefault="007D149D">
            <w:pPr>
              <w:shd w:val="clear" w:color="000000" w:fill="auto"/>
              <w:spacing w:before="60" w:line="200" w:lineRule="exact"/>
              <w:jc w:val="right"/>
              <w:rPr>
                <w:color w:val="000000"/>
                <w:sz w:val="16"/>
                <w:szCs w:val="16"/>
              </w:rPr>
            </w:pPr>
            <w:r w:rsidRPr="009C3D56">
              <w:rPr>
                <w:color w:val="000000"/>
                <w:sz w:val="16"/>
                <w:szCs w:val="16"/>
              </w:rPr>
              <w:t>816 000</w:t>
            </w:r>
          </w:p>
        </w:tc>
      </w:tr>
      <w:tr w:rsidR="00F87D34" w:rsidRPr="009C3D56">
        <w:tc>
          <w:tcPr>
            <w:tcW w:w="3615" w:type="dxa"/>
            <w:noWrap/>
            <w:vAlign w:val="bottom"/>
          </w:tcPr>
          <w:p w:rsidR="007D149D" w:rsidRPr="009C3D56" w:rsidRDefault="007D149D">
            <w:pPr>
              <w:shd w:val="clear" w:color="000000" w:fill="auto"/>
              <w:spacing w:before="60" w:line="200" w:lineRule="exact"/>
              <w:rPr>
                <w:sz w:val="16"/>
                <w:szCs w:val="16"/>
              </w:rPr>
            </w:pPr>
            <w:r w:rsidRPr="009C3D56">
              <w:rPr>
                <w:sz w:val="16"/>
                <w:szCs w:val="16"/>
              </w:rPr>
              <w:t>40:2 Konsumentverket</w:t>
            </w:r>
          </w:p>
        </w:tc>
        <w:tc>
          <w:tcPr>
            <w:tcW w:w="946" w:type="dxa"/>
          </w:tcPr>
          <w:p w:rsidR="007D149D" w:rsidRPr="009C3D56" w:rsidRDefault="007D149D">
            <w:pPr>
              <w:shd w:val="clear" w:color="000000" w:fill="auto"/>
              <w:spacing w:before="60" w:line="200" w:lineRule="exact"/>
              <w:jc w:val="right"/>
              <w:rPr>
                <w:color w:val="000000"/>
                <w:sz w:val="16"/>
                <w:szCs w:val="16"/>
              </w:rPr>
            </w:pPr>
            <w:r w:rsidRPr="009C3D56">
              <w:rPr>
                <w:sz w:val="16"/>
                <w:szCs w:val="16"/>
              </w:rPr>
              <w:t>112 088</w:t>
            </w:r>
          </w:p>
        </w:tc>
        <w:tc>
          <w:tcPr>
            <w:tcW w:w="931" w:type="dxa"/>
          </w:tcPr>
          <w:p w:rsidR="007D149D" w:rsidRPr="009C3D56" w:rsidRDefault="007D149D">
            <w:pPr>
              <w:shd w:val="clear" w:color="000000" w:fill="auto"/>
              <w:spacing w:before="60" w:line="200" w:lineRule="exact"/>
              <w:jc w:val="right"/>
              <w:rPr>
                <w:color w:val="000000"/>
                <w:sz w:val="16"/>
                <w:szCs w:val="16"/>
              </w:rPr>
            </w:pPr>
            <w:r w:rsidRPr="009C3D56">
              <w:rPr>
                <w:sz w:val="16"/>
                <w:szCs w:val="16"/>
              </w:rPr>
              <w:t>3 000</w:t>
            </w:r>
          </w:p>
        </w:tc>
      </w:tr>
      <w:tr w:rsidR="00F87D34" w:rsidRPr="009C3D56">
        <w:tc>
          <w:tcPr>
            <w:tcW w:w="3615" w:type="dxa"/>
            <w:noWrap/>
            <w:vAlign w:val="bottom"/>
          </w:tcPr>
          <w:p w:rsidR="007D149D" w:rsidRPr="009C3D56" w:rsidRDefault="007D149D">
            <w:pPr>
              <w:shd w:val="clear" w:color="000000" w:fill="auto"/>
              <w:spacing w:before="60" w:line="200" w:lineRule="exact"/>
              <w:rPr>
                <w:sz w:val="16"/>
                <w:szCs w:val="16"/>
              </w:rPr>
            </w:pPr>
            <w:r w:rsidRPr="009C3D56">
              <w:rPr>
                <w:sz w:val="16"/>
                <w:szCs w:val="16"/>
              </w:rPr>
              <w:t>40:7 NYTT ANSLAG Konsumentvägledare för kommunerna</w:t>
            </w:r>
          </w:p>
        </w:tc>
        <w:tc>
          <w:tcPr>
            <w:tcW w:w="946" w:type="dxa"/>
            <w:noWrap/>
          </w:tcPr>
          <w:p w:rsidR="007D149D" w:rsidRPr="009C3D56" w:rsidRDefault="007D149D">
            <w:pPr>
              <w:shd w:val="clear" w:color="000000" w:fill="auto"/>
              <w:spacing w:before="60" w:line="200" w:lineRule="exact"/>
              <w:jc w:val="right"/>
              <w:rPr>
                <w:color w:val="000000"/>
                <w:sz w:val="16"/>
                <w:szCs w:val="16"/>
              </w:rPr>
            </w:pPr>
          </w:p>
        </w:tc>
        <w:tc>
          <w:tcPr>
            <w:tcW w:w="931" w:type="dxa"/>
            <w:noWrap/>
            <w:vAlign w:val="bottom"/>
          </w:tcPr>
          <w:p w:rsidR="007D149D" w:rsidRPr="009C3D56" w:rsidRDefault="007D149D">
            <w:pPr>
              <w:shd w:val="clear" w:color="000000" w:fill="auto"/>
              <w:spacing w:before="60" w:line="200" w:lineRule="exact"/>
              <w:jc w:val="right"/>
              <w:rPr>
                <w:color w:val="000000"/>
                <w:sz w:val="16"/>
                <w:szCs w:val="16"/>
              </w:rPr>
            </w:pPr>
            <w:r w:rsidRPr="009C3D56">
              <w:rPr>
                <w:sz w:val="16"/>
                <w:szCs w:val="16"/>
              </w:rPr>
              <w:t>45 000</w:t>
            </w:r>
          </w:p>
        </w:tc>
      </w:tr>
      <w:tr w:rsidR="00F87D34" w:rsidRPr="009C3D56">
        <w:tc>
          <w:tcPr>
            <w:tcW w:w="3615" w:type="dxa"/>
            <w:tcBorders>
              <w:bottom w:val="single" w:sz="4" w:space="0" w:color="auto"/>
            </w:tcBorders>
            <w:noWrap/>
            <w:vAlign w:val="bottom"/>
          </w:tcPr>
          <w:p w:rsidR="007D149D" w:rsidRPr="009C3D56" w:rsidRDefault="007D149D">
            <w:pPr>
              <w:shd w:val="clear" w:color="000000" w:fill="auto"/>
              <w:spacing w:before="60" w:line="200" w:lineRule="exact"/>
              <w:rPr>
                <w:b/>
                <w:bCs/>
                <w:sz w:val="16"/>
                <w:szCs w:val="16"/>
              </w:rPr>
            </w:pPr>
            <w:r w:rsidRPr="009C3D56">
              <w:rPr>
                <w:b/>
                <w:bCs/>
                <w:sz w:val="16"/>
                <w:szCs w:val="16"/>
              </w:rPr>
              <w:t>Summa</w:t>
            </w:r>
          </w:p>
        </w:tc>
        <w:tc>
          <w:tcPr>
            <w:tcW w:w="946" w:type="dxa"/>
            <w:tcBorders>
              <w:bottom w:val="single" w:sz="4" w:space="0" w:color="auto"/>
            </w:tcBorders>
            <w:noWrap/>
            <w:vAlign w:val="bottom"/>
          </w:tcPr>
          <w:p w:rsidR="007D149D" w:rsidRPr="009C3D56" w:rsidRDefault="007D149D">
            <w:pPr>
              <w:shd w:val="clear" w:color="000000" w:fill="auto"/>
              <w:spacing w:before="60" w:line="200" w:lineRule="exact"/>
              <w:jc w:val="right"/>
              <w:rPr>
                <w:b/>
                <w:bCs/>
                <w:sz w:val="16"/>
                <w:szCs w:val="16"/>
              </w:rPr>
            </w:pPr>
            <w:r w:rsidRPr="009C3D56">
              <w:rPr>
                <w:b/>
                <w:bCs/>
                <w:sz w:val="16"/>
                <w:szCs w:val="16"/>
              </w:rPr>
              <w:t>5 730 472</w:t>
            </w:r>
          </w:p>
        </w:tc>
        <w:tc>
          <w:tcPr>
            <w:tcW w:w="931" w:type="dxa"/>
            <w:tcBorders>
              <w:bottom w:val="single" w:sz="4" w:space="0" w:color="auto"/>
            </w:tcBorders>
            <w:noWrap/>
            <w:vAlign w:val="bottom"/>
          </w:tcPr>
          <w:p w:rsidR="007D149D" w:rsidRPr="009C3D56" w:rsidRDefault="007D149D">
            <w:pPr>
              <w:shd w:val="clear" w:color="000000" w:fill="auto"/>
              <w:spacing w:before="60" w:line="200" w:lineRule="exact"/>
              <w:jc w:val="right"/>
              <w:rPr>
                <w:b/>
                <w:bCs/>
                <w:sz w:val="16"/>
                <w:szCs w:val="16"/>
              </w:rPr>
            </w:pPr>
            <w:r w:rsidRPr="009C3D56">
              <w:rPr>
                <w:b/>
                <w:bCs/>
                <w:sz w:val="16"/>
                <w:szCs w:val="16"/>
              </w:rPr>
              <w:t>1 961 692</w:t>
            </w:r>
          </w:p>
        </w:tc>
      </w:tr>
    </w:tbl>
    <w:p w:rsidR="00870C85" w:rsidRPr="009C3D56" w:rsidRDefault="00870C85">
      <w:pPr>
        <w:pStyle w:val="Rubrik1"/>
        <w:pageBreakBefore/>
        <w:shd w:val="clear" w:color="000000" w:fill="auto"/>
        <w:spacing w:before="0"/>
      </w:pPr>
      <w:r w:rsidRPr="009C3D56">
        <w:lastRenderedPageBreak/>
        <w:t xml:space="preserve">Sammanfattning av </w:t>
      </w:r>
      <w:r w:rsidR="004A55A5" w:rsidRPr="009C3D56">
        <w:t xml:space="preserve">Vänsterpartiets </w:t>
      </w:r>
      <w:r w:rsidRPr="009C3D56">
        <w:t>förslag</w:t>
      </w:r>
    </w:p>
    <w:p w:rsidR="003C7CC7" w:rsidRPr="009C3D56" w:rsidRDefault="003C7CC7">
      <w:pPr>
        <w:shd w:val="clear" w:color="000000" w:fill="auto"/>
        <w:rPr>
          <w:bCs/>
        </w:rPr>
      </w:pPr>
      <w:r w:rsidRPr="009C3D56">
        <w:t xml:space="preserve">För </w:t>
      </w:r>
      <w:r w:rsidR="00352C9C" w:rsidRPr="009C3D56">
        <w:t xml:space="preserve">Vänsterpartiet </w:t>
      </w:r>
      <w:r w:rsidRPr="009C3D56">
        <w:t xml:space="preserve">är </w:t>
      </w:r>
      <w:r w:rsidR="00352C9C" w:rsidRPr="009C3D56">
        <w:t xml:space="preserve">bostaden </w:t>
      </w:r>
      <w:r w:rsidRPr="009C3D56">
        <w:t>en</w:t>
      </w:r>
      <w:r w:rsidR="00352C9C" w:rsidRPr="009C3D56">
        <w:t xml:space="preserve"> social rättighet och inte en marknadsvara för ekonomisk vinst</w:t>
      </w:r>
      <w:r w:rsidRPr="009C3D56">
        <w:t>. A</w:t>
      </w:r>
      <w:r w:rsidR="00352C9C" w:rsidRPr="009C3D56">
        <w:rPr>
          <w:spacing w:val="-2"/>
        </w:rPr>
        <w:t>lla ha</w:t>
      </w:r>
      <w:r w:rsidRPr="009C3D56">
        <w:rPr>
          <w:spacing w:val="-2"/>
        </w:rPr>
        <w:t>r</w:t>
      </w:r>
      <w:r w:rsidR="00352C9C" w:rsidRPr="009C3D56">
        <w:rPr>
          <w:spacing w:val="-2"/>
        </w:rPr>
        <w:t xml:space="preserve"> rätt till en bra</w:t>
      </w:r>
      <w:r w:rsidR="00352C9C" w:rsidRPr="009C3D56">
        <w:t xml:space="preserve"> bostad utan krav på ekonomisk insats</w:t>
      </w:r>
      <w:r w:rsidR="003E2E83" w:rsidRPr="009C3D56">
        <w:t>. E</w:t>
      </w:r>
      <w:r w:rsidRPr="009C3D56">
        <w:t>n ansvars</w:t>
      </w:r>
      <w:r w:rsidR="00352C9C" w:rsidRPr="009C3D56">
        <w:t xml:space="preserve">full bostadspolitik </w:t>
      </w:r>
      <w:r w:rsidRPr="009C3D56">
        <w:t>sätter</w:t>
      </w:r>
      <w:r w:rsidR="00352C9C" w:rsidRPr="009C3D56">
        <w:t xml:space="preserve"> de mänskliga behoven före </w:t>
      </w:r>
      <w:r w:rsidRPr="009C3D56">
        <w:t>krav på kortsiktig avkastning</w:t>
      </w:r>
      <w:r w:rsidR="003E2E83" w:rsidRPr="009C3D56">
        <w:t>,</w:t>
      </w:r>
      <w:r w:rsidRPr="009C3D56">
        <w:t xml:space="preserve"> eftersom en h</w:t>
      </w:r>
      <w:r w:rsidR="00352C9C" w:rsidRPr="009C3D56">
        <w:t xml:space="preserve">ållbar utveckling </w:t>
      </w:r>
      <w:r w:rsidRPr="009C3D56">
        <w:t xml:space="preserve">inte bara </w:t>
      </w:r>
      <w:r w:rsidR="00352C9C" w:rsidRPr="009C3D56">
        <w:t xml:space="preserve">omfattar </w:t>
      </w:r>
      <w:r w:rsidR="00EE7C24" w:rsidRPr="009C3D56">
        <w:t>ek</w:t>
      </w:r>
      <w:r w:rsidR="00EE7C24" w:rsidRPr="009C3D56">
        <w:t>o</w:t>
      </w:r>
      <w:r w:rsidR="00EE7C24" w:rsidRPr="009C3D56">
        <w:t xml:space="preserve">nomiska och </w:t>
      </w:r>
      <w:r w:rsidR="00791279" w:rsidRPr="009C3D56">
        <w:t>ekologiska</w:t>
      </w:r>
      <w:r w:rsidR="00EE7C24" w:rsidRPr="009C3D56">
        <w:t xml:space="preserve"> aspekter utan även sociala.</w:t>
      </w:r>
    </w:p>
    <w:p w:rsidR="001A04A5" w:rsidRPr="009C3D56" w:rsidRDefault="00EE7C24">
      <w:pPr>
        <w:pStyle w:val="Normaltindrag"/>
        <w:shd w:val="clear" w:color="000000" w:fill="auto"/>
      </w:pPr>
      <w:r w:rsidRPr="009C3D56">
        <w:rPr>
          <w:bCs/>
        </w:rPr>
        <w:t>V</w:t>
      </w:r>
      <w:r w:rsidR="003C7CC7" w:rsidRPr="009C3D56">
        <w:rPr>
          <w:bCs/>
        </w:rPr>
        <w:t>änsterpartiets b</w:t>
      </w:r>
      <w:r w:rsidRPr="009C3D56">
        <w:rPr>
          <w:bCs/>
        </w:rPr>
        <w:t xml:space="preserve">ostadspolitiska mål är att utveckla </w:t>
      </w:r>
      <w:r w:rsidRPr="009C3D56">
        <w:rPr>
          <w:spacing w:val="-2"/>
        </w:rPr>
        <w:t>en flexibel bostad</w:t>
      </w:r>
      <w:r w:rsidRPr="009C3D56">
        <w:rPr>
          <w:spacing w:val="-2"/>
        </w:rPr>
        <w:t>s</w:t>
      </w:r>
      <w:r w:rsidRPr="009C3D56">
        <w:rPr>
          <w:spacing w:val="-2"/>
        </w:rPr>
        <w:t>marknad med</w:t>
      </w:r>
      <w:r w:rsidR="003C7CC7" w:rsidRPr="009C3D56">
        <w:t xml:space="preserve"> olika upplåtelseformer som skapar </w:t>
      </w:r>
      <w:r w:rsidRPr="009C3D56">
        <w:t>socialt hållbara boendemi</w:t>
      </w:r>
      <w:r w:rsidRPr="009C3D56">
        <w:t>l</w:t>
      </w:r>
      <w:r w:rsidRPr="009C3D56">
        <w:t xml:space="preserve">jöer </w:t>
      </w:r>
      <w:r w:rsidR="003C7CC7" w:rsidRPr="009C3D56">
        <w:t xml:space="preserve">där alla får </w:t>
      </w:r>
      <w:r w:rsidRPr="009C3D56">
        <w:t>plats</w:t>
      </w:r>
      <w:r w:rsidR="003C7CC7" w:rsidRPr="009C3D56">
        <w:t xml:space="preserve">, </w:t>
      </w:r>
      <w:r w:rsidRPr="009C3D56">
        <w:t>oavsett ekonomiska tillgångar. I de</w:t>
      </w:r>
      <w:r w:rsidR="001A04A5" w:rsidRPr="009C3D56">
        <w:t xml:space="preserve">nna strävan </w:t>
      </w:r>
      <w:r w:rsidR="00D76B89" w:rsidRPr="009C3D56">
        <w:t>har</w:t>
      </w:r>
      <w:r w:rsidR="001A04A5" w:rsidRPr="009C3D56">
        <w:t xml:space="preserve"> </w:t>
      </w:r>
      <w:r w:rsidRPr="009C3D56">
        <w:t>de allmännyttiga bostadsbolagen, de privata hyresvärdarna och marknadens produktion av villor, radhus och bostadsrätter samma dignitet. Allmännyttan</w:t>
      </w:r>
      <w:r w:rsidR="003C7CC7" w:rsidRPr="009C3D56">
        <w:t>, med dess hyresnormerande</w:t>
      </w:r>
      <w:r w:rsidRPr="009C3D56">
        <w:t xml:space="preserve"> roll</w:t>
      </w:r>
      <w:r w:rsidR="003C7CC7" w:rsidRPr="009C3D56">
        <w:t>,</w:t>
      </w:r>
      <w:r w:rsidR="001A04A5" w:rsidRPr="009C3D56">
        <w:t xml:space="preserve"> </w:t>
      </w:r>
      <w:r w:rsidR="004A55A5" w:rsidRPr="009C3D56">
        <w:t>ska</w:t>
      </w:r>
      <w:r w:rsidRPr="009C3D56">
        <w:t xml:space="preserve"> garantera att även människor utan kapital får tillgång till alla </w:t>
      </w:r>
      <w:r w:rsidRPr="009C3D56">
        <w:rPr>
          <w:spacing w:val="-2"/>
        </w:rPr>
        <w:t xml:space="preserve">bostadsområden. För </w:t>
      </w:r>
      <w:r w:rsidR="00D76B89" w:rsidRPr="009C3D56">
        <w:rPr>
          <w:spacing w:val="-2"/>
        </w:rPr>
        <w:t>oss</w:t>
      </w:r>
      <w:r w:rsidR="001A04A5" w:rsidRPr="009C3D56">
        <w:rPr>
          <w:spacing w:val="-2"/>
        </w:rPr>
        <w:t xml:space="preserve"> </w:t>
      </w:r>
      <w:r w:rsidRPr="009C3D56">
        <w:rPr>
          <w:spacing w:val="-2"/>
        </w:rPr>
        <w:t xml:space="preserve">är det därför </w:t>
      </w:r>
      <w:r w:rsidR="003C7CC7" w:rsidRPr="009C3D56">
        <w:rPr>
          <w:spacing w:val="-2"/>
        </w:rPr>
        <w:t xml:space="preserve">av största </w:t>
      </w:r>
      <w:r w:rsidRPr="009C3D56">
        <w:rPr>
          <w:spacing w:val="-2"/>
        </w:rPr>
        <w:t xml:space="preserve">vikt att stärka </w:t>
      </w:r>
      <w:r w:rsidR="003C7CC7" w:rsidRPr="009C3D56">
        <w:rPr>
          <w:spacing w:val="-2"/>
        </w:rPr>
        <w:t xml:space="preserve">de </w:t>
      </w:r>
      <w:r w:rsidRPr="009C3D56">
        <w:rPr>
          <w:spacing w:val="-2"/>
        </w:rPr>
        <w:t>allmännytt</w:t>
      </w:r>
      <w:r w:rsidR="003C7CC7" w:rsidRPr="009C3D56">
        <w:rPr>
          <w:spacing w:val="-2"/>
        </w:rPr>
        <w:t xml:space="preserve">iga bostadsbolagens </w:t>
      </w:r>
      <w:r w:rsidRPr="009C3D56">
        <w:t>ställning och stoppa framtida utfö</w:t>
      </w:r>
      <w:r w:rsidRPr="009C3D56">
        <w:t>r</w:t>
      </w:r>
      <w:r w:rsidRPr="009C3D56">
        <w:t>säljningar av våra gemensamma tillgångar.</w:t>
      </w:r>
      <w:r w:rsidR="001A04A5" w:rsidRPr="009C3D56">
        <w:t xml:space="preserve"> </w:t>
      </w:r>
      <w:r w:rsidR="00D76B89" w:rsidRPr="009C3D56">
        <w:t>Y</w:t>
      </w:r>
      <w:r w:rsidR="00791279" w:rsidRPr="009C3D56">
        <w:t>tterligare spekulationsfria uppl</w:t>
      </w:r>
      <w:r w:rsidR="00791279" w:rsidRPr="009C3D56">
        <w:t>å</w:t>
      </w:r>
      <w:r w:rsidR="00791279" w:rsidRPr="009C3D56">
        <w:t xml:space="preserve">telseformer måste </w:t>
      </w:r>
      <w:r w:rsidR="00D76B89" w:rsidRPr="009C3D56">
        <w:t xml:space="preserve">också </w:t>
      </w:r>
      <w:r w:rsidR="00791279" w:rsidRPr="009C3D56">
        <w:t xml:space="preserve">uppmuntras och </w:t>
      </w:r>
      <w:r w:rsidR="00D76B89" w:rsidRPr="009C3D56">
        <w:t xml:space="preserve">vi </w:t>
      </w:r>
      <w:r w:rsidR="00791279" w:rsidRPr="009C3D56">
        <w:t>aviserar därför ett nytt anslag för inrättandet av en nationell samordnar</w:t>
      </w:r>
      <w:r w:rsidR="00D76B89" w:rsidRPr="009C3D56">
        <w:t>e för kooperativa hyresrätter. S</w:t>
      </w:r>
      <w:r w:rsidR="00791279" w:rsidRPr="009C3D56">
        <w:t>e vidare Vänsterpartiets motion Utvecklandet</w:t>
      </w:r>
      <w:r w:rsidR="00D46401" w:rsidRPr="009C3D56">
        <w:t xml:space="preserve"> av den kooperativa hyresrätten (</w:t>
      </w:r>
      <w:r w:rsidR="004A55A5" w:rsidRPr="009C3D56">
        <w:t>C318</w:t>
      </w:r>
      <w:r w:rsidR="00D46401" w:rsidRPr="009C3D56">
        <w:t>)</w:t>
      </w:r>
      <w:r w:rsidR="00A5422B" w:rsidRPr="009C3D56">
        <w:t>.</w:t>
      </w:r>
    </w:p>
    <w:p w:rsidR="009A4504" w:rsidRPr="009C3D56" w:rsidRDefault="00D46401">
      <w:pPr>
        <w:pStyle w:val="Normaltindrag"/>
        <w:shd w:val="clear" w:color="000000" w:fill="auto"/>
        <w:rPr>
          <w:color w:val="000000"/>
        </w:rPr>
      </w:pPr>
      <w:r w:rsidRPr="009C3D56">
        <w:t>Ett mål för V</w:t>
      </w:r>
      <w:r w:rsidR="00BA1566" w:rsidRPr="009C3D56">
        <w:t xml:space="preserve">änsterpartiet är </w:t>
      </w:r>
      <w:r w:rsidR="001A04A5" w:rsidRPr="009C3D56">
        <w:t xml:space="preserve">att hyrorna ska hållas på en sådan nivå att de kan efterfrågas även av hushåll med de lägsta inkomsterna. </w:t>
      </w:r>
      <w:r w:rsidR="00791279" w:rsidRPr="009C3D56">
        <w:t xml:space="preserve">För detta krävs bl.a. att hyrestaket </w:t>
      </w:r>
      <w:r w:rsidR="006631DD" w:rsidRPr="009C3D56">
        <w:t>g</w:t>
      </w:r>
      <w:r w:rsidR="00791279" w:rsidRPr="009C3D56">
        <w:t xml:space="preserve">aranteras men också att produktionsstöden för byggandet av hyresrätter finns kvar och visar på långsiktighet. </w:t>
      </w:r>
      <w:r w:rsidR="001A04A5" w:rsidRPr="009C3D56">
        <w:t>B</w:t>
      </w:r>
      <w:r w:rsidR="009A4504" w:rsidRPr="009C3D56">
        <w:t xml:space="preserve">ostadsbidragens uppgift ska vara </w:t>
      </w:r>
      <w:r w:rsidRPr="009C3D56">
        <w:t xml:space="preserve">att </w:t>
      </w:r>
      <w:r w:rsidR="009A4504" w:rsidRPr="009C3D56">
        <w:t xml:space="preserve">ge </w:t>
      </w:r>
      <w:r w:rsidRPr="009C3D56">
        <w:t xml:space="preserve">hushållen </w:t>
      </w:r>
      <w:r w:rsidR="009A4504" w:rsidRPr="009C3D56">
        <w:t>samma möjlighet</w:t>
      </w:r>
      <w:r w:rsidRPr="009C3D56">
        <w:t xml:space="preserve">er till goda och </w:t>
      </w:r>
      <w:r w:rsidR="009A4504" w:rsidRPr="009C3D56">
        <w:t>tillräckligt rymliga bostäder</w:t>
      </w:r>
      <w:r w:rsidR="00BA1566" w:rsidRPr="009C3D56">
        <w:t>. P</w:t>
      </w:r>
      <w:r w:rsidR="009A4504" w:rsidRPr="009C3D56">
        <w:t>å sikt vill vi att fler grupper ska omfattas av bidraget än vad d</w:t>
      </w:r>
      <w:r w:rsidR="009A4504" w:rsidRPr="009C3D56">
        <w:t>a</w:t>
      </w:r>
      <w:r w:rsidR="009A4504" w:rsidRPr="009C3D56">
        <w:t>gens regler medger</w:t>
      </w:r>
      <w:r w:rsidR="00BA1566" w:rsidRPr="009C3D56">
        <w:t xml:space="preserve"> och att </w:t>
      </w:r>
      <w:r w:rsidR="009A4504" w:rsidRPr="009C3D56">
        <w:t>systemet ta</w:t>
      </w:r>
      <w:r w:rsidR="00BA1566" w:rsidRPr="009C3D56">
        <w:t>r</w:t>
      </w:r>
      <w:r w:rsidR="009A4504" w:rsidRPr="009C3D56">
        <w:rPr>
          <w:color w:val="000000"/>
        </w:rPr>
        <w:t xml:space="preserve"> större hänsyn till inkomst- och boe</w:t>
      </w:r>
      <w:r w:rsidR="009A4504" w:rsidRPr="009C3D56">
        <w:rPr>
          <w:color w:val="000000"/>
        </w:rPr>
        <w:t>n</w:t>
      </w:r>
      <w:r w:rsidR="009A4504" w:rsidRPr="009C3D56">
        <w:rPr>
          <w:color w:val="000000"/>
        </w:rPr>
        <w:t>dekostnadsutvecklingen</w:t>
      </w:r>
      <w:r w:rsidR="00BA1566" w:rsidRPr="009C3D56">
        <w:rPr>
          <w:color w:val="000000"/>
        </w:rPr>
        <w:t xml:space="preserve"> än i</w:t>
      </w:r>
      <w:r w:rsidRPr="009C3D56">
        <w:rPr>
          <w:color w:val="000000"/>
        </w:rPr>
        <w:t> </w:t>
      </w:r>
      <w:r w:rsidR="00BA1566" w:rsidRPr="009C3D56">
        <w:rPr>
          <w:color w:val="000000"/>
        </w:rPr>
        <w:t>dag</w:t>
      </w:r>
      <w:r w:rsidR="009A4504" w:rsidRPr="009C3D56">
        <w:rPr>
          <w:color w:val="000000"/>
        </w:rPr>
        <w:t>.</w:t>
      </w:r>
    </w:p>
    <w:p w:rsidR="00E828D8" w:rsidRPr="009C3D56" w:rsidRDefault="00D46401">
      <w:pPr>
        <w:pStyle w:val="Normaltindrag"/>
        <w:shd w:val="clear" w:color="000000" w:fill="auto"/>
      </w:pPr>
      <w:r w:rsidRPr="009C3D56">
        <w:t>Regeringen har avskaffat S</w:t>
      </w:r>
      <w:r w:rsidR="006631DD" w:rsidRPr="009C3D56">
        <w:t>amhällsbyggnadsdepartementet och samtidigt gjort kommun- och finansmarknadsministern ansvarig för bostadsfrågorna. I 2007 års budgetproposition ser Vänsterpartiet sammantaget en politik som saknar alla sociala ambitioner</w:t>
      </w:r>
      <w:r w:rsidR="00D76B89" w:rsidRPr="009C3D56">
        <w:t xml:space="preserve"> – e</w:t>
      </w:r>
      <w:r w:rsidR="006631DD" w:rsidRPr="009C3D56">
        <w:t>n bostadspolitik som formulerat om vår</w:t>
      </w:r>
      <w:r w:rsidR="00D76B89" w:rsidRPr="009C3D56">
        <w:t>t</w:t>
      </w:r>
      <w:r w:rsidR="006631DD" w:rsidRPr="009C3D56">
        <w:t xml:space="preserve"> hem till </w:t>
      </w:r>
      <w:r w:rsidR="00D76B89" w:rsidRPr="009C3D56">
        <w:t xml:space="preserve">ännu en </w:t>
      </w:r>
      <w:r w:rsidR="006631DD" w:rsidRPr="009C3D56">
        <w:t>kapitalvar</w:t>
      </w:r>
      <w:r w:rsidR="00D76B89" w:rsidRPr="009C3D56">
        <w:t>a</w:t>
      </w:r>
      <w:r w:rsidR="006631DD" w:rsidRPr="009C3D56">
        <w:t xml:space="preserve"> och konsekvent</w:t>
      </w:r>
      <w:r w:rsidR="00D76B89" w:rsidRPr="009C3D56">
        <w:t xml:space="preserve"> väljer att</w:t>
      </w:r>
      <w:r w:rsidRPr="009C3D56">
        <w:t xml:space="preserve"> kalla</w:t>
      </w:r>
      <w:r w:rsidR="006631DD" w:rsidRPr="009C3D56">
        <w:t xml:space="preserve"> oss alla för b</w:t>
      </w:r>
      <w:r w:rsidR="006631DD" w:rsidRPr="009C3D56">
        <w:t>o</w:t>
      </w:r>
      <w:r w:rsidR="006631DD" w:rsidRPr="009C3D56">
        <w:t xml:space="preserve">stadskonsumenter. Vi ser med oro på hur en bostadspolitik som inte har plats för de </w:t>
      </w:r>
      <w:r w:rsidR="00E828D8" w:rsidRPr="009C3D56">
        <w:t>mest utsatta i samhället</w:t>
      </w:r>
      <w:r w:rsidR="004A55A5" w:rsidRPr="009C3D56">
        <w:t xml:space="preserve"> tar form</w:t>
      </w:r>
      <w:r w:rsidR="00E828D8" w:rsidRPr="009C3D56">
        <w:t>.</w:t>
      </w:r>
      <w:r w:rsidR="006631DD" w:rsidRPr="009C3D56">
        <w:t xml:space="preserve"> När regeringen reducerar en bostad</w:t>
      </w:r>
      <w:r w:rsidR="006631DD" w:rsidRPr="009C3D56">
        <w:t>s</w:t>
      </w:r>
      <w:r w:rsidR="006631DD" w:rsidRPr="009C3D56">
        <w:t xml:space="preserve">sökande till att vara en kund sänder man ut tydliga signaler om vad som </w:t>
      </w:r>
      <w:r w:rsidR="00E828D8" w:rsidRPr="009C3D56">
        <w:t>ytte</w:t>
      </w:r>
      <w:r w:rsidR="00E828D8" w:rsidRPr="009C3D56">
        <w:t>r</w:t>
      </w:r>
      <w:r w:rsidR="00E828D8" w:rsidRPr="009C3D56">
        <w:t xml:space="preserve">ligare </w:t>
      </w:r>
      <w:r w:rsidR="006631DD" w:rsidRPr="009C3D56">
        <w:t xml:space="preserve">är att vänta. Marknaden kan </w:t>
      </w:r>
      <w:r w:rsidR="0074381B" w:rsidRPr="009C3D56">
        <w:t xml:space="preserve">dock </w:t>
      </w:r>
      <w:r w:rsidR="006631DD" w:rsidRPr="009C3D56">
        <w:t>aldrig garantera alla rätten till en god bostad.</w:t>
      </w:r>
    </w:p>
    <w:p w:rsidR="00E828D8" w:rsidRPr="009C3D56" w:rsidRDefault="00E828D8">
      <w:pPr>
        <w:pStyle w:val="Normaltindrag"/>
        <w:shd w:val="clear" w:color="000000" w:fill="auto"/>
      </w:pPr>
      <w:r w:rsidRPr="009C3D56">
        <w:t>I budgetpropositionen har man inte ens formulerat ett mål för bostadspol</w:t>
      </w:r>
      <w:r w:rsidRPr="009C3D56">
        <w:t>i</w:t>
      </w:r>
      <w:r w:rsidRPr="009C3D56">
        <w:t xml:space="preserve">tiken. Man har valt att </w:t>
      </w:r>
      <w:r w:rsidR="004A55A5" w:rsidRPr="009C3D56">
        <w:t>”</w:t>
      </w:r>
      <w:r w:rsidRPr="009C3D56">
        <w:t>återkomma vid ett senare tillfälle</w:t>
      </w:r>
      <w:r w:rsidR="004A55A5" w:rsidRPr="009C3D56">
        <w:t>”</w:t>
      </w:r>
      <w:r w:rsidRPr="009C3D56">
        <w:t>, och upprepar i</w:t>
      </w:r>
      <w:r w:rsidR="00D46401" w:rsidRPr="009C3D56">
        <w:t> </w:t>
      </w:r>
      <w:r w:rsidRPr="009C3D56">
        <w:t>stället föregående regerings bostadspolitiska mål, som även Vänsterpartiet står bakom. De indikatorer som syftar till att följa upp detta mål har därmed också fått följa med in i 2007 års budgetproposition, näst intill intakta. Men Vänsterpartiet noterar med oro att regeringen, trots uppenbar tidsbrist, hunnit med att stryka tre av avsnitten: boendeutgifter, trångboddhet och trygghet i boendet.</w:t>
      </w:r>
    </w:p>
    <w:p w:rsidR="006631DD" w:rsidRPr="009C3D56" w:rsidRDefault="006631DD">
      <w:pPr>
        <w:pStyle w:val="Normaltindrag"/>
        <w:shd w:val="clear" w:color="000000" w:fill="auto"/>
      </w:pPr>
      <w:r w:rsidRPr="009C3D56">
        <w:t>Regeringens linje slå</w:t>
      </w:r>
      <w:r w:rsidR="0074381B" w:rsidRPr="009C3D56">
        <w:t>r</w:t>
      </w:r>
      <w:r w:rsidRPr="009C3D56">
        <w:t xml:space="preserve"> väldigt olika mellan boendeformerna, och medför</w:t>
      </w:r>
      <w:r w:rsidR="0074381B" w:rsidRPr="009C3D56">
        <w:t xml:space="preserve"> därmed </w:t>
      </w:r>
      <w:r w:rsidRPr="009C3D56">
        <w:t>ytterligare skillnader i utvecklingen av hushållens konsumtionsu</w:t>
      </w:r>
      <w:r w:rsidRPr="009C3D56">
        <w:t>t</w:t>
      </w:r>
      <w:r w:rsidRPr="009C3D56">
        <w:t>rymme.</w:t>
      </w:r>
      <w:r w:rsidR="0074381B" w:rsidRPr="009C3D56">
        <w:t xml:space="preserve"> </w:t>
      </w:r>
      <w:r w:rsidR="00E828D8" w:rsidRPr="009C3D56">
        <w:t>Generellt har landets hyresgäster de högsta boendekostnaderna i förhållande till den disponibla inkomsten och det är dessa, h</w:t>
      </w:r>
      <w:r w:rsidR="0074381B" w:rsidRPr="009C3D56">
        <w:t>yresrättsinneh</w:t>
      </w:r>
      <w:r w:rsidR="0074381B" w:rsidRPr="009C3D56">
        <w:t>a</w:t>
      </w:r>
      <w:r w:rsidR="0074381B" w:rsidRPr="009C3D56">
        <w:t>varna</w:t>
      </w:r>
      <w:r w:rsidR="00E828D8" w:rsidRPr="009C3D56">
        <w:t>, som</w:t>
      </w:r>
      <w:r w:rsidR="0074381B" w:rsidRPr="009C3D56">
        <w:t xml:space="preserve"> är de stora förlorarna i 2007 års budgetmotion.</w:t>
      </w:r>
    </w:p>
    <w:p w:rsidR="00DB6759" w:rsidRPr="009C3D56" w:rsidRDefault="00730CAC">
      <w:pPr>
        <w:pStyle w:val="Normaltindrag"/>
        <w:shd w:val="clear" w:color="000000" w:fill="auto"/>
      </w:pPr>
      <w:r w:rsidRPr="009C3D56">
        <w:t>Vänsterpartiet har medverkat till att främja ett ökat byggande av hyresrä</w:t>
      </w:r>
      <w:r w:rsidRPr="009C3D56">
        <w:t>t</w:t>
      </w:r>
      <w:r w:rsidRPr="009C3D56">
        <w:t>ter de senaste åren. Produktionskostnaderna har successivt sjunkit, och hyro</w:t>
      </w:r>
      <w:r w:rsidRPr="009C3D56">
        <w:t>r</w:t>
      </w:r>
      <w:r w:rsidRPr="009C3D56">
        <w:t>na i de nya bostäderna är lägre än de skulle ha varit utan de statliga stöden för byggande av hyresrätter. För att tydliggöra att både nyproduktionen och o</w:t>
      </w:r>
      <w:r w:rsidRPr="009C3D56">
        <w:t>m</w:t>
      </w:r>
      <w:r w:rsidRPr="009C3D56">
        <w:t xml:space="preserve">byggnationen av bostäder måste </w:t>
      </w:r>
      <w:r w:rsidR="003C7CC7" w:rsidRPr="009C3D56">
        <w:t>fortsätta att öka</w:t>
      </w:r>
      <w:r w:rsidRPr="009C3D56">
        <w:t xml:space="preserve"> vill </w:t>
      </w:r>
      <w:r w:rsidR="003C7CC7" w:rsidRPr="009C3D56">
        <w:t>vi</w:t>
      </w:r>
      <w:r w:rsidRPr="009C3D56">
        <w:t xml:space="preserve"> sätta upp tydlig</w:t>
      </w:r>
      <w:r w:rsidR="003C7CC7" w:rsidRPr="009C3D56">
        <w:t>a pr</w:t>
      </w:r>
      <w:r w:rsidR="003C7CC7" w:rsidRPr="009C3D56">
        <w:t>o</w:t>
      </w:r>
      <w:r w:rsidR="003C7CC7" w:rsidRPr="009C3D56">
        <w:t xml:space="preserve">duktionsmål. Under </w:t>
      </w:r>
      <w:r w:rsidRPr="009C3D56">
        <w:t xml:space="preserve">den närmaste tioårsperioden bör </w:t>
      </w:r>
      <w:r w:rsidR="003C7CC7" w:rsidRPr="009C3D56">
        <w:t xml:space="preserve">det tillkomma </w:t>
      </w:r>
      <w:r w:rsidRPr="009C3D56">
        <w:t>40</w:t>
      </w:r>
      <w:r w:rsidR="003C7CC7" w:rsidRPr="009C3D56">
        <w:t> </w:t>
      </w:r>
      <w:r w:rsidRPr="009C3D56">
        <w:t xml:space="preserve">000 </w:t>
      </w:r>
      <w:r w:rsidR="003C7CC7" w:rsidRPr="009C3D56">
        <w:t xml:space="preserve">bostäder </w:t>
      </w:r>
      <w:r w:rsidRPr="009C3D56">
        <w:t xml:space="preserve">per år, </w:t>
      </w:r>
      <w:r w:rsidR="0074381B" w:rsidRPr="009C3D56">
        <w:t>av vilka hälften är hyresrätter. D</w:t>
      </w:r>
      <w:r w:rsidR="003C7CC7" w:rsidRPr="009C3D56">
        <w:t xml:space="preserve">essutom bör </w:t>
      </w:r>
      <w:r w:rsidRPr="009C3D56">
        <w:t>65</w:t>
      </w:r>
      <w:r w:rsidR="00D46401" w:rsidRPr="009C3D56">
        <w:t> </w:t>
      </w:r>
      <w:r w:rsidRPr="009C3D56">
        <w:t xml:space="preserve">000 </w:t>
      </w:r>
      <w:r w:rsidR="003C7CC7" w:rsidRPr="009C3D56">
        <w:t xml:space="preserve">bostäder </w:t>
      </w:r>
      <w:r w:rsidRPr="009C3D56">
        <w:t>per år</w:t>
      </w:r>
      <w:r w:rsidR="003C7CC7" w:rsidRPr="009C3D56">
        <w:t xml:space="preserve"> renoveras</w:t>
      </w:r>
      <w:r w:rsidR="0074381B" w:rsidRPr="009C3D56">
        <w:t xml:space="preserve"> under samma period</w:t>
      </w:r>
      <w:r w:rsidRPr="009C3D56">
        <w:t xml:space="preserve">. </w:t>
      </w:r>
      <w:r w:rsidR="00163E7C" w:rsidRPr="009C3D56">
        <w:t>S</w:t>
      </w:r>
      <w:r w:rsidR="00B443CB" w:rsidRPr="009C3D56">
        <w:t xml:space="preserve">taten har en självklar </w:t>
      </w:r>
      <w:r w:rsidR="00163E7C" w:rsidRPr="009C3D56">
        <w:t xml:space="preserve">uppgift </w:t>
      </w:r>
      <w:r w:rsidR="00B443CB" w:rsidRPr="009C3D56">
        <w:t>i att garantera alla invånare en god bostad</w:t>
      </w:r>
      <w:r w:rsidR="00163E7C" w:rsidRPr="009C3D56">
        <w:t xml:space="preserve"> och ska således även medverka till att </w:t>
      </w:r>
      <w:r w:rsidR="00B443CB" w:rsidRPr="009C3D56">
        <w:t xml:space="preserve">produktionsmålen uppnås. </w:t>
      </w:r>
      <w:r w:rsidR="00DB6759" w:rsidRPr="009C3D56">
        <w:t xml:space="preserve">Vänsterpartiet var drivande då </w:t>
      </w:r>
      <w:r w:rsidR="0074381B" w:rsidRPr="009C3D56">
        <w:t>nuvarande produ</w:t>
      </w:r>
      <w:r w:rsidR="0074381B" w:rsidRPr="009C3D56">
        <w:t>k</w:t>
      </w:r>
      <w:r w:rsidR="0074381B" w:rsidRPr="009C3D56">
        <w:t xml:space="preserve">tionsstöd för </w:t>
      </w:r>
      <w:r w:rsidR="00DB6759" w:rsidRPr="009C3D56">
        <w:t xml:space="preserve">hyresrätter infördes och </w:t>
      </w:r>
      <w:r w:rsidR="0074381B" w:rsidRPr="009C3D56">
        <w:t xml:space="preserve">även </w:t>
      </w:r>
      <w:r w:rsidR="00DB6759" w:rsidRPr="009C3D56">
        <w:t>när de förlängdes till 2008. Likaså drev vi</w:t>
      </w:r>
      <w:r w:rsidR="00D46401" w:rsidRPr="009C3D56">
        <w:t xml:space="preserve"> på en ökning av stöden med 150 </w:t>
      </w:r>
      <w:r w:rsidR="00DB6759" w:rsidRPr="009C3D56">
        <w:t>miljoner</w:t>
      </w:r>
      <w:r w:rsidR="004A55A5" w:rsidRPr="009C3D56">
        <w:t xml:space="preserve"> kronor</w:t>
      </w:r>
      <w:r w:rsidR="00DB6759" w:rsidRPr="009C3D56">
        <w:t xml:space="preserve"> fram till 2008, i syfte att öka byggandet av studentbostäder. Tanken med avvecklingen av stöden år 2008 var att systemet skulle komma att ersättas med ett jämförbart system som skulle garantera en fortsatt produktion av billiga hyresrätter. Inte minst är detta viktigt för att unga ska ha en möjlighet att komma in på den reguljära bostadsmarknaden. För trots att bostadsproduktionen har ökat markant de senaste åren är det fortfarande stor efterfrågan </w:t>
      </w:r>
      <w:r w:rsidR="004A55A5" w:rsidRPr="009C3D56">
        <w:t>på bostäder på många orter runt</w:t>
      </w:r>
      <w:r w:rsidR="00DB6759" w:rsidRPr="009C3D56">
        <w:t>om i landet.</w:t>
      </w:r>
    </w:p>
    <w:p w:rsidR="00D65E41" w:rsidRPr="009C3D56" w:rsidRDefault="00107DE2">
      <w:pPr>
        <w:pStyle w:val="Normaltindrag"/>
        <w:shd w:val="clear" w:color="000000" w:fill="auto"/>
      </w:pPr>
      <w:r w:rsidRPr="009C3D56">
        <w:rPr>
          <w:szCs w:val="24"/>
        </w:rPr>
        <w:t xml:space="preserve">Vänsterpartiet avvisar regeringens sänkning av anslag 31:2. </w:t>
      </w:r>
      <w:r w:rsidR="007B3A5D" w:rsidRPr="009C3D56">
        <w:rPr>
          <w:szCs w:val="24"/>
        </w:rPr>
        <w:t xml:space="preserve">På intäktssidan förlänger vi </w:t>
      </w:r>
      <w:r w:rsidRPr="009C3D56">
        <w:rPr>
          <w:szCs w:val="24"/>
        </w:rPr>
        <w:t>Investeringsst</w:t>
      </w:r>
      <w:r w:rsidR="007B3A5D" w:rsidRPr="009C3D56">
        <w:rPr>
          <w:szCs w:val="24"/>
        </w:rPr>
        <w:t>i</w:t>
      </w:r>
      <w:r w:rsidRPr="009C3D56">
        <w:rPr>
          <w:szCs w:val="24"/>
        </w:rPr>
        <w:t>mlans</w:t>
      </w:r>
      <w:r w:rsidR="007B3A5D" w:rsidRPr="009C3D56">
        <w:rPr>
          <w:szCs w:val="24"/>
        </w:rPr>
        <w:t xml:space="preserve"> till hyres- och studentbostäder till utgången av 2008. </w:t>
      </w:r>
      <w:r w:rsidR="00834780" w:rsidRPr="009C3D56">
        <w:rPr>
          <w:szCs w:val="24"/>
        </w:rPr>
        <w:t xml:space="preserve">För att öka ambitionerna ytterligare höjs stimulansen </w:t>
      </w:r>
      <w:r w:rsidR="00D25AA6" w:rsidRPr="009C3D56">
        <w:rPr>
          <w:szCs w:val="24"/>
        </w:rPr>
        <w:t xml:space="preserve">för 2007 </w:t>
      </w:r>
      <w:r w:rsidR="00834780" w:rsidRPr="009C3D56">
        <w:rPr>
          <w:szCs w:val="24"/>
        </w:rPr>
        <w:t>från de i vårbudgeten aviserade 1 000 miljonerna till 1 </w:t>
      </w:r>
      <w:r w:rsidR="00D25AA6" w:rsidRPr="009C3D56">
        <w:rPr>
          <w:szCs w:val="24"/>
        </w:rPr>
        <w:t>115</w:t>
      </w:r>
      <w:r w:rsidR="00834780" w:rsidRPr="009C3D56">
        <w:rPr>
          <w:szCs w:val="24"/>
        </w:rPr>
        <w:t xml:space="preserve"> miljoner</w:t>
      </w:r>
      <w:r w:rsidR="004A55A5" w:rsidRPr="009C3D56">
        <w:rPr>
          <w:szCs w:val="24"/>
        </w:rPr>
        <w:t xml:space="preserve"> kronor</w:t>
      </w:r>
      <w:r w:rsidR="00834780" w:rsidRPr="009C3D56">
        <w:rPr>
          <w:szCs w:val="24"/>
        </w:rPr>
        <w:t>. De</w:t>
      </w:r>
      <w:r w:rsidR="00834780" w:rsidRPr="009C3D56">
        <w:rPr>
          <w:szCs w:val="24"/>
        </w:rPr>
        <w:t>t</w:t>
      </w:r>
      <w:r w:rsidR="00834780" w:rsidRPr="009C3D56">
        <w:rPr>
          <w:szCs w:val="24"/>
        </w:rPr>
        <w:t xml:space="preserve">samma gäller för </w:t>
      </w:r>
      <w:r w:rsidR="00D25AA6" w:rsidRPr="009C3D56">
        <w:rPr>
          <w:szCs w:val="24"/>
        </w:rPr>
        <w:t xml:space="preserve">anslag 31:17, som förlängs </w:t>
      </w:r>
      <w:r w:rsidR="004A55A5" w:rsidRPr="009C3D56">
        <w:rPr>
          <w:szCs w:val="24"/>
        </w:rPr>
        <w:t>till och med</w:t>
      </w:r>
      <w:r w:rsidR="00BA1566" w:rsidRPr="009C3D56">
        <w:rPr>
          <w:szCs w:val="24"/>
        </w:rPr>
        <w:t xml:space="preserve"> utgången av 2008</w:t>
      </w:r>
      <w:r w:rsidR="00D25AA6" w:rsidRPr="009C3D56">
        <w:rPr>
          <w:szCs w:val="24"/>
        </w:rPr>
        <w:t xml:space="preserve"> med en aviserad höjning på 14 % för 2007. Sammantaget ökar utrymmet för stöd till byggandet av 13 700 hyresbostäder under år 2007</w:t>
      </w:r>
      <w:r w:rsidR="00D65E41" w:rsidRPr="009C3D56">
        <w:rPr>
          <w:szCs w:val="24"/>
        </w:rPr>
        <w:t xml:space="preserve"> och till 15 000 år 2008</w:t>
      </w:r>
      <w:r w:rsidR="00E828D8" w:rsidRPr="009C3D56">
        <w:rPr>
          <w:szCs w:val="24"/>
        </w:rPr>
        <w:t xml:space="preserve"> (se vi</w:t>
      </w:r>
      <w:r w:rsidR="00D65E41" w:rsidRPr="009C3D56">
        <w:rPr>
          <w:szCs w:val="24"/>
        </w:rPr>
        <w:t>dare rubrik 31:17</w:t>
      </w:r>
      <w:r w:rsidR="00E828D8" w:rsidRPr="009C3D56">
        <w:rPr>
          <w:szCs w:val="24"/>
        </w:rPr>
        <w:t>)</w:t>
      </w:r>
      <w:r w:rsidR="00D65E41" w:rsidRPr="009C3D56">
        <w:rPr>
          <w:szCs w:val="24"/>
        </w:rPr>
        <w:t>.</w:t>
      </w:r>
      <w:r w:rsidR="00BA1566" w:rsidRPr="009C3D56">
        <w:rPr>
          <w:szCs w:val="24"/>
        </w:rPr>
        <w:t xml:space="preserve"> Inför budgetåret 2009 har </w:t>
      </w:r>
      <w:r w:rsidR="00F04419" w:rsidRPr="009C3D56">
        <w:t xml:space="preserve">Vänsterpartiet </w:t>
      </w:r>
      <w:r w:rsidR="00D65E41" w:rsidRPr="009C3D56">
        <w:t xml:space="preserve">för avsikt att </w:t>
      </w:r>
      <w:r w:rsidR="00F04419" w:rsidRPr="009C3D56">
        <w:t>återkomma med</w:t>
      </w:r>
      <w:r w:rsidR="00DB6759" w:rsidRPr="009C3D56">
        <w:t xml:space="preserve"> ett nytt långsiktigt bostadsfinansieringsförslag</w:t>
      </w:r>
      <w:r w:rsidR="00F04419" w:rsidRPr="009C3D56">
        <w:t xml:space="preserve">. </w:t>
      </w:r>
      <w:r w:rsidR="00DB6759" w:rsidRPr="009C3D56">
        <w:t xml:space="preserve">Vi utvecklar tankarna kring ett </w:t>
      </w:r>
      <w:r w:rsidR="00D65E41" w:rsidRPr="009C3D56">
        <w:t xml:space="preserve">sådant </w:t>
      </w:r>
      <w:r w:rsidR="00DB6759" w:rsidRPr="009C3D56">
        <w:t xml:space="preserve">finansieringssystem för produktionen av hyresrätter i Vänsterpartiets </w:t>
      </w:r>
      <w:r w:rsidR="00163E7C" w:rsidRPr="009C3D56">
        <w:t xml:space="preserve">motion Långsiktiga </w:t>
      </w:r>
      <w:r w:rsidR="00D46401" w:rsidRPr="009C3D56">
        <w:t>villk</w:t>
      </w:r>
      <w:r w:rsidR="004A55A5" w:rsidRPr="009C3D56">
        <w:t>or för bostadsprodukti</w:t>
      </w:r>
      <w:r w:rsidR="004A55A5" w:rsidRPr="009C3D56">
        <w:t>o</w:t>
      </w:r>
      <w:r w:rsidR="004A55A5" w:rsidRPr="009C3D56">
        <w:t>nen (C319</w:t>
      </w:r>
      <w:r w:rsidR="00D46401" w:rsidRPr="009C3D56">
        <w:t>).</w:t>
      </w:r>
    </w:p>
    <w:p w:rsidR="000110F0" w:rsidRPr="009C3D56" w:rsidRDefault="006631DD">
      <w:pPr>
        <w:pStyle w:val="Normaltindrag"/>
        <w:shd w:val="clear" w:color="000000" w:fill="auto"/>
      </w:pPr>
      <w:r w:rsidRPr="009C3D56">
        <w:t xml:space="preserve">För att ytterligare stödja nyproduktion av billiga hyresrätter i de områden där bristen är som störst aviserar vi ett nytt anslag för sanering av förorenad mark i tätorter. </w:t>
      </w:r>
      <w:r w:rsidR="00D65E41" w:rsidRPr="009C3D56">
        <w:t xml:space="preserve">I motionen Långsiktiga </w:t>
      </w:r>
      <w:r w:rsidR="00D46401" w:rsidRPr="009C3D56">
        <w:t>villk</w:t>
      </w:r>
      <w:r w:rsidR="004A55A5" w:rsidRPr="009C3D56">
        <w:t>or för bostadsproduktionen (C319</w:t>
      </w:r>
      <w:r w:rsidR="00D46401" w:rsidRPr="009C3D56">
        <w:t xml:space="preserve">) </w:t>
      </w:r>
      <w:r w:rsidR="00D65E41" w:rsidRPr="009C3D56">
        <w:t xml:space="preserve">finns förslaget </w:t>
      </w:r>
      <w:r w:rsidRPr="009C3D56">
        <w:t>närmre beskriv</w:t>
      </w:r>
      <w:r w:rsidR="00163E7C" w:rsidRPr="009C3D56">
        <w:t>et</w:t>
      </w:r>
      <w:r w:rsidR="00D65E41" w:rsidRPr="009C3D56">
        <w:t>.</w:t>
      </w:r>
    </w:p>
    <w:p w:rsidR="00D46401" w:rsidRPr="009C3D56" w:rsidRDefault="009A4504">
      <w:pPr>
        <w:pStyle w:val="Normaltindrag"/>
        <w:shd w:val="clear" w:color="000000" w:fill="auto"/>
        <w:rPr>
          <w:color w:val="000000"/>
          <w:spacing w:val="-4"/>
        </w:rPr>
      </w:pPr>
      <w:r w:rsidRPr="009C3D56">
        <w:t xml:space="preserve">Regeringens </w:t>
      </w:r>
      <w:r w:rsidR="00B54C6A" w:rsidRPr="009C3D56">
        <w:t xml:space="preserve">brist på </w:t>
      </w:r>
      <w:r w:rsidRPr="009C3D56">
        <w:t xml:space="preserve">bostadspolitiska ambitioner </w:t>
      </w:r>
      <w:r w:rsidR="00B54C6A" w:rsidRPr="009C3D56">
        <w:t xml:space="preserve">framgår </w:t>
      </w:r>
      <w:r w:rsidRPr="009C3D56">
        <w:t>tydligt i budge</w:t>
      </w:r>
      <w:r w:rsidRPr="009C3D56">
        <w:t>t</w:t>
      </w:r>
      <w:r w:rsidRPr="009C3D56">
        <w:t>propositionen 2007, utgiftsområde 18</w:t>
      </w:r>
      <w:r w:rsidR="00163E7C" w:rsidRPr="009C3D56">
        <w:t>. M</w:t>
      </w:r>
      <w:r w:rsidR="00945F25" w:rsidRPr="009C3D56">
        <w:t>an u</w:t>
      </w:r>
      <w:r w:rsidR="00945F25" w:rsidRPr="009C3D56">
        <w:rPr>
          <w:color w:val="000000"/>
        </w:rPr>
        <w:t xml:space="preserve">ndviker </w:t>
      </w:r>
      <w:r w:rsidR="00163E7C" w:rsidRPr="009C3D56">
        <w:rPr>
          <w:color w:val="000000"/>
        </w:rPr>
        <w:t xml:space="preserve">de mest </w:t>
      </w:r>
      <w:r w:rsidR="00945F25" w:rsidRPr="009C3D56">
        <w:rPr>
          <w:color w:val="000000"/>
        </w:rPr>
        <w:t>centrala fråg</w:t>
      </w:r>
      <w:r w:rsidR="00945F25" w:rsidRPr="009C3D56">
        <w:rPr>
          <w:color w:val="000000"/>
        </w:rPr>
        <w:t>e</w:t>
      </w:r>
      <w:r w:rsidR="00945F25" w:rsidRPr="009C3D56">
        <w:rPr>
          <w:color w:val="000000"/>
        </w:rPr>
        <w:t>ställningar</w:t>
      </w:r>
      <w:r w:rsidR="004A55A5" w:rsidRPr="009C3D56">
        <w:rPr>
          <w:color w:val="000000"/>
        </w:rPr>
        <w:t>na</w:t>
      </w:r>
      <w:r w:rsidR="00945F25" w:rsidRPr="009C3D56">
        <w:rPr>
          <w:color w:val="000000"/>
        </w:rPr>
        <w:t xml:space="preserve"> i bostadspolitiken. Propositionen innehåller inga lösningar för hur samhället </w:t>
      </w:r>
      <w:r w:rsidR="00AE7E21" w:rsidRPr="009C3D56">
        <w:rPr>
          <w:color w:val="000000"/>
        </w:rPr>
        <w:t>ska</w:t>
      </w:r>
      <w:r w:rsidR="00945F25" w:rsidRPr="009C3D56">
        <w:rPr>
          <w:color w:val="000000"/>
        </w:rPr>
        <w:t xml:space="preserve"> klara en nyproduktion på en </w:t>
      </w:r>
      <w:r w:rsidR="00460D85" w:rsidRPr="009C3D56">
        <w:rPr>
          <w:color w:val="000000"/>
        </w:rPr>
        <w:t>acceptabel nivå</w:t>
      </w:r>
      <w:r w:rsidR="00945F25" w:rsidRPr="009C3D56">
        <w:rPr>
          <w:color w:val="000000"/>
        </w:rPr>
        <w:t>. Inte heller innehåller den förslag för att trygga en tillfredsställande omfattning av unde</w:t>
      </w:r>
      <w:r w:rsidR="00945F25" w:rsidRPr="009C3D56">
        <w:rPr>
          <w:color w:val="000000"/>
        </w:rPr>
        <w:t>r</w:t>
      </w:r>
      <w:r w:rsidR="00945F25" w:rsidRPr="009C3D56">
        <w:rPr>
          <w:color w:val="000000"/>
        </w:rPr>
        <w:t xml:space="preserve">håll och ombyggnation i det redan byggda – åtgärder som är viktiga för att undvika kapitalförstörelse i fastighetsbeståndet. </w:t>
      </w:r>
      <w:r w:rsidR="00945F25" w:rsidRPr="009C3D56">
        <w:t xml:space="preserve">Inga förslag läggs om hur ungdomar </w:t>
      </w:r>
      <w:r w:rsidR="00AE7E21" w:rsidRPr="009C3D56">
        <w:t>ska</w:t>
      </w:r>
      <w:r w:rsidR="00945F25" w:rsidRPr="009C3D56">
        <w:t xml:space="preserve"> få tillgång till bostäder, eller hur hushåll med låga inkomster </w:t>
      </w:r>
      <w:r w:rsidR="00AE7E21" w:rsidRPr="009C3D56">
        <w:t>ska</w:t>
      </w:r>
      <w:r w:rsidR="00945F25" w:rsidRPr="009C3D56">
        <w:t xml:space="preserve"> få en acceptabel bostadsstandard. </w:t>
      </w:r>
      <w:r w:rsidR="00460D85" w:rsidRPr="009C3D56">
        <w:t>Tvärtom</w:t>
      </w:r>
      <w:r w:rsidR="004A55A5" w:rsidRPr="009C3D56">
        <w:t xml:space="preserve"> </w:t>
      </w:r>
      <w:r w:rsidR="00460D85" w:rsidRPr="009C3D56">
        <w:t xml:space="preserve">väljer </w:t>
      </w:r>
      <w:r w:rsidR="006631DD" w:rsidRPr="009C3D56">
        <w:t xml:space="preserve">man </w:t>
      </w:r>
      <w:r w:rsidR="00945F25" w:rsidRPr="009C3D56">
        <w:t>att omedelbart avskaffa de stöd som i</w:t>
      </w:r>
      <w:r w:rsidR="004A55A5" w:rsidRPr="009C3D56">
        <w:t xml:space="preserve"> </w:t>
      </w:r>
      <w:r w:rsidR="00945F25" w:rsidRPr="009C3D56">
        <w:t>dag finns för nyproduktion av hyresrätter, liksom att omgående inleda ett avvecklande av räntebidragen</w:t>
      </w:r>
      <w:r w:rsidR="006631DD" w:rsidRPr="009C3D56">
        <w:t xml:space="preserve"> utan att presentera några förslag som kan underlätta byggandet av hyresrätter</w:t>
      </w:r>
      <w:r w:rsidR="00945F25" w:rsidRPr="009C3D56">
        <w:t>. Detta</w:t>
      </w:r>
      <w:r w:rsidR="004A55A5" w:rsidRPr="009C3D56">
        <w:t xml:space="preserve"> görs</w:t>
      </w:r>
      <w:r w:rsidR="00945F25" w:rsidRPr="009C3D56">
        <w:t xml:space="preserve"> trots att </w:t>
      </w:r>
      <w:r w:rsidR="00945F25" w:rsidRPr="009C3D56">
        <w:rPr>
          <w:color w:val="000000"/>
        </w:rPr>
        <w:t>B</w:t>
      </w:r>
      <w:r w:rsidR="00945F25" w:rsidRPr="009C3D56">
        <w:rPr>
          <w:color w:val="000000"/>
        </w:rPr>
        <w:t>o</w:t>
      </w:r>
      <w:r w:rsidR="00945F25" w:rsidRPr="009C3D56">
        <w:rPr>
          <w:color w:val="000000"/>
        </w:rPr>
        <w:t>verket har varnat för att de positiva prognoser över nybyggnation för framt</w:t>
      </w:r>
      <w:r w:rsidR="00945F25" w:rsidRPr="009C3D56">
        <w:rPr>
          <w:color w:val="000000"/>
        </w:rPr>
        <w:t>i</w:t>
      </w:r>
      <w:r w:rsidR="00945F25" w:rsidRPr="009C3D56">
        <w:rPr>
          <w:color w:val="000000"/>
        </w:rPr>
        <w:t>den som har presentera</w:t>
      </w:r>
      <w:r w:rsidR="00E52B11" w:rsidRPr="009C3D56">
        <w:rPr>
          <w:color w:val="000000"/>
        </w:rPr>
        <w:t>t</w:t>
      </w:r>
      <w:r w:rsidR="00945F25" w:rsidRPr="009C3D56">
        <w:rPr>
          <w:color w:val="000000"/>
        </w:rPr>
        <w:t xml:space="preserve">s kan komma att förändras </w:t>
      </w:r>
      <w:r w:rsidR="00945F25" w:rsidRPr="009C3D56">
        <w:rPr>
          <w:color w:val="000000"/>
          <w:spacing w:val="-4"/>
        </w:rPr>
        <w:t>rejält om stöden till nybyg</w:t>
      </w:r>
      <w:r w:rsidR="00945F25" w:rsidRPr="009C3D56">
        <w:rPr>
          <w:color w:val="000000"/>
          <w:spacing w:val="-4"/>
        </w:rPr>
        <w:t>g</w:t>
      </w:r>
      <w:r w:rsidR="00945F25" w:rsidRPr="009C3D56">
        <w:rPr>
          <w:color w:val="000000"/>
          <w:spacing w:val="-4"/>
        </w:rPr>
        <w:t>nation av hyresrätter försämras.</w:t>
      </w:r>
    </w:p>
    <w:p w:rsidR="00272455" w:rsidRPr="009C3D56" w:rsidRDefault="00945F25">
      <w:pPr>
        <w:pStyle w:val="Normaltindrag"/>
        <w:shd w:val="clear" w:color="000000" w:fill="auto"/>
      </w:pPr>
      <w:r w:rsidRPr="009C3D56">
        <w:rPr>
          <w:color w:val="000000"/>
          <w:spacing w:val="-4"/>
        </w:rPr>
        <w:t xml:space="preserve">Till detta kommer regeringens </w:t>
      </w:r>
      <w:r w:rsidRPr="009C3D56">
        <w:t>u</w:t>
      </w:r>
      <w:r w:rsidR="003E2E83" w:rsidRPr="009C3D56">
        <w:t>ttalad</w:t>
      </w:r>
      <w:r w:rsidRPr="009C3D56">
        <w:t>e</w:t>
      </w:r>
      <w:r w:rsidR="003E2E83" w:rsidRPr="009C3D56">
        <w:t xml:space="preserve"> ambition</w:t>
      </w:r>
      <w:r w:rsidRPr="009C3D56">
        <w:t xml:space="preserve">er </w:t>
      </w:r>
      <w:r w:rsidR="003E2E83" w:rsidRPr="009C3D56">
        <w:t>att omvandla hyresrätter till bostadsrätter</w:t>
      </w:r>
      <w:r w:rsidRPr="009C3D56">
        <w:t>, som ytterligare sä</w:t>
      </w:r>
      <w:r w:rsidR="003E2E83" w:rsidRPr="009C3D56">
        <w:t>tter stopp för en fortsatt ökning av produ</w:t>
      </w:r>
      <w:r w:rsidR="003E2E83" w:rsidRPr="009C3D56">
        <w:t>k</w:t>
      </w:r>
      <w:r w:rsidR="003E2E83" w:rsidRPr="009C3D56">
        <w:t>tionen av hyresrätter.</w:t>
      </w:r>
      <w:r w:rsidR="00460D85" w:rsidRPr="009C3D56">
        <w:t xml:space="preserve"> De som drabbas negativt av regeringens politik är främst ungdomar, men också alla hushåll med låga inkomster. Man väljer samtidigt att avsluta den utredning som skulle lägga förslag </w:t>
      </w:r>
      <w:r w:rsidR="004A55A5" w:rsidRPr="009C3D56">
        <w:t>på</w:t>
      </w:r>
      <w:r w:rsidR="00460D85" w:rsidRPr="009C3D56">
        <w:t xml:space="preserve"> hur ungas inträde på den reguljära bostadsmarknaden skulle kunna underlättas. </w:t>
      </w:r>
      <w:r w:rsidR="00272455" w:rsidRPr="009C3D56">
        <w:t>Vänste</w:t>
      </w:r>
      <w:r w:rsidR="00272455" w:rsidRPr="009C3D56">
        <w:t>r</w:t>
      </w:r>
      <w:r w:rsidR="00272455" w:rsidRPr="009C3D56">
        <w:t xml:space="preserve">partiet avvisar </w:t>
      </w:r>
      <w:r w:rsidR="0074381B" w:rsidRPr="009C3D56">
        <w:t xml:space="preserve">därmed </w:t>
      </w:r>
      <w:r w:rsidR="00272455" w:rsidRPr="009C3D56">
        <w:t>regeringens sänkning av anslag 31:12.</w:t>
      </w:r>
    </w:p>
    <w:p w:rsidR="00D46401" w:rsidRPr="009C3D56" w:rsidRDefault="00834780">
      <w:pPr>
        <w:pStyle w:val="Normaltindrag"/>
        <w:shd w:val="clear" w:color="000000" w:fill="auto"/>
      </w:pPr>
      <w:r w:rsidRPr="009C3D56">
        <w:t>När det gäller konsumentpolitiken finns det inga förslag på minskade a</w:t>
      </w:r>
      <w:r w:rsidRPr="009C3D56">
        <w:t>n</w:t>
      </w:r>
      <w:r w:rsidRPr="009C3D56">
        <w:t>slag i budgetpropositionen för år 2007. Den handlin</w:t>
      </w:r>
      <w:r w:rsidR="00D46401" w:rsidRPr="009C3D56">
        <w:t>gsplan för konsumentpol</w:t>
      </w:r>
      <w:r w:rsidR="00D46401" w:rsidRPr="009C3D56">
        <w:t>i</w:t>
      </w:r>
      <w:r w:rsidR="00D46401" w:rsidRPr="009C3D56">
        <w:t>tiken</w:t>
      </w:r>
      <w:r w:rsidR="004A55A5" w:rsidRPr="009C3D56">
        <w:t>,</w:t>
      </w:r>
      <w:r w:rsidR="00D46401" w:rsidRPr="009C3D56">
        <w:t xml:space="preserve"> </w:t>
      </w:r>
      <w:r w:rsidRPr="009C3D56">
        <w:t>Trygga konsumenter som handlar hållbart – Konsumentpolit</w:t>
      </w:r>
      <w:r w:rsidR="00D46401" w:rsidRPr="009C3D56">
        <w:t>ikens mål och inriktning (prop. 2005/06:105, bet. </w:t>
      </w:r>
      <w:r w:rsidRPr="009C3D56">
        <w:t>2005/06:LU33)</w:t>
      </w:r>
      <w:r w:rsidR="00991E1D" w:rsidRPr="009C3D56">
        <w:t>,</w:t>
      </w:r>
      <w:r w:rsidRPr="009C3D56">
        <w:t xml:space="preserve"> som </w:t>
      </w:r>
      <w:r w:rsidR="00D46401" w:rsidRPr="009C3D56">
        <w:t>V</w:t>
      </w:r>
      <w:r w:rsidRPr="009C3D56">
        <w:t>änsterpartiet varit med och tagit fram tillsammans med den socialdemokratiska regeringen ligger tillsvidare fast. Dock har den borgerliga regeringen aviserat att de fas</w:t>
      </w:r>
      <w:r w:rsidRPr="009C3D56">
        <w:t>t</w:t>
      </w:r>
      <w:r w:rsidRPr="009C3D56">
        <w:t>ställda målen och inriktningen för konsumentpoliti</w:t>
      </w:r>
      <w:r w:rsidR="00D46401" w:rsidRPr="009C3D56">
        <w:t xml:space="preserve">ken kan komma att ändras (prop. 2006/07:1 </w:t>
      </w:r>
      <w:r w:rsidR="00991E1D" w:rsidRPr="009C3D56">
        <w:t xml:space="preserve">utg.omr. </w:t>
      </w:r>
      <w:r w:rsidR="004A55A5" w:rsidRPr="009C3D56">
        <w:t xml:space="preserve">18 </w:t>
      </w:r>
      <w:r w:rsidRPr="009C3D56">
        <w:t>s.</w:t>
      </w:r>
      <w:r w:rsidR="00D46401" w:rsidRPr="009C3D56">
        <w:t> </w:t>
      </w:r>
      <w:r w:rsidRPr="009C3D56">
        <w:t>66). Detta oroar oss eftersom vi sedan tidigare vet att de borgerliga partierna har en övertro på marknadens egen förmåga när det gäller att lösa människors problem relaterade till konsumtion. Den sven</w:t>
      </w:r>
      <w:r w:rsidRPr="009C3D56">
        <w:t>s</w:t>
      </w:r>
      <w:r w:rsidRPr="009C3D56">
        <w:t>ka konsumentpolitiken har en lång tradition och ingår som en naturlig del i välfärdssamhället.</w:t>
      </w:r>
    </w:p>
    <w:p w:rsidR="00D46401" w:rsidRPr="009C3D56" w:rsidRDefault="00834780">
      <w:pPr>
        <w:pStyle w:val="Normaltindrag"/>
        <w:shd w:val="clear" w:color="000000" w:fill="auto"/>
      </w:pPr>
      <w:r w:rsidRPr="009C3D56">
        <w:t>Vänsterpartiet ser att alla människor i</w:t>
      </w:r>
      <w:r w:rsidR="00D46401" w:rsidRPr="009C3D56">
        <w:t> </w:t>
      </w:r>
      <w:r w:rsidRPr="009C3D56">
        <w:t>dag inte har möjligheten att göra r</w:t>
      </w:r>
      <w:r w:rsidRPr="009C3D56">
        <w:t>a</w:t>
      </w:r>
      <w:r w:rsidRPr="009C3D56">
        <w:t>tionella och genomtänkta konsumtionsval. Därför vill vi att alla kommuner ska erbjuda sina invånare konsumentvägledning av god kvalit</w:t>
      </w:r>
      <w:r w:rsidR="004A55A5" w:rsidRPr="009C3D56">
        <w:t>et</w:t>
      </w:r>
      <w:r w:rsidRPr="009C3D56">
        <w:t>. Vi menar vidare att Konsumentverket ska ha kvar sin opinionsbildande roll som är en central utgångspunkt för kunskapsbyggande och utveckling av konsumentp</w:t>
      </w:r>
      <w:r w:rsidRPr="009C3D56">
        <w:t>o</w:t>
      </w:r>
      <w:r w:rsidRPr="009C3D56">
        <w:t>litiken. Det finns ingen risk att Konsumentverkets myndighetsutövande roll kommer i konflikt med den opinionsbildande då de olika uppgifterna hanteras av separata avdelningar ino</w:t>
      </w:r>
      <w:r w:rsidR="00D46401" w:rsidRPr="009C3D56">
        <w:t>m verket (se reservation i bet. 2005/06:LU33 s. </w:t>
      </w:r>
      <w:r w:rsidRPr="009C3D56">
        <w:t>62).</w:t>
      </w:r>
    </w:p>
    <w:p w:rsidR="00834780" w:rsidRPr="009C3D56" w:rsidRDefault="00834780">
      <w:pPr>
        <w:pStyle w:val="Normaltindrag"/>
        <w:shd w:val="clear" w:color="000000" w:fill="auto"/>
      </w:pPr>
      <w:r w:rsidRPr="009C3D56">
        <w:t>Vidare ställer vi inte upp på de borgerliga partiernas definition av att vi al</w:t>
      </w:r>
      <w:r w:rsidRPr="009C3D56">
        <w:t>l</w:t>
      </w:r>
      <w:r w:rsidRPr="009C3D56">
        <w:t>tid är konsumenter, även när det handlar om tjänster som tillhandahålls g</w:t>
      </w:r>
      <w:r w:rsidRPr="009C3D56">
        <w:t>e</w:t>
      </w:r>
      <w:r w:rsidRPr="009C3D56">
        <w:t>nom offentligt finansier</w:t>
      </w:r>
      <w:r w:rsidR="00D46401" w:rsidRPr="009C3D56">
        <w:t>ad verksamhet (se reservation i bet. 2005/06:LU33 s. </w:t>
      </w:r>
      <w:r w:rsidRPr="009C3D56">
        <w:t>67). Den konsumenträttsliga lagstiftningen är inte och bör inte vara tilläm</w:t>
      </w:r>
      <w:r w:rsidRPr="009C3D56">
        <w:t>p</w:t>
      </w:r>
      <w:r w:rsidRPr="009C3D56">
        <w:t>lig inom områden som sjukvård, skola m</w:t>
      </w:r>
      <w:r w:rsidR="004A55A5" w:rsidRPr="009C3D56">
        <w:t>ed mera</w:t>
      </w:r>
      <w:r w:rsidRPr="009C3D56">
        <w:t>. Där gäller i</w:t>
      </w:r>
      <w:r w:rsidR="00D46401" w:rsidRPr="009C3D56">
        <w:t> </w:t>
      </w:r>
      <w:r w:rsidRPr="009C3D56">
        <w:t>stället särskilda ansvarsregler som självfallet kan ses över och förbättras. Vi vill inte se en utveckling där patienter kan stämma sina läkare på miljonbelopp för unde</w:t>
      </w:r>
      <w:r w:rsidRPr="009C3D56">
        <w:t>r</w:t>
      </w:r>
      <w:r w:rsidRPr="009C3D56">
        <w:t>måligt utförda behandlingar i likhet med situationen i USA. Sammantaget är vi oroade för att den borgerliga regeringens brist på konsumentpolitik i fö</w:t>
      </w:r>
      <w:r w:rsidRPr="009C3D56">
        <w:t>r</w:t>
      </w:r>
      <w:r w:rsidRPr="009C3D56">
        <w:t>längningen kommer att leda till att konsumentmakten enbart kommer att a</w:t>
      </w:r>
      <w:r w:rsidRPr="009C3D56">
        <w:t>v</w:t>
      </w:r>
      <w:r w:rsidRPr="009C3D56">
        <w:t>göras av plånbokens tjocklek.</w:t>
      </w:r>
      <w:r w:rsidR="00B36FDD" w:rsidRPr="009C3D56">
        <w:t xml:space="preserve"> </w:t>
      </w:r>
      <w:r w:rsidR="00B36FDD" w:rsidRPr="009C3D56">
        <w:rPr>
          <w:color w:val="000000"/>
        </w:rPr>
        <w:t>Att den borgerliga regeringen valt att blanda samman de konsumentpolitiska frågorna med jämställdhets- och integration</w:t>
      </w:r>
      <w:r w:rsidR="00B36FDD" w:rsidRPr="009C3D56">
        <w:rPr>
          <w:color w:val="000000"/>
        </w:rPr>
        <w:t>s</w:t>
      </w:r>
      <w:r w:rsidR="00B36FDD" w:rsidRPr="009C3D56">
        <w:rPr>
          <w:color w:val="000000"/>
        </w:rPr>
        <w:t>frågor visar att de inte prioriterar konsumentpolitiken</w:t>
      </w:r>
      <w:r w:rsidRPr="009C3D56">
        <w:t>.</w:t>
      </w:r>
    </w:p>
    <w:p w:rsidR="00D46401" w:rsidRPr="009C3D56" w:rsidRDefault="007C104D">
      <w:pPr>
        <w:pStyle w:val="Rubrik1"/>
        <w:shd w:val="clear" w:color="000000" w:fill="auto"/>
      </w:pPr>
      <w:r w:rsidRPr="009C3D56">
        <w:t xml:space="preserve">Räntebidrag </w:t>
      </w:r>
      <w:r w:rsidR="007F4453" w:rsidRPr="009C3D56">
        <w:t>m.m.</w:t>
      </w:r>
    </w:p>
    <w:p w:rsidR="00A95AE8" w:rsidRPr="009C3D56" w:rsidRDefault="00BF26CD">
      <w:pPr>
        <w:shd w:val="clear" w:color="000000" w:fill="auto"/>
      </w:pPr>
      <w:r w:rsidRPr="009C3D56">
        <w:t xml:space="preserve">Vänsterpartiet anser inte att </w:t>
      </w:r>
      <w:r w:rsidR="00D65E41" w:rsidRPr="009C3D56">
        <w:t xml:space="preserve">räntebidraget kan </w:t>
      </w:r>
      <w:r w:rsidRPr="009C3D56">
        <w:t>avveckla</w:t>
      </w:r>
      <w:r w:rsidR="00D65E41" w:rsidRPr="009C3D56">
        <w:t>s</w:t>
      </w:r>
      <w:r w:rsidRPr="009C3D56">
        <w:t xml:space="preserve"> </w:t>
      </w:r>
      <w:r w:rsidR="00D65E41" w:rsidRPr="009C3D56">
        <w:t xml:space="preserve">på det sätt regeringen föreslår </w:t>
      </w:r>
      <w:r w:rsidRPr="009C3D56">
        <w:t xml:space="preserve">i </w:t>
      </w:r>
      <w:r w:rsidR="00A95AE8" w:rsidRPr="009C3D56">
        <w:t xml:space="preserve">2007 års budgetproposition. Vänsterpartiet föreslår att anslag 31:2 </w:t>
      </w:r>
      <w:r w:rsidR="004A55A5" w:rsidRPr="009C3D56">
        <w:t xml:space="preserve">Räntebidrag </w:t>
      </w:r>
      <w:r w:rsidR="00A95AE8" w:rsidRPr="009C3D56">
        <w:t>m</w:t>
      </w:r>
      <w:r w:rsidR="004A55A5" w:rsidRPr="009C3D56">
        <w:t>.</w:t>
      </w:r>
      <w:r w:rsidR="00A95AE8" w:rsidRPr="009C3D56">
        <w:t xml:space="preserve">m., fortsätter </w:t>
      </w:r>
      <w:r w:rsidR="004A55A5" w:rsidRPr="009C3D56">
        <w:t xml:space="preserve">att </w:t>
      </w:r>
      <w:r w:rsidR="00A95AE8" w:rsidRPr="009C3D56">
        <w:t>löpa på i avvaktan på ett nytt genomarbetat bostadsfinansieringssystem som har långsiktiga ambitioner för produktionen av hyresrätter. Riksdagen bör avslå vad regeringen föreslår om avtrappning av den statliga bos</w:t>
      </w:r>
      <w:r w:rsidR="004A55A5" w:rsidRPr="009C3D56">
        <w:t>tadsbyggnadssubventionen, det så kallade</w:t>
      </w:r>
      <w:r w:rsidR="00A95AE8" w:rsidRPr="009C3D56">
        <w:t xml:space="preserve"> räntebidraget. Detta bör riksdagen som sin mening ge regeringen till känna.</w:t>
      </w:r>
    </w:p>
    <w:p w:rsidR="003B46B4" w:rsidRPr="009C3D56" w:rsidRDefault="003B0FB2">
      <w:pPr>
        <w:pStyle w:val="Rubrik1"/>
        <w:shd w:val="clear" w:color="000000" w:fill="auto"/>
      </w:pPr>
      <w:r w:rsidRPr="009C3D56">
        <w:t>Ungdomsbostadssamordnare</w:t>
      </w:r>
    </w:p>
    <w:p w:rsidR="00D1272B" w:rsidRPr="009C3D56" w:rsidRDefault="003B46B4">
      <w:pPr>
        <w:shd w:val="clear" w:color="000000" w:fill="auto"/>
      </w:pPr>
      <w:r w:rsidRPr="009C3D56">
        <w:t>Regeringen föreslår att 1 000 0</w:t>
      </w:r>
      <w:r w:rsidR="004A55A5" w:rsidRPr="009C3D56">
        <w:t>00 kronor anvisas under anslag</w:t>
      </w:r>
      <w:r w:rsidRPr="009C3D56">
        <w:t xml:space="preserve"> 31:12 Un</w:t>
      </w:r>
      <w:r w:rsidRPr="009C3D56">
        <w:t>g</w:t>
      </w:r>
      <w:r w:rsidRPr="009C3D56">
        <w:t xml:space="preserve">domsbostadssamordnare under 2007. Anslaget </w:t>
      </w:r>
      <w:r w:rsidR="00AE7E21" w:rsidRPr="009C3D56">
        <w:t>ska</w:t>
      </w:r>
      <w:r w:rsidRPr="009C3D56">
        <w:t xml:space="preserve"> användas till att avsluta den tidigare regeringens uppdrag. Bostadssamordnarens </w:t>
      </w:r>
      <w:r w:rsidR="00F77932" w:rsidRPr="009C3D56">
        <w:t>uppdrag var att under en treårsperiod arbeta på att ta fram förslag på konkreta åtgärder för att unde</w:t>
      </w:r>
      <w:r w:rsidR="00F77932" w:rsidRPr="009C3D56">
        <w:t>r</w:t>
      </w:r>
      <w:r w:rsidR="00F77932" w:rsidRPr="009C3D56">
        <w:t>lätta ungdomars inträde på bostadsmarknaden.</w:t>
      </w:r>
    </w:p>
    <w:p w:rsidR="008315E1" w:rsidRPr="009C3D56" w:rsidRDefault="00D1272B">
      <w:pPr>
        <w:pStyle w:val="Normaltindrag"/>
        <w:shd w:val="clear" w:color="000000" w:fill="auto"/>
      </w:pPr>
      <w:r w:rsidRPr="009C3D56">
        <w:t>Problematiken på bostadsmarknaden är komplicerad och vissa grupper har sämre konkurrensmöjlighet än andra</w:t>
      </w:r>
      <w:r w:rsidR="00F77932" w:rsidRPr="009C3D56">
        <w:t xml:space="preserve"> – gruppen unga </w:t>
      </w:r>
      <w:r w:rsidRPr="009C3D56">
        <w:t xml:space="preserve">hör </w:t>
      </w:r>
      <w:r w:rsidR="00F77932" w:rsidRPr="009C3D56">
        <w:t>dit</w:t>
      </w:r>
      <w:r w:rsidRPr="009C3D56">
        <w:t xml:space="preserve">. </w:t>
      </w:r>
      <w:r w:rsidR="00D46401" w:rsidRPr="009C3D56">
        <w:t>Bland annat</w:t>
      </w:r>
      <w:r w:rsidR="00F77932" w:rsidRPr="009C3D56">
        <w:t xml:space="preserve"> handlar det om vilka </w:t>
      </w:r>
      <w:r w:rsidRPr="009C3D56">
        <w:t>formella krav som finns på bostadsmarknad</w:t>
      </w:r>
      <w:r w:rsidR="00F77932" w:rsidRPr="009C3D56">
        <w:t>en och hur unga uppfyller dessa, eller kanske snaras</w:t>
      </w:r>
      <w:r w:rsidR="00E52B11" w:rsidRPr="009C3D56">
        <w:t>t</w:t>
      </w:r>
      <w:r w:rsidR="00F77932" w:rsidRPr="009C3D56">
        <w:t xml:space="preserve"> hur andra </w:t>
      </w:r>
      <w:r w:rsidRPr="009C3D56">
        <w:t>grupper ser på unga</w:t>
      </w:r>
      <w:r w:rsidR="00F77932" w:rsidRPr="009C3D56">
        <w:t xml:space="preserve"> i detta fall. I delrapporten</w:t>
      </w:r>
      <w:r w:rsidR="00D46401" w:rsidRPr="009C3D56">
        <w:t xml:space="preserve">, </w:t>
      </w:r>
      <w:r w:rsidR="00F77932" w:rsidRPr="009C3D56">
        <w:rPr>
          <w:rStyle w:val="A2"/>
          <w:rFonts w:cs="Times New Roman"/>
          <w:b w:val="0"/>
        </w:rPr>
        <w:t xml:space="preserve">Om bara någon kunde säga vad jag ska göra för att få en bostad så skulle jag göra det, </w:t>
      </w:r>
      <w:r w:rsidR="00F77932" w:rsidRPr="009C3D56">
        <w:t>presenterades flera intressanta aspekter på ungas möjligheter att få tillträde till den reguljära bostadsmarknaden</w:t>
      </w:r>
      <w:r w:rsidRPr="009C3D56">
        <w:t>.</w:t>
      </w:r>
      <w:r w:rsidR="00F77932" w:rsidRPr="009C3D56">
        <w:t xml:space="preserve"> Om inte detta arbete </w:t>
      </w:r>
      <w:r w:rsidR="00AE7E21" w:rsidRPr="009C3D56">
        <w:t>ska</w:t>
      </w:r>
      <w:r w:rsidR="00F77932" w:rsidRPr="009C3D56">
        <w:t xml:space="preserve"> gå till spillo måste </w:t>
      </w:r>
      <w:r w:rsidR="004A55A5" w:rsidRPr="009C3D56">
        <w:t xml:space="preserve">bostadssamordnaren </w:t>
      </w:r>
      <w:r w:rsidR="00F77932" w:rsidRPr="009C3D56">
        <w:t>få slutföra sitt up</w:t>
      </w:r>
      <w:r w:rsidR="00F77932" w:rsidRPr="009C3D56">
        <w:t>p</w:t>
      </w:r>
      <w:r w:rsidR="00F77932" w:rsidRPr="009C3D56">
        <w:t>drag. Vänsterpartiet avvisar därför regeringens sänkning av anslag 31:12</w:t>
      </w:r>
      <w:r w:rsidR="00E828D8" w:rsidRPr="009C3D56">
        <w:t xml:space="preserve">. Vi tillför anslaget </w:t>
      </w:r>
      <w:r w:rsidR="004A55A5" w:rsidRPr="009C3D56">
        <w:t>1 49 000</w:t>
      </w:r>
      <w:r w:rsidR="008315E1" w:rsidRPr="009C3D56">
        <w:t xml:space="preserve"> kronor</w:t>
      </w:r>
      <w:r w:rsidR="00E828D8" w:rsidRPr="009C3D56">
        <w:t xml:space="preserve"> i syfte att slutföra den pågående utredningen.</w:t>
      </w:r>
    </w:p>
    <w:p w:rsidR="003B0FB2" w:rsidRPr="009C3D56" w:rsidRDefault="003B0FB2">
      <w:pPr>
        <w:pStyle w:val="Rubrik1"/>
        <w:shd w:val="clear" w:color="000000" w:fill="auto"/>
      </w:pPr>
      <w:r w:rsidRPr="009C3D56">
        <w:t>Nationell samordnare kooperativa hyresrätter</w:t>
      </w:r>
    </w:p>
    <w:p w:rsidR="00870C85" w:rsidRPr="009C3D56" w:rsidRDefault="00870C85">
      <w:pPr>
        <w:shd w:val="clear" w:color="000000" w:fill="auto"/>
      </w:pPr>
      <w:r w:rsidRPr="009C3D56">
        <w:t>Den kooperativ</w:t>
      </w:r>
      <w:r w:rsidR="004A55A5" w:rsidRPr="009C3D56">
        <w:t>a</w:t>
      </w:r>
      <w:r w:rsidRPr="009C3D56">
        <w:t xml:space="preserve"> hyresrätten har varit en lagstadgad upplåtelseform sedan 2002, men av olika skäl har boendeformen inte nått den framgång många hade hoppats på. Endast ett femtontal kooperativa hyresrättsföreningar har registrerats på Bolagsverket sedan lagen trädde i kraft.</w:t>
      </w:r>
    </w:p>
    <w:p w:rsidR="00870C85" w:rsidRPr="009C3D56" w:rsidRDefault="00870C85">
      <w:pPr>
        <w:pStyle w:val="Normaltindrag"/>
        <w:shd w:val="clear" w:color="000000" w:fill="auto"/>
      </w:pPr>
      <w:r w:rsidRPr="009C3D56">
        <w:t>Den dåvarande regeringen gav under 2003 Boverket i uppdrag att utveckla förutsättningarna för upplåtelseformen. Uppdraget redovisades i mars 2005 i rapporten Kooperativa hyresrätter – Nya möjligheter för den fjärde upplåte</w:t>
      </w:r>
      <w:r w:rsidRPr="009C3D56">
        <w:t>l</w:t>
      </w:r>
      <w:r w:rsidRPr="009C3D56">
        <w:t>seformen och i huvudsak anser Boverket även i denna utredning att den k</w:t>
      </w:r>
      <w:r w:rsidRPr="009C3D56">
        <w:t>o</w:t>
      </w:r>
      <w:r w:rsidRPr="009C3D56">
        <w:t>operativa hyresrätten behandlas orättvist i förhållande till andra upplåtels</w:t>
      </w:r>
      <w:r w:rsidRPr="009C3D56">
        <w:t>e</w:t>
      </w:r>
      <w:r w:rsidRPr="009C3D56">
        <w:t>former. För att förbättra situationen har man pekat på en rad regeländringar som kan åstadkommas inom ramen för den stomme som lagen (2002:93) om kooperativ hyresrätt utgör. Man föreslog även att en ny nationell samordnare för frågor rörande kooperativa hyresrätter inrättas.</w:t>
      </w:r>
    </w:p>
    <w:p w:rsidR="00D46401" w:rsidRPr="009C3D56" w:rsidRDefault="00870C85">
      <w:pPr>
        <w:pStyle w:val="Normaltindrag"/>
        <w:shd w:val="clear" w:color="000000" w:fill="auto"/>
      </w:pPr>
      <w:r w:rsidRPr="009C3D56">
        <w:t>Behovet av organiserad spridning av kunskap och information om uppl</w:t>
      </w:r>
      <w:r w:rsidRPr="009C3D56">
        <w:t>å</w:t>
      </w:r>
      <w:r w:rsidRPr="009C3D56">
        <w:t>telseformen är stort och arbetet med ett mera långsiktigt informations- och kunskapsutvecklingsarbete samt rådgivning på nationell nivå måste fortgå.</w:t>
      </w:r>
    </w:p>
    <w:p w:rsidR="00870C85" w:rsidRPr="009C3D56" w:rsidRDefault="00870C85">
      <w:pPr>
        <w:pStyle w:val="Normaltindrag"/>
        <w:shd w:val="clear" w:color="000000" w:fill="auto"/>
      </w:pPr>
      <w:r w:rsidRPr="009C3D56">
        <w:t>Vänsterpartiet anser att förslaget att organisationen Sveriges Kooperativa Hyresrättsföreningar (SKH) blir en nationell samordnare på området är bra. Genom SKH kan man på nationell nivå utveckla, stödja och främja tillkom</w:t>
      </w:r>
      <w:r w:rsidRPr="009C3D56">
        <w:t>s</w:t>
      </w:r>
      <w:r w:rsidRPr="009C3D56">
        <w:t>ten av fler kooperativa hyresrättsföreningar. Vänsterpartiet för</w:t>
      </w:r>
      <w:r w:rsidR="00E52B11" w:rsidRPr="009C3D56">
        <w:t>e</w:t>
      </w:r>
      <w:r w:rsidRPr="009C3D56">
        <w:t>s</w:t>
      </w:r>
      <w:r w:rsidR="00D46401" w:rsidRPr="009C3D56">
        <w:t>lår därför att det tillförs 1,5 </w:t>
      </w:r>
      <w:r w:rsidRPr="009C3D56">
        <w:t xml:space="preserve">miljoner </w:t>
      </w:r>
      <w:r w:rsidR="004A55A5" w:rsidRPr="009C3D56">
        <w:t xml:space="preserve">kronor </w:t>
      </w:r>
      <w:r w:rsidRPr="009C3D56">
        <w:t xml:space="preserve">per år för detta ändamål </w:t>
      </w:r>
      <w:r w:rsidR="00D46401" w:rsidRPr="009C3D56">
        <w:t>fr</w:t>
      </w:r>
      <w:r w:rsidR="004A55A5" w:rsidRPr="009C3D56">
        <w:t xml:space="preserve">ån </w:t>
      </w:r>
      <w:r w:rsidR="00D46401" w:rsidRPr="009C3D56">
        <w:t>o</w:t>
      </w:r>
      <w:r w:rsidR="004A55A5" w:rsidRPr="009C3D56">
        <w:t xml:space="preserve">ch </w:t>
      </w:r>
      <w:r w:rsidR="00D46401" w:rsidRPr="009C3D56">
        <w:t>m</w:t>
      </w:r>
      <w:r w:rsidR="004A55A5" w:rsidRPr="009C3D56">
        <w:t>ed</w:t>
      </w:r>
      <w:r w:rsidR="00D46401" w:rsidRPr="009C3D56">
        <w:t xml:space="preserve"> </w:t>
      </w:r>
      <w:r w:rsidRPr="009C3D56">
        <w:t>budge</w:t>
      </w:r>
      <w:r w:rsidRPr="009C3D56">
        <w:t>t</w:t>
      </w:r>
      <w:r w:rsidRPr="009C3D56">
        <w:t>året 2007. Pengar för ändamålet a</w:t>
      </w:r>
      <w:r w:rsidR="00E828D8" w:rsidRPr="009C3D56">
        <w:t>viseras</w:t>
      </w:r>
      <w:r w:rsidRPr="009C3D56">
        <w:t xml:space="preserve"> under ett nytt anslag </w:t>
      </w:r>
      <w:r w:rsidR="00E828D8" w:rsidRPr="009C3D56">
        <w:t>(</w:t>
      </w:r>
      <w:r w:rsidRPr="009C3D56">
        <w:t>31:16</w:t>
      </w:r>
      <w:r w:rsidR="00E828D8" w:rsidRPr="009C3D56">
        <w:t>)</w:t>
      </w:r>
      <w:r w:rsidRPr="009C3D56">
        <w:t xml:space="preserve"> Nati</w:t>
      </w:r>
      <w:r w:rsidRPr="009C3D56">
        <w:t>o</w:t>
      </w:r>
      <w:r w:rsidRPr="009C3D56">
        <w:t>nell samordnare kooperativa hyresrätter.</w:t>
      </w:r>
    </w:p>
    <w:p w:rsidR="008315E1" w:rsidRPr="009C3D56" w:rsidRDefault="003B0FB2">
      <w:pPr>
        <w:pStyle w:val="Rubrik1"/>
        <w:shd w:val="clear" w:color="000000" w:fill="auto"/>
      </w:pPr>
      <w:r w:rsidRPr="009C3D56">
        <w:t>Sanering av förorenade områden i tätort</w:t>
      </w:r>
    </w:p>
    <w:p w:rsidR="00AE0B1C" w:rsidRPr="009C3D56" w:rsidRDefault="00DD01DB">
      <w:pPr>
        <w:shd w:val="clear" w:color="000000" w:fill="auto"/>
      </w:pPr>
      <w:r w:rsidRPr="009C3D56">
        <w:t>Mycket av den nyproduktion som kommer till stånd i våra storstadsområden byggs på gammal industrimark, ofta med ett centralt och attraktivt läge. Gammal industrimark är dock oftast förorenad och behöver saneras</w:t>
      </w:r>
      <w:r w:rsidR="004A55A5" w:rsidRPr="009C3D56">
        <w:t>,</w:t>
      </w:r>
      <w:r w:rsidRPr="009C3D56">
        <w:t xml:space="preserve"> vilket kostar mycket pengar. Om denna kostnad </w:t>
      </w:r>
      <w:r w:rsidR="00AE7E21" w:rsidRPr="009C3D56">
        <w:t>ska</w:t>
      </w:r>
      <w:r w:rsidRPr="009C3D56">
        <w:t xml:space="preserve"> läggas på boendet blir det ori</w:t>
      </w:r>
      <w:r w:rsidRPr="009C3D56">
        <w:t>m</w:t>
      </w:r>
      <w:r w:rsidRPr="009C3D56">
        <w:t xml:space="preserve">liga boendekostnader för merparten av dem som efterfrågar en bostad. </w:t>
      </w:r>
      <w:r w:rsidR="00F4246C" w:rsidRPr="009C3D56">
        <w:t>I det a</w:t>
      </w:r>
      <w:r w:rsidRPr="009C3D56">
        <w:t>nslag som i</w:t>
      </w:r>
      <w:r w:rsidR="00D46401" w:rsidRPr="009C3D56">
        <w:t> </w:t>
      </w:r>
      <w:r w:rsidRPr="009C3D56">
        <w:t xml:space="preserve">dag finns för sanering av förorenad mark, anslag 34:4 inom utgiftsområde 20, </w:t>
      </w:r>
      <w:r w:rsidR="00F4246C" w:rsidRPr="009C3D56">
        <w:t xml:space="preserve">finns ingen </w:t>
      </w:r>
      <w:r w:rsidRPr="009C3D56">
        <w:t>koppling till sanering av förorenad mark för bostadsbyggande.</w:t>
      </w:r>
    </w:p>
    <w:p w:rsidR="00F4246C" w:rsidRPr="009C3D56" w:rsidRDefault="00F4246C">
      <w:pPr>
        <w:pStyle w:val="Normaltindrag"/>
        <w:shd w:val="clear" w:color="000000" w:fill="auto"/>
      </w:pPr>
      <w:r w:rsidRPr="009C3D56">
        <w:t xml:space="preserve">Vi anser att </w:t>
      </w:r>
      <w:r w:rsidR="00DD01DB" w:rsidRPr="009C3D56">
        <w:t>ett ökat bostadsbygg</w:t>
      </w:r>
      <w:r w:rsidRPr="009C3D56">
        <w:t xml:space="preserve">ande </w:t>
      </w:r>
      <w:r w:rsidR="004A55A5" w:rsidRPr="009C3D56">
        <w:t xml:space="preserve">är </w:t>
      </w:r>
      <w:r w:rsidRPr="009C3D56">
        <w:t>nödvändigt och störst är</w:t>
      </w:r>
      <w:r w:rsidR="00DD01DB" w:rsidRPr="009C3D56">
        <w:t xml:space="preserve"> behovet av fler hyresrätter till rimliga kostnader. Ett ökat byggande av hyresrätter måste därför </w:t>
      </w:r>
      <w:r w:rsidRPr="009C3D56">
        <w:t xml:space="preserve">vara </w:t>
      </w:r>
      <w:r w:rsidR="00DD01DB" w:rsidRPr="009C3D56">
        <w:t xml:space="preserve">en prioriterad fråga för en hållbar samhällsutveckling. Det ökade bostadsbyggandet </w:t>
      </w:r>
      <w:r w:rsidR="00AE7E21" w:rsidRPr="009C3D56">
        <w:t>ska</w:t>
      </w:r>
      <w:r w:rsidR="00DD01DB" w:rsidRPr="009C3D56">
        <w:t xml:space="preserve"> uppfylla kraven på en ekologiskt hållbar utvec</w:t>
      </w:r>
      <w:r w:rsidR="00DD01DB" w:rsidRPr="009C3D56">
        <w:t>k</w:t>
      </w:r>
      <w:r w:rsidR="00DD01DB" w:rsidRPr="009C3D56">
        <w:t xml:space="preserve">ling. Städer, tätorter och annan bebyggd miljö </w:t>
      </w:r>
      <w:r w:rsidR="00AE7E21" w:rsidRPr="009C3D56">
        <w:t>ska</w:t>
      </w:r>
      <w:r w:rsidR="00DD01DB" w:rsidRPr="009C3D56">
        <w:t xml:space="preserve"> utgöra en god och häls</w:t>
      </w:r>
      <w:r w:rsidR="00DD01DB" w:rsidRPr="009C3D56">
        <w:t>o</w:t>
      </w:r>
      <w:r w:rsidR="00DD01DB" w:rsidRPr="009C3D56">
        <w:t>sam livsmiljö där byggnader och anläggningar har lokaliserats på ett miljöa</w:t>
      </w:r>
      <w:r w:rsidR="00DD01DB" w:rsidRPr="009C3D56">
        <w:t>n</w:t>
      </w:r>
      <w:r w:rsidR="00DD01DB" w:rsidRPr="009C3D56">
        <w:t xml:space="preserve">passat sätt så att en långsiktigt god hushållning med mark, vatten och andra resurser främjas. Enligt miljömålet </w:t>
      </w:r>
      <w:r w:rsidR="004A55A5" w:rsidRPr="009C3D56">
        <w:t xml:space="preserve">God </w:t>
      </w:r>
      <w:r w:rsidR="00DD01DB" w:rsidRPr="009C3D56">
        <w:t xml:space="preserve">bebyggd miljö </w:t>
      </w:r>
      <w:r w:rsidR="00AE7E21" w:rsidRPr="009C3D56">
        <w:t>ska</w:t>
      </w:r>
      <w:r w:rsidR="00DD01DB" w:rsidRPr="009C3D56">
        <w:t xml:space="preserve"> samhällsplan</w:t>
      </w:r>
      <w:r w:rsidR="00DD01DB" w:rsidRPr="009C3D56">
        <w:t>e</w:t>
      </w:r>
      <w:r w:rsidR="00DD01DB" w:rsidRPr="009C3D56">
        <w:t>ringen vidare främja en minskad bilanvändning och likaså öka förutsättnin</w:t>
      </w:r>
      <w:r w:rsidR="00DD01DB" w:rsidRPr="009C3D56">
        <w:t>g</w:t>
      </w:r>
      <w:r w:rsidR="00DD01DB" w:rsidRPr="009C3D56">
        <w:t>arna för användandet av miljöanpassade och resurssnåla transp</w:t>
      </w:r>
      <w:r w:rsidR="004A55A5" w:rsidRPr="009C3D56">
        <w:t>orter. Att låta tätortsnära före detta</w:t>
      </w:r>
      <w:r w:rsidR="00DD01DB" w:rsidRPr="009C3D56">
        <w:t xml:space="preserve"> industrimarker stå outnyttjade är ett re</w:t>
      </w:r>
      <w:r w:rsidR="00AE0B1C" w:rsidRPr="009C3D56">
        <w:t>sursslöseri och kan även innebära</w:t>
      </w:r>
      <w:r w:rsidR="00DD01DB" w:rsidRPr="009C3D56">
        <w:t xml:space="preserve"> en risk </w:t>
      </w:r>
      <w:r w:rsidR="004A55A5" w:rsidRPr="009C3D56">
        <w:t>f</w:t>
      </w:r>
      <w:r w:rsidR="00DD01DB" w:rsidRPr="009C3D56">
        <w:t>r</w:t>
      </w:r>
      <w:r w:rsidR="004A55A5" w:rsidRPr="009C3D56">
        <w:t>ån</w:t>
      </w:r>
      <w:r w:rsidR="00DD01DB" w:rsidRPr="009C3D56">
        <w:t xml:space="preserve"> miljösynpunkt. </w:t>
      </w:r>
      <w:r w:rsidRPr="009C3D56">
        <w:t xml:space="preserve">Staten bör främja arbetet med sanering av </w:t>
      </w:r>
      <w:r w:rsidR="00DD01DB" w:rsidRPr="009C3D56">
        <w:t>dessa</w:t>
      </w:r>
      <w:r w:rsidRPr="009C3D56">
        <w:t xml:space="preserve"> områden, Boverket bör hantera medlen. Vänsterpartiet föreslår ett nytt anslag inom utgiftsområde 18, 31:16 Sanering av förorenade områden i tätort.</w:t>
      </w:r>
    </w:p>
    <w:p w:rsidR="007C104D" w:rsidRPr="009C3D56" w:rsidRDefault="007C104D">
      <w:pPr>
        <w:pStyle w:val="Rubrik1"/>
        <w:shd w:val="clear" w:color="000000" w:fill="auto"/>
      </w:pPr>
      <w:r w:rsidRPr="009C3D56">
        <w:t>Investeringsbidrag för anordnade av hyresbostäder</w:t>
      </w:r>
    </w:p>
    <w:p w:rsidR="0013346A" w:rsidRPr="009C3D56" w:rsidRDefault="00D25AA6">
      <w:pPr>
        <w:shd w:val="clear" w:color="000000" w:fill="auto"/>
        <w:rPr>
          <w:szCs w:val="24"/>
        </w:rPr>
      </w:pPr>
      <w:r w:rsidRPr="009C3D56">
        <w:t>Vänsterpartiet avvisar regeringens sänkning av anslag 31:2</w:t>
      </w:r>
      <w:r w:rsidR="0013346A" w:rsidRPr="009C3D56">
        <w:t xml:space="preserve"> och förlänger momssänkningsstödet, Investeringsstimlans till hyres- och studentbostäder, till </w:t>
      </w:r>
      <w:r w:rsidRPr="009C3D56">
        <w:t xml:space="preserve">utgången av 2008. </w:t>
      </w:r>
      <w:r w:rsidR="0013346A" w:rsidRPr="009C3D56">
        <w:t xml:space="preserve">Ambitionerna har höjts något och sammantaget finns under 2007 utrymme för stöd till byggandet av 13 700 hyresbostäder. För anslag </w:t>
      </w:r>
      <w:r w:rsidRPr="009C3D56">
        <w:t>31:17</w:t>
      </w:r>
      <w:r w:rsidR="0013346A" w:rsidRPr="009C3D56">
        <w:t xml:space="preserve"> Investeringsbidragen för anordna</w:t>
      </w:r>
      <w:r w:rsidR="004A55A5" w:rsidRPr="009C3D56">
        <w:t>n</w:t>
      </w:r>
      <w:r w:rsidR="0013346A" w:rsidRPr="009C3D56">
        <w:t>de av hyresbostäder, gäller samma sak. Anslaget</w:t>
      </w:r>
      <w:r w:rsidRPr="009C3D56">
        <w:t xml:space="preserve"> förlängs </w:t>
      </w:r>
      <w:r w:rsidR="004A55A5" w:rsidRPr="009C3D56">
        <w:t xml:space="preserve">till och med </w:t>
      </w:r>
      <w:r w:rsidRPr="009C3D56">
        <w:t>utgången av 2008, med en avis</w:t>
      </w:r>
      <w:r w:rsidRPr="009C3D56">
        <w:t>e</w:t>
      </w:r>
      <w:r w:rsidRPr="009C3D56">
        <w:t>rad höjning på 14 % för 2007</w:t>
      </w:r>
      <w:r w:rsidR="0013346A" w:rsidRPr="009C3D56">
        <w:t xml:space="preserve"> för att nå </w:t>
      </w:r>
      <w:r w:rsidR="004A55A5" w:rsidRPr="009C3D56">
        <w:t xml:space="preserve">en </w:t>
      </w:r>
      <w:r w:rsidR="0013346A" w:rsidRPr="009C3D56">
        <w:t>nivå om 13 700 hyresbostäder</w:t>
      </w:r>
      <w:r w:rsidR="00D34962" w:rsidRPr="009C3D56">
        <w:t xml:space="preserve"> (</w:t>
      </w:r>
      <w:r w:rsidRPr="009C3D56">
        <w:t>tabell 1</w:t>
      </w:r>
      <w:r w:rsidR="00D34962" w:rsidRPr="009C3D56">
        <w:t>)</w:t>
      </w:r>
      <w:r w:rsidRPr="009C3D56">
        <w:t>. Beräkningarna inkluderar byggandet av studentbostäder, som enligt prognoserna kommer att uppgå till c</w:t>
      </w:r>
      <w:r w:rsidR="004A55A5" w:rsidRPr="009C3D56">
        <w:t>irk</w:t>
      </w:r>
      <w:r w:rsidRPr="009C3D56">
        <w:t>a 1 500 under 2007.</w:t>
      </w:r>
      <w:r w:rsidR="0013346A" w:rsidRPr="009C3D56">
        <w:t xml:space="preserve"> F</w:t>
      </w:r>
      <w:r w:rsidR="00D34962" w:rsidRPr="009C3D56">
        <w:t xml:space="preserve">ör 2008 höjer Vänsterpartiet </w:t>
      </w:r>
      <w:r w:rsidR="0013346A" w:rsidRPr="009C3D56">
        <w:t>ambitionerna ytterligare</w:t>
      </w:r>
      <w:r w:rsidR="00D34962" w:rsidRPr="009C3D56">
        <w:t xml:space="preserve">. </w:t>
      </w:r>
      <w:r w:rsidR="00AE0B1C" w:rsidRPr="009C3D56">
        <w:t>Med ett anslag på 890 </w:t>
      </w:r>
      <w:r w:rsidR="0013346A" w:rsidRPr="009C3D56">
        <w:t>miljoner kr</w:t>
      </w:r>
      <w:r w:rsidR="0013346A" w:rsidRPr="009C3D56">
        <w:t>o</w:t>
      </w:r>
      <w:r w:rsidR="0013346A" w:rsidRPr="009C3D56">
        <w:t xml:space="preserve">nor finns utrymme för </w:t>
      </w:r>
      <w:r w:rsidR="00E828D8" w:rsidRPr="009C3D56">
        <w:t xml:space="preserve">byggandet av </w:t>
      </w:r>
      <w:r w:rsidR="0013346A" w:rsidRPr="009C3D56">
        <w:t>15 000 hyresbostäder.</w:t>
      </w:r>
    </w:p>
    <w:p w:rsidR="004A55A5" w:rsidRPr="009C3D56" w:rsidRDefault="00D34962">
      <w:pPr>
        <w:shd w:val="clear" w:color="000000" w:fill="auto"/>
        <w:jc w:val="left"/>
        <w:rPr>
          <w:b/>
        </w:rPr>
      </w:pPr>
      <w:r w:rsidRPr="009C3D56">
        <w:rPr>
          <w:b/>
        </w:rPr>
        <w:t>Tabell 1</w:t>
      </w:r>
      <w:r w:rsidR="004A55A5" w:rsidRPr="009C3D56">
        <w:rPr>
          <w:b/>
        </w:rPr>
        <w:t xml:space="preserve"> Investeringsbidrag och investeringsstimulans per år i kronor (2007 och 2008)</w:t>
      </w:r>
    </w:p>
    <w:tbl>
      <w:tblPr>
        <w:tblW w:w="6015" w:type="dxa"/>
        <w:tblInd w:w="55" w:type="dxa"/>
        <w:tblLayout w:type="fixed"/>
        <w:tblCellMar>
          <w:left w:w="70" w:type="dxa"/>
          <w:right w:w="70" w:type="dxa"/>
        </w:tblCellMar>
        <w:tblLook w:val="0000" w:firstRow="0" w:lastRow="0" w:firstColumn="0" w:lastColumn="0" w:noHBand="0" w:noVBand="0"/>
      </w:tblPr>
      <w:tblGrid>
        <w:gridCol w:w="1575"/>
        <w:gridCol w:w="701"/>
        <w:gridCol w:w="700"/>
        <w:gridCol w:w="1094"/>
        <w:gridCol w:w="865"/>
        <w:gridCol w:w="1080"/>
      </w:tblGrid>
      <w:tr w:rsidR="00D34962" w:rsidRPr="009C3D56" w:rsidTr="00991E1D">
        <w:trPr>
          <w:trHeight w:val="319"/>
        </w:trPr>
        <w:tc>
          <w:tcPr>
            <w:tcW w:w="1575" w:type="dxa"/>
            <w:tcBorders>
              <w:top w:val="single" w:sz="4" w:space="0" w:color="auto"/>
              <w:bottom w:val="single" w:sz="4" w:space="0" w:color="auto"/>
            </w:tcBorders>
            <w:noWrap/>
            <w:vAlign w:val="bottom"/>
          </w:tcPr>
          <w:p w:rsidR="00D34962" w:rsidRPr="009C3D56" w:rsidRDefault="00D34962">
            <w:pPr>
              <w:shd w:val="clear" w:color="000000" w:fill="auto"/>
              <w:spacing w:before="60" w:line="200" w:lineRule="exact"/>
              <w:jc w:val="left"/>
              <w:rPr>
                <w:sz w:val="16"/>
                <w:szCs w:val="16"/>
              </w:rPr>
            </w:pPr>
          </w:p>
        </w:tc>
        <w:tc>
          <w:tcPr>
            <w:tcW w:w="701" w:type="dxa"/>
            <w:tcBorders>
              <w:top w:val="single" w:sz="4" w:space="0" w:color="auto"/>
              <w:bottom w:val="single" w:sz="4" w:space="0" w:color="auto"/>
            </w:tcBorders>
          </w:tcPr>
          <w:p w:rsidR="00D34962" w:rsidRPr="009C3D56" w:rsidRDefault="00D34962">
            <w:pPr>
              <w:shd w:val="clear" w:color="000000" w:fill="auto"/>
              <w:spacing w:before="60" w:line="200" w:lineRule="exact"/>
              <w:ind w:left="-57"/>
              <w:jc w:val="right"/>
              <w:rPr>
                <w:b/>
                <w:spacing w:val="-2"/>
                <w:sz w:val="16"/>
                <w:szCs w:val="16"/>
              </w:rPr>
            </w:pPr>
            <w:r w:rsidRPr="009C3D56">
              <w:rPr>
                <w:b/>
                <w:spacing w:val="-2"/>
                <w:sz w:val="16"/>
                <w:szCs w:val="16"/>
              </w:rPr>
              <w:t>Snitt/lgh</w:t>
            </w:r>
          </w:p>
        </w:tc>
        <w:tc>
          <w:tcPr>
            <w:tcW w:w="700" w:type="dxa"/>
            <w:tcBorders>
              <w:top w:val="single" w:sz="4" w:space="0" w:color="auto"/>
              <w:bottom w:val="single" w:sz="4" w:space="0" w:color="auto"/>
            </w:tcBorders>
          </w:tcPr>
          <w:p w:rsidR="00D34962" w:rsidRPr="009C3D56" w:rsidRDefault="00D34962">
            <w:pPr>
              <w:shd w:val="clear" w:color="000000" w:fill="auto"/>
              <w:spacing w:before="60" w:line="200" w:lineRule="exact"/>
              <w:ind w:left="-70" w:right="-70"/>
              <w:jc w:val="right"/>
              <w:rPr>
                <w:b/>
                <w:sz w:val="16"/>
                <w:szCs w:val="16"/>
              </w:rPr>
            </w:pPr>
            <w:r w:rsidRPr="009C3D56">
              <w:rPr>
                <w:b/>
                <w:sz w:val="16"/>
                <w:szCs w:val="16"/>
              </w:rPr>
              <w:t>Antal lgh</w:t>
            </w:r>
          </w:p>
        </w:tc>
        <w:tc>
          <w:tcPr>
            <w:tcW w:w="1094" w:type="dxa"/>
            <w:tcBorders>
              <w:top w:val="single" w:sz="4" w:space="0" w:color="auto"/>
              <w:bottom w:val="single" w:sz="4" w:space="0" w:color="auto"/>
            </w:tcBorders>
          </w:tcPr>
          <w:p w:rsidR="00D34962" w:rsidRPr="009C3D56" w:rsidRDefault="00D34962">
            <w:pPr>
              <w:shd w:val="clear" w:color="000000" w:fill="auto"/>
              <w:spacing w:before="60" w:line="200" w:lineRule="exact"/>
              <w:jc w:val="right"/>
              <w:rPr>
                <w:b/>
                <w:spacing w:val="-2"/>
                <w:sz w:val="16"/>
                <w:szCs w:val="16"/>
              </w:rPr>
            </w:pPr>
            <w:r w:rsidRPr="009C3D56">
              <w:rPr>
                <w:b/>
                <w:spacing w:val="-2"/>
                <w:sz w:val="16"/>
                <w:szCs w:val="16"/>
              </w:rPr>
              <w:t xml:space="preserve">Belopp </w:t>
            </w:r>
            <w:r w:rsidR="00CD3E64" w:rsidRPr="009C3D56">
              <w:rPr>
                <w:b/>
                <w:spacing w:val="-2"/>
                <w:sz w:val="16"/>
                <w:szCs w:val="16"/>
              </w:rPr>
              <w:t>2007</w:t>
            </w:r>
          </w:p>
        </w:tc>
        <w:tc>
          <w:tcPr>
            <w:tcW w:w="865" w:type="dxa"/>
            <w:tcBorders>
              <w:top w:val="single" w:sz="4" w:space="0" w:color="auto"/>
              <w:bottom w:val="single" w:sz="4" w:space="0" w:color="auto"/>
            </w:tcBorders>
          </w:tcPr>
          <w:p w:rsidR="00D34962" w:rsidRPr="009C3D56" w:rsidRDefault="00D34962">
            <w:pPr>
              <w:shd w:val="clear" w:color="000000" w:fill="auto"/>
              <w:spacing w:before="60" w:line="200" w:lineRule="exact"/>
              <w:jc w:val="right"/>
              <w:rPr>
                <w:b/>
                <w:sz w:val="16"/>
                <w:szCs w:val="16"/>
              </w:rPr>
            </w:pPr>
            <w:r w:rsidRPr="009C3D56">
              <w:rPr>
                <w:b/>
                <w:sz w:val="16"/>
                <w:szCs w:val="16"/>
              </w:rPr>
              <w:t>För staten</w:t>
            </w:r>
          </w:p>
        </w:tc>
        <w:tc>
          <w:tcPr>
            <w:tcW w:w="1080" w:type="dxa"/>
            <w:tcBorders>
              <w:top w:val="single" w:sz="4" w:space="0" w:color="auto"/>
              <w:bottom w:val="single" w:sz="4" w:space="0" w:color="auto"/>
            </w:tcBorders>
          </w:tcPr>
          <w:p w:rsidR="00D34962" w:rsidRPr="009C3D56" w:rsidRDefault="00CD3E64">
            <w:pPr>
              <w:shd w:val="clear" w:color="000000" w:fill="auto"/>
              <w:spacing w:before="60" w:line="200" w:lineRule="exact"/>
              <w:jc w:val="right"/>
              <w:rPr>
                <w:b/>
                <w:i/>
                <w:sz w:val="16"/>
                <w:szCs w:val="16"/>
              </w:rPr>
            </w:pPr>
            <w:r w:rsidRPr="009C3D56">
              <w:rPr>
                <w:i/>
                <w:sz w:val="16"/>
                <w:szCs w:val="16"/>
              </w:rPr>
              <w:t xml:space="preserve">Belopp </w:t>
            </w:r>
            <w:r w:rsidR="00D34962" w:rsidRPr="009C3D56">
              <w:rPr>
                <w:i/>
                <w:sz w:val="16"/>
                <w:szCs w:val="16"/>
              </w:rPr>
              <w:t>2008</w:t>
            </w:r>
          </w:p>
        </w:tc>
      </w:tr>
      <w:tr w:rsidR="00D34962" w:rsidRPr="009C3D56" w:rsidTr="00991E1D">
        <w:trPr>
          <w:trHeight w:val="319"/>
        </w:trPr>
        <w:tc>
          <w:tcPr>
            <w:tcW w:w="1575" w:type="dxa"/>
            <w:tcBorders>
              <w:top w:val="single" w:sz="4" w:space="0" w:color="auto"/>
            </w:tcBorders>
            <w:noWrap/>
          </w:tcPr>
          <w:p w:rsidR="00D34962" w:rsidRPr="009C3D56" w:rsidRDefault="00D34962">
            <w:pPr>
              <w:shd w:val="clear" w:color="000000" w:fill="auto"/>
              <w:spacing w:before="60" w:line="200" w:lineRule="exact"/>
              <w:ind w:left="-55" w:right="-70"/>
              <w:jc w:val="left"/>
              <w:rPr>
                <w:sz w:val="16"/>
                <w:szCs w:val="16"/>
              </w:rPr>
            </w:pPr>
            <w:r w:rsidRPr="009C3D56">
              <w:rPr>
                <w:sz w:val="16"/>
                <w:szCs w:val="16"/>
              </w:rPr>
              <w:t>Genomsnittligt investe</w:t>
            </w:r>
            <w:r w:rsidRPr="009C3D56">
              <w:rPr>
                <w:sz w:val="16"/>
                <w:szCs w:val="16"/>
              </w:rPr>
              <w:t>r</w:t>
            </w:r>
            <w:r w:rsidRPr="009C3D56">
              <w:rPr>
                <w:sz w:val="16"/>
                <w:szCs w:val="16"/>
              </w:rPr>
              <w:t>ingsbidrag per lgh</w:t>
            </w:r>
          </w:p>
        </w:tc>
        <w:tc>
          <w:tcPr>
            <w:tcW w:w="701" w:type="dxa"/>
            <w:tcBorders>
              <w:top w:val="single" w:sz="4" w:space="0" w:color="auto"/>
            </w:tcBorders>
            <w:vAlign w:val="bottom"/>
          </w:tcPr>
          <w:p w:rsidR="00D34962" w:rsidRPr="009C3D56" w:rsidRDefault="00D34962">
            <w:pPr>
              <w:shd w:val="clear" w:color="000000" w:fill="auto"/>
              <w:spacing w:before="60" w:line="200" w:lineRule="exact"/>
              <w:jc w:val="right"/>
              <w:rPr>
                <w:sz w:val="16"/>
                <w:szCs w:val="16"/>
              </w:rPr>
            </w:pPr>
            <w:r w:rsidRPr="009C3D56">
              <w:rPr>
                <w:sz w:val="16"/>
                <w:szCs w:val="16"/>
              </w:rPr>
              <w:t>59</w:t>
            </w:r>
            <w:r w:rsidR="00CD3E64" w:rsidRPr="009C3D56">
              <w:rPr>
                <w:sz w:val="16"/>
                <w:szCs w:val="16"/>
              </w:rPr>
              <w:t> </w:t>
            </w:r>
            <w:r w:rsidRPr="009C3D56">
              <w:rPr>
                <w:sz w:val="16"/>
                <w:szCs w:val="16"/>
              </w:rPr>
              <w:t>642</w:t>
            </w:r>
          </w:p>
        </w:tc>
        <w:tc>
          <w:tcPr>
            <w:tcW w:w="700" w:type="dxa"/>
            <w:tcBorders>
              <w:top w:val="single" w:sz="4" w:space="0" w:color="auto"/>
            </w:tcBorders>
            <w:vAlign w:val="bottom"/>
          </w:tcPr>
          <w:p w:rsidR="00D34962" w:rsidRPr="009C3D56" w:rsidRDefault="00D34962">
            <w:pPr>
              <w:shd w:val="clear" w:color="000000" w:fill="auto"/>
              <w:spacing w:before="60" w:line="200" w:lineRule="exact"/>
              <w:jc w:val="right"/>
              <w:rPr>
                <w:sz w:val="16"/>
                <w:szCs w:val="16"/>
              </w:rPr>
            </w:pPr>
            <w:r w:rsidRPr="009C3D56">
              <w:rPr>
                <w:sz w:val="16"/>
                <w:szCs w:val="16"/>
              </w:rPr>
              <w:t>13</w:t>
            </w:r>
            <w:r w:rsidR="00CD3E64" w:rsidRPr="009C3D56">
              <w:rPr>
                <w:sz w:val="16"/>
                <w:szCs w:val="16"/>
              </w:rPr>
              <w:t> </w:t>
            </w:r>
            <w:r w:rsidRPr="009C3D56">
              <w:rPr>
                <w:sz w:val="16"/>
                <w:szCs w:val="16"/>
              </w:rPr>
              <w:t>680</w:t>
            </w:r>
          </w:p>
        </w:tc>
        <w:tc>
          <w:tcPr>
            <w:tcW w:w="1094" w:type="dxa"/>
            <w:tcBorders>
              <w:top w:val="single" w:sz="4" w:space="0" w:color="auto"/>
            </w:tcBorders>
            <w:vAlign w:val="bottom"/>
          </w:tcPr>
          <w:p w:rsidR="00D34962" w:rsidRPr="009C3D56" w:rsidRDefault="00D34962">
            <w:pPr>
              <w:shd w:val="clear" w:color="000000" w:fill="auto"/>
              <w:spacing w:before="60" w:line="200" w:lineRule="exact"/>
              <w:jc w:val="right"/>
              <w:rPr>
                <w:sz w:val="16"/>
                <w:szCs w:val="16"/>
              </w:rPr>
            </w:pPr>
            <w:r w:rsidRPr="009C3D56">
              <w:rPr>
                <w:sz w:val="16"/>
                <w:szCs w:val="16"/>
              </w:rPr>
              <w:t>815</w:t>
            </w:r>
            <w:r w:rsidR="009F6CAD" w:rsidRPr="009C3D56">
              <w:rPr>
                <w:sz w:val="16"/>
                <w:szCs w:val="16"/>
              </w:rPr>
              <w:t> </w:t>
            </w:r>
            <w:r w:rsidRPr="009C3D56">
              <w:rPr>
                <w:sz w:val="16"/>
                <w:szCs w:val="16"/>
              </w:rPr>
              <w:t>902</w:t>
            </w:r>
            <w:r w:rsidR="009F6CAD" w:rsidRPr="009C3D56">
              <w:rPr>
                <w:sz w:val="16"/>
                <w:szCs w:val="16"/>
              </w:rPr>
              <w:t> </w:t>
            </w:r>
            <w:r w:rsidRPr="009C3D56">
              <w:rPr>
                <w:sz w:val="16"/>
                <w:szCs w:val="16"/>
              </w:rPr>
              <w:t>560</w:t>
            </w:r>
          </w:p>
        </w:tc>
        <w:tc>
          <w:tcPr>
            <w:tcW w:w="865" w:type="dxa"/>
            <w:tcBorders>
              <w:top w:val="single" w:sz="4" w:space="0" w:color="auto"/>
            </w:tcBorders>
            <w:vAlign w:val="bottom"/>
          </w:tcPr>
          <w:p w:rsidR="00D34962" w:rsidRPr="009C3D56" w:rsidRDefault="00D34962">
            <w:pPr>
              <w:shd w:val="clear" w:color="000000" w:fill="auto"/>
              <w:spacing w:before="60" w:line="200" w:lineRule="exact"/>
              <w:jc w:val="right"/>
              <w:rPr>
                <w:sz w:val="16"/>
                <w:szCs w:val="16"/>
              </w:rPr>
            </w:pPr>
            <w:r w:rsidRPr="009C3D56">
              <w:rPr>
                <w:sz w:val="16"/>
                <w:szCs w:val="16"/>
              </w:rPr>
              <w:t>Utgift</w:t>
            </w:r>
          </w:p>
        </w:tc>
        <w:tc>
          <w:tcPr>
            <w:tcW w:w="1080" w:type="dxa"/>
            <w:tcBorders>
              <w:top w:val="single" w:sz="4" w:space="0" w:color="auto"/>
            </w:tcBorders>
            <w:vAlign w:val="bottom"/>
          </w:tcPr>
          <w:p w:rsidR="00D34962" w:rsidRPr="009C3D56" w:rsidRDefault="009F6CAD">
            <w:pPr>
              <w:shd w:val="clear" w:color="000000" w:fill="auto"/>
              <w:spacing w:before="60" w:line="200" w:lineRule="exact"/>
              <w:jc w:val="right"/>
              <w:rPr>
                <w:i/>
                <w:sz w:val="16"/>
                <w:szCs w:val="16"/>
              </w:rPr>
            </w:pPr>
            <w:r w:rsidRPr="009C3D56">
              <w:rPr>
                <w:i/>
                <w:sz w:val="16"/>
                <w:szCs w:val="16"/>
              </w:rPr>
              <w:t>890</w:t>
            </w:r>
            <w:r w:rsidR="00991E1D" w:rsidRPr="009C3D56">
              <w:rPr>
                <w:i/>
                <w:sz w:val="16"/>
                <w:szCs w:val="16"/>
              </w:rPr>
              <w:t xml:space="preserve"> </w:t>
            </w:r>
            <w:r w:rsidRPr="009C3D56">
              <w:rPr>
                <w:i/>
                <w:sz w:val="16"/>
                <w:szCs w:val="16"/>
              </w:rPr>
              <w:t>000</w:t>
            </w:r>
            <w:r w:rsidR="00991E1D" w:rsidRPr="009C3D56">
              <w:rPr>
                <w:i/>
                <w:sz w:val="16"/>
                <w:szCs w:val="16"/>
              </w:rPr>
              <w:t xml:space="preserve"> </w:t>
            </w:r>
            <w:r w:rsidRPr="009C3D56">
              <w:rPr>
                <w:i/>
                <w:sz w:val="16"/>
                <w:szCs w:val="16"/>
              </w:rPr>
              <w:t>000</w:t>
            </w:r>
          </w:p>
        </w:tc>
      </w:tr>
      <w:tr w:rsidR="00D34962" w:rsidRPr="009C3D56" w:rsidTr="00991E1D">
        <w:trPr>
          <w:trHeight w:val="319"/>
        </w:trPr>
        <w:tc>
          <w:tcPr>
            <w:tcW w:w="1575" w:type="dxa"/>
            <w:noWrap/>
          </w:tcPr>
          <w:p w:rsidR="00D34962" w:rsidRPr="009C3D56" w:rsidRDefault="00D34962">
            <w:pPr>
              <w:shd w:val="clear" w:color="000000" w:fill="auto"/>
              <w:spacing w:before="60" w:line="200" w:lineRule="exact"/>
              <w:ind w:left="-55" w:right="-70"/>
              <w:jc w:val="left"/>
              <w:rPr>
                <w:spacing w:val="-2"/>
                <w:sz w:val="16"/>
                <w:szCs w:val="16"/>
              </w:rPr>
            </w:pPr>
            <w:r w:rsidRPr="009C3D56">
              <w:rPr>
                <w:spacing w:val="-2"/>
                <w:sz w:val="16"/>
                <w:szCs w:val="16"/>
              </w:rPr>
              <w:t>Genomsnittlig investe</w:t>
            </w:r>
            <w:r w:rsidRPr="009C3D56">
              <w:rPr>
                <w:spacing w:val="-2"/>
                <w:sz w:val="16"/>
                <w:szCs w:val="16"/>
              </w:rPr>
              <w:t>r</w:t>
            </w:r>
            <w:r w:rsidRPr="009C3D56">
              <w:rPr>
                <w:spacing w:val="-2"/>
                <w:sz w:val="16"/>
                <w:szCs w:val="16"/>
              </w:rPr>
              <w:t>ingsstimulans per lgh</w:t>
            </w:r>
          </w:p>
        </w:tc>
        <w:tc>
          <w:tcPr>
            <w:tcW w:w="701" w:type="dxa"/>
            <w:vAlign w:val="bottom"/>
          </w:tcPr>
          <w:p w:rsidR="00D34962" w:rsidRPr="009C3D56" w:rsidRDefault="00D34962">
            <w:pPr>
              <w:shd w:val="clear" w:color="000000" w:fill="auto"/>
              <w:spacing w:before="60" w:line="200" w:lineRule="exact"/>
              <w:jc w:val="right"/>
              <w:rPr>
                <w:sz w:val="16"/>
                <w:szCs w:val="16"/>
              </w:rPr>
            </w:pPr>
            <w:r w:rsidRPr="009C3D56">
              <w:rPr>
                <w:sz w:val="16"/>
                <w:szCs w:val="16"/>
              </w:rPr>
              <w:t>81</w:t>
            </w:r>
            <w:r w:rsidR="00CD3E64" w:rsidRPr="009C3D56">
              <w:rPr>
                <w:sz w:val="16"/>
                <w:szCs w:val="16"/>
              </w:rPr>
              <w:t> </w:t>
            </w:r>
            <w:r w:rsidRPr="009C3D56">
              <w:rPr>
                <w:sz w:val="16"/>
                <w:szCs w:val="16"/>
              </w:rPr>
              <w:t>476</w:t>
            </w:r>
          </w:p>
        </w:tc>
        <w:tc>
          <w:tcPr>
            <w:tcW w:w="700" w:type="dxa"/>
            <w:vAlign w:val="bottom"/>
          </w:tcPr>
          <w:p w:rsidR="00D34962" w:rsidRPr="009C3D56" w:rsidRDefault="00D34962">
            <w:pPr>
              <w:shd w:val="clear" w:color="000000" w:fill="auto"/>
              <w:spacing w:before="60" w:line="200" w:lineRule="exact"/>
              <w:jc w:val="right"/>
              <w:rPr>
                <w:sz w:val="16"/>
                <w:szCs w:val="16"/>
              </w:rPr>
            </w:pPr>
            <w:r w:rsidRPr="009C3D56">
              <w:rPr>
                <w:sz w:val="16"/>
                <w:szCs w:val="16"/>
              </w:rPr>
              <w:t>13</w:t>
            </w:r>
            <w:r w:rsidR="00CD3E64" w:rsidRPr="009C3D56">
              <w:rPr>
                <w:sz w:val="16"/>
                <w:szCs w:val="16"/>
              </w:rPr>
              <w:t> </w:t>
            </w:r>
            <w:r w:rsidRPr="009C3D56">
              <w:rPr>
                <w:sz w:val="16"/>
                <w:szCs w:val="16"/>
              </w:rPr>
              <w:t>680</w:t>
            </w:r>
          </w:p>
        </w:tc>
        <w:tc>
          <w:tcPr>
            <w:tcW w:w="1094" w:type="dxa"/>
            <w:vAlign w:val="bottom"/>
          </w:tcPr>
          <w:p w:rsidR="00D34962" w:rsidRPr="009C3D56" w:rsidRDefault="00D34962">
            <w:pPr>
              <w:shd w:val="clear" w:color="000000" w:fill="auto"/>
              <w:spacing w:before="60" w:line="200" w:lineRule="exact"/>
              <w:jc w:val="right"/>
              <w:rPr>
                <w:sz w:val="16"/>
                <w:szCs w:val="16"/>
              </w:rPr>
            </w:pPr>
            <w:r w:rsidRPr="009C3D56">
              <w:rPr>
                <w:sz w:val="16"/>
                <w:szCs w:val="16"/>
              </w:rPr>
              <w:t>1</w:t>
            </w:r>
            <w:r w:rsidR="00991E1D" w:rsidRPr="009C3D56">
              <w:rPr>
                <w:sz w:val="16"/>
                <w:szCs w:val="16"/>
              </w:rPr>
              <w:t xml:space="preserve"> </w:t>
            </w:r>
            <w:r w:rsidRPr="009C3D56">
              <w:rPr>
                <w:sz w:val="16"/>
                <w:szCs w:val="16"/>
              </w:rPr>
              <w:t>114</w:t>
            </w:r>
            <w:r w:rsidR="00991E1D" w:rsidRPr="009C3D56">
              <w:rPr>
                <w:sz w:val="16"/>
                <w:szCs w:val="16"/>
              </w:rPr>
              <w:t xml:space="preserve"> </w:t>
            </w:r>
            <w:r w:rsidRPr="009C3D56">
              <w:rPr>
                <w:sz w:val="16"/>
                <w:szCs w:val="16"/>
              </w:rPr>
              <w:t>591</w:t>
            </w:r>
            <w:r w:rsidR="00991E1D" w:rsidRPr="009C3D56">
              <w:rPr>
                <w:sz w:val="16"/>
                <w:szCs w:val="16"/>
              </w:rPr>
              <w:t xml:space="preserve"> </w:t>
            </w:r>
            <w:r w:rsidRPr="009C3D56">
              <w:rPr>
                <w:sz w:val="16"/>
                <w:szCs w:val="16"/>
              </w:rPr>
              <w:t>680</w:t>
            </w:r>
          </w:p>
        </w:tc>
        <w:tc>
          <w:tcPr>
            <w:tcW w:w="865" w:type="dxa"/>
            <w:vAlign w:val="bottom"/>
          </w:tcPr>
          <w:p w:rsidR="00D34962" w:rsidRPr="009C3D56" w:rsidRDefault="00D34962">
            <w:pPr>
              <w:shd w:val="clear" w:color="000000" w:fill="auto"/>
              <w:spacing w:before="60" w:line="200" w:lineRule="exact"/>
              <w:jc w:val="right"/>
              <w:rPr>
                <w:spacing w:val="-2"/>
                <w:sz w:val="16"/>
                <w:szCs w:val="16"/>
              </w:rPr>
            </w:pPr>
            <w:r w:rsidRPr="009C3D56">
              <w:rPr>
                <w:spacing w:val="-2"/>
                <w:sz w:val="16"/>
                <w:szCs w:val="16"/>
              </w:rPr>
              <w:t>Inkoms</w:t>
            </w:r>
            <w:r w:rsidRPr="009C3D56">
              <w:rPr>
                <w:spacing w:val="-2"/>
                <w:sz w:val="16"/>
                <w:szCs w:val="16"/>
              </w:rPr>
              <w:t>t</w:t>
            </w:r>
            <w:r w:rsidRPr="009C3D56">
              <w:rPr>
                <w:spacing w:val="-2"/>
                <w:sz w:val="16"/>
                <w:szCs w:val="16"/>
              </w:rPr>
              <w:t>bortfall</w:t>
            </w:r>
          </w:p>
        </w:tc>
        <w:tc>
          <w:tcPr>
            <w:tcW w:w="1080" w:type="dxa"/>
            <w:vAlign w:val="bottom"/>
          </w:tcPr>
          <w:p w:rsidR="00D34962" w:rsidRPr="009C3D56" w:rsidRDefault="00991E1D">
            <w:pPr>
              <w:shd w:val="clear" w:color="000000" w:fill="auto"/>
              <w:spacing w:before="60" w:line="200" w:lineRule="exact"/>
              <w:jc w:val="right"/>
              <w:rPr>
                <w:i/>
                <w:sz w:val="16"/>
                <w:szCs w:val="16"/>
              </w:rPr>
            </w:pPr>
            <w:r w:rsidRPr="009C3D56">
              <w:rPr>
                <w:i/>
                <w:sz w:val="16"/>
                <w:szCs w:val="16"/>
              </w:rPr>
              <w:t xml:space="preserve">1 250 000 </w:t>
            </w:r>
            <w:r w:rsidR="00CD3E64" w:rsidRPr="009C3D56">
              <w:rPr>
                <w:i/>
                <w:sz w:val="16"/>
                <w:szCs w:val="16"/>
              </w:rPr>
              <w:t>000</w:t>
            </w:r>
          </w:p>
        </w:tc>
      </w:tr>
      <w:tr w:rsidR="00D34962" w:rsidRPr="009C3D56" w:rsidTr="00991E1D">
        <w:trPr>
          <w:trHeight w:val="319"/>
        </w:trPr>
        <w:tc>
          <w:tcPr>
            <w:tcW w:w="1575" w:type="dxa"/>
            <w:tcBorders>
              <w:bottom w:val="single" w:sz="4" w:space="0" w:color="auto"/>
            </w:tcBorders>
            <w:noWrap/>
          </w:tcPr>
          <w:p w:rsidR="00D34962" w:rsidRPr="009C3D56" w:rsidRDefault="00D34962">
            <w:pPr>
              <w:shd w:val="clear" w:color="000000" w:fill="auto"/>
              <w:spacing w:before="60" w:line="200" w:lineRule="exact"/>
              <w:ind w:left="-55" w:right="-70"/>
              <w:jc w:val="left"/>
              <w:rPr>
                <w:b/>
                <w:sz w:val="16"/>
                <w:szCs w:val="16"/>
              </w:rPr>
            </w:pPr>
            <w:r w:rsidRPr="009C3D56">
              <w:rPr>
                <w:b/>
                <w:sz w:val="16"/>
                <w:szCs w:val="16"/>
              </w:rPr>
              <w:t>Genomsnittligt stöd per lgh</w:t>
            </w:r>
          </w:p>
        </w:tc>
        <w:tc>
          <w:tcPr>
            <w:tcW w:w="701" w:type="dxa"/>
            <w:tcBorders>
              <w:bottom w:val="single" w:sz="4" w:space="0" w:color="auto"/>
            </w:tcBorders>
            <w:vAlign w:val="bottom"/>
          </w:tcPr>
          <w:p w:rsidR="00D34962" w:rsidRPr="009C3D56" w:rsidRDefault="00D34962">
            <w:pPr>
              <w:shd w:val="clear" w:color="000000" w:fill="auto"/>
              <w:spacing w:before="60" w:line="200" w:lineRule="exact"/>
              <w:jc w:val="right"/>
              <w:rPr>
                <w:b/>
                <w:sz w:val="16"/>
                <w:szCs w:val="16"/>
              </w:rPr>
            </w:pPr>
            <w:r w:rsidRPr="009C3D56">
              <w:rPr>
                <w:b/>
                <w:sz w:val="16"/>
                <w:szCs w:val="16"/>
              </w:rPr>
              <w:t>141</w:t>
            </w:r>
            <w:r w:rsidR="00CD3E64" w:rsidRPr="009C3D56">
              <w:rPr>
                <w:sz w:val="16"/>
                <w:szCs w:val="16"/>
              </w:rPr>
              <w:t> </w:t>
            </w:r>
            <w:r w:rsidRPr="009C3D56">
              <w:rPr>
                <w:b/>
                <w:sz w:val="16"/>
                <w:szCs w:val="16"/>
              </w:rPr>
              <w:t>100</w:t>
            </w:r>
          </w:p>
        </w:tc>
        <w:tc>
          <w:tcPr>
            <w:tcW w:w="700" w:type="dxa"/>
            <w:tcBorders>
              <w:bottom w:val="single" w:sz="4" w:space="0" w:color="auto"/>
            </w:tcBorders>
            <w:vAlign w:val="bottom"/>
          </w:tcPr>
          <w:p w:rsidR="00D34962" w:rsidRPr="009C3D56" w:rsidRDefault="00D34962">
            <w:pPr>
              <w:shd w:val="clear" w:color="000000" w:fill="auto"/>
              <w:spacing w:before="60" w:line="200" w:lineRule="exact"/>
              <w:jc w:val="right"/>
              <w:rPr>
                <w:b/>
                <w:sz w:val="16"/>
                <w:szCs w:val="16"/>
              </w:rPr>
            </w:pPr>
            <w:r w:rsidRPr="009C3D56">
              <w:rPr>
                <w:b/>
                <w:sz w:val="16"/>
                <w:szCs w:val="16"/>
              </w:rPr>
              <w:t>13</w:t>
            </w:r>
            <w:r w:rsidR="00CD3E64" w:rsidRPr="009C3D56">
              <w:rPr>
                <w:sz w:val="16"/>
                <w:szCs w:val="16"/>
              </w:rPr>
              <w:t> </w:t>
            </w:r>
            <w:r w:rsidRPr="009C3D56">
              <w:rPr>
                <w:b/>
                <w:sz w:val="16"/>
                <w:szCs w:val="16"/>
              </w:rPr>
              <w:t>680</w:t>
            </w:r>
          </w:p>
        </w:tc>
        <w:tc>
          <w:tcPr>
            <w:tcW w:w="1094" w:type="dxa"/>
            <w:tcBorders>
              <w:bottom w:val="single" w:sz="4" w:space="0" w:color="auto"/>
            </w:tcBorders>
            <w:vAlign w:val="bottom"/>
          </w:tcPr>
          <w:p w:rsidR="00D34962" w:rsidRPr="009C3D56" w:rsidRDefault="00D34962">
            <w:pPr>
              <w:shd w:val="clear" w:color="000000" w:fill="auto"/>
              <w:spacing w:before="60" w:line="200" w:lineRule="exact"/>
              <w:jc w:val="right"/>
              <w:rPr>
                <w:b/>
                <w:sz w:val="16"/>
                <w:szCs w:val="16"/>
              </w:rPr>
            </w:pPr>
            <w:r w:rsidRPr="009C3D56">
              <w:rPr>
                <w:b/>
                <w:sz w:val="16"/>
                <w:szCs w:val="16"/>
              </w:rPr>
              <w:t>1</w:t>
            </w:r>
            <w:r w:rsidR="00991E1D" w:rsidRPr="009C3D56">
              <w:rPr>
                <w:b/>
                <w:sz w:val="16"/>
                <w:szCs w:val="16"/>
              </w:rPr>
              <w:t xml:space="preserve"> </w:t>
            </w:r>
            <w:r w:rsidR="009F6CAD" w:rsidRPr="009C3D56">
              <w:rPr>
                <w:b/>
                <w:sz w:val="16"/>
                <w:szCs w:val="16"/>
              </w:rPr>
              <w:t>930</w:t>
            </w:r>
            <w:r w:rsidR="00991E1D" w:rsidRPr="009C3D56">
              <w:rPr>
                <w:b/>
                <w:sz w:val="16"/>
                <w:szCs w:val="16"/>
              </w:rPr>
              <w:t xml:space="preserve"> </w:t>
            </w:r>
            <w:r w:rsidR="009F6CAD" w:rsidRPr="009C3D56">
              <w:rPr>
                <w:b/>
                <w:sz w:val="16"/>
                <w:szCs w:val="16"/>
              </w:rPr>
              <w:t>494</w:t>
            </w:r>
            <w:r w:rsidR="00991E1D" w:rsidRPr="009C3D56">
              <w:rPr>
                <w:b/>
                <w:sz w:val="16"/>
                <w:szCs w:val="16"/>
              </w:rPr>
              <w:t xml:space="preserve"> </w:t>
            </w:r>
            <w:r w:rsidR="009F6CAD" w:rsidRPr="009C3D56">
              <w:rPr>
                <w:b/>
                <w:sz w:val="16"/>
                <w:szCs w:val="16"/>
              </w:rPr>
              <w:t>240</w:t>
            </w:r>
          </w:p>
        </w:tc>
        <w:tc>
          <w:tcPr>
            <w:tcW w:w="865" w:type="dxa"/>
            <w:tcBorders>
              <w:bottom w:val="single" w:sz="4" w:space="0" w:color="auto"/>
            </w:tcBorders>
            <w:vAlign w:val="bottom"/>
          </w:tcPr>
          <w:p w:rsidR="00D34962" w:rsidRPr="009C3D56" w:rsidRDefault="00D34962">
            <w:pPr>
              <w:shd w:val="clear" w:color="000000" w:fill="auto"/>
              <w:spacing w:before="60" w:line="200" w:lineRule="exact"/>
              <w:jc w:val="right"/>
              <w:rPr>
                <w:b/>
                <w:sz w:val="16"/>
                <w:szCs w:val="16"/>
              </w:rPr>
            </w:pPr>
            <w:r w:rsidRPr="009C3D56">
              <w:rPr>
                <w:b/>
                <w:sz w:val="16"/>
                <w:szCs w:val="16"/>
              </w:rPr>
              <w:t>Totalt</w:t>
            </w:r>
          </w:p>
        </w:tc>
        <w:tc>
          <w:tcPr>
            <w:tcW w:w="1080" w:type="dxa"/>
            <w:tcBorders>
              <w:bottom w:val="single" w:sz="4" w:space="0" w:color="auto"/>
            </w:tcBorders>
            <w:vAlign w:val="bottom"/>
          </w:tcPr>
          <w:p w:rsidR="00D34962" w:rsidRPr="009C3D56" w:rsidRDefault="00991E1D">
            <w:pPr>
              <w:shd w:val="clear" w:color="000000" w:fill="auto"/>
              <w:spacing w:before="60" w:line="200" w:lineRule="exact"/>
              <w:jc w:val="right"/>
              <w:rPr>
                <w:i/>
                <w:sz w:val="16"/>
                <w:szCs w:val="16"/>
              </w:rPr>
            </w:pPr>
            <w:r w:rsidRPr="009C3D56">
              <w:rPr>
                <w:i/>
                <w:sz w:val="16"/>
                <w:szCs w:val="16"/>
              </w:rPr>
              <w:t xml:space="preserve">2 140 000 </w:t>
            </w:r>
            <w:r w:rsidR="00CD3E64" w:rsidRPr="009C3D56">
              <w:rPr>
                <w:i/>
                <w:sz w:val="16"/>
                <w:szCs w:val="16"/>
              </w:rPr>
              <w:t>000</w:t>
            </w:r>
          </w:p>
        </w:tc>
      </w:tr>
    </w:tbl>
    <w:p w:rsidR="0013346A" w:rsidRPr="009C3D56" w:rsidRDefault="00D34962">
      <w:pPr>
        <w:shd w:val="clear" w:color="000000" w:fill="auto"/>
      </w:pPr>
      <w:r w:rsidRPr="009C3D56">
        <w:t xml:space="preserve">Syftet med förlängningen av </w:t>
      </w:r>
      <w:r w:rsidR="00E828D8" w:rsidRPr="009C3D56">
        <w:t xml:space="preserve">nuvarande stöd </w:t>
      </w:r>
      <w:r w:rsidRPr="009C3D56">
        <w:t xml:space="preserve">är att en fortsatt hög produktion av hyresrätter </w:t>
      </w:r>
      <w:r w:rsidR="00AE7E21" w:rsidRPr="009C3D56">
        <w:t>ska</w:t>
      </w:r>
      <w:r w:rsidRPr="009C3D56">
        <w:t xml:space="preserve"> kvarstå fram till dess att ett nytt finansieringssystem tas i bruk. </w:t>
      </w:r>
      <w:r w:rsidR="0013346A" w:rsidRPr="009C3D56">
        <w:t xml:space="preserve">Inför 2009 </w:t>
      </w:r>
      <w:r w:rsidR="00375163" w:rsidRPr="009C3D56">
        <w:t xml:space="preserve">ersätts </w:t>
      </w:r>
      <w:r w:rsidR="0013346A" w:rsidRPr="009C3D56">
        <w:t xml:space="preserve">dessa stöd </w:t>
      </w:r>
      <w:r w:rsidR="00375163" w:rsidRPr="009C3D56">
        <w:t xml:space="preserve">av ett </w:t>
      </w:r>
      <w:r w:rsidR="0013346A" w:rsidRPr="009C3D56">
        <w:t xml:space="preserve">nytt </w:t>
      </w:r>
      <w:r w:rsidR="00802DC0" w:rsidRPr="009C3D56">
        <w:t>finansieringsstöd för produktion av hyresbostäder. Se vidare Vänsterpartiets motion Långsiktiga villkor för bostadsproduktionen</w:t>
      </w:r>
      <w:r w:rsidR="004A55A5" w:rsidRPr="009C3D56">
        <w:t xml:space="preserve"> (C319</w:t>
      </w:r>
      <w:r w:rsidR="00AE0B1C" w:rsidRPr="009C3D56">
        <w:t>)</w:t>
      </w:r>
      <w:r w:rsidR="00802DC0" w:rsidRPr="009C3D56">
        <w:t>.</w:t>
      </w:r>
    </w:p>
    <w:p w:rsidR="009A209B" w:rsidRPr="009C3D56" w:rsidRDefault="009A209B">
      <w:pPr>
        <w:pStyle w:val="Rubrik1"/>
        <w:shd w:val="clear" w:color="000000" w:fill="auto"/>
      </w:pPr>
      <w:r w:rsidRPr="009C3D56">
        <w:t>Konsumentverket</w:t>
      </w:r>
    </w:p>
    <w:p w:rsidR="009A209B" w:rsidRPr="009C3D56" w:rsidRDefault="009A209B">
      <w:pPr>
        <w:shd w:val="clear" w:color="000000" w:fill="auto"/>
      </w:pPr>
      <w:r w:rsidRPr="009C3D56">
        <w:t>Konsumentinstitutet Läkemedel och Hälsa (Kilen) grundades 1992. Kilens arbete har två inriktningar. Den ena är att ge råd, stöd och behandling för människor drabbade av läkemedelsberoende och andra biverkningar. Den andra att sprida kunskaper om läkemedel och läkemedelsbiverkningar. Föru</w:t>
      </w:r>
      <w:r w:rsidRPr="009C3D56">
        <w:t>t</w:t>
      </w:r>
      <w:r w:rsidRPr="009C3D56">
        <w:t xml:space="preserve">om en tidvis mycket omfattande föreläsnings- och utbildningsverksamhet har Kilen under åren arrangerat ett flertal större konferenser. 1995 arrangerades den första konferensen om </w:t>
      </w:r>
      <w:r w:rsidR="004A55A5" w:rsidRPr="009C3D56">
        <w:t>”</w:t>
      </w:r>
      <w:r w:rsidRPr="009C3D56">
        <w:t>Läkemedelsberoende i ett nordiskt perspektiv</w:t>
      </w:r>
      <w:r w:rsidR="004A55A5" w:rsidRPr="009C3D56">
        <w:t>”</w:t>
      </w:r>
      <w:r w:rsidRPr="009C3D56">
        <w:t>, som sedan kom att följas av ytterligare tre konferenser på temat i olika no</w:t>
      </w:r>
      <w:r w:rsidRPr="009C3D56">
        <w:t>r</w:t>
      </w:r>
      <w:r w:rsidRPr="009C3D56">
        <w:t>diska länder.</w:t>
      </w:r>
    </w:p>
    <w:p w:rsidR="009A209B" w:rsidRPr="009C3D56" w:rsidRDefault="009A209B">
      <w:pPr>
        <w:pStyle w:val="Normaltindrag"/>
        <w:shd w:val="clear" w:color="000000" w:fill="auto"/>
        <w:rPr>
          <w:bCs/>
        </w:rPr>
      </w:pPr>
      <w:r w:rsidRPr="009C3D56">
        <w:rPr>
          <w:bCs/>
        </w:rPr>
        <w:t>Kilens arbete är särskilt betydelsefullt i vårt moderna samhälle där läk</w:t>
      </w:r>
      <w:r w:rsidRPr="009C3D56">
        <w:rPr>
          <w:bCs/>
        </w:rPr>
        <w:t>e</w:t>
      </w:r>
      <w:r w:rsidRPr="009C3D56">
        <w:rPr>
          <w:bCs/>
        </w:rPr>
        <w:t xml:space="preserve">medelsindustrin satsar enorma belopp på reklam för att försöka få oss att konsumera mer läkemedel. Det behövs oberoende röster så att det inte enbart blir det kommersiella intresset som styr läkemedelsanvändningen. Därför har </w:t>
      </w:r>
      <w:r w:rsidR="00AE0B1C" w:rsidRPr="009C3D56">
        <w:rPr>
          <w:bCs/>
        </w:rPr>
        <w:t>V</w:t>
      </w:r>
      <w:r w:rsidRPr="009C3D56">
        <w:rPr>
          <w:bCs/>
        </w:rPr>
        <w:t>änsterpartiet i budgetfö</w:t>
      </w:r>
      <w:r w:rsidR="00AE0B1C" w:rsidRPr="009C3D56">
        <w:rPr>
          <w:bCs/>
        </w:rPr>
        <w:t xml:space="preserve">rhandlingarna med den tidigare </w:t>
      </w:r>
      <w:r w:rsidR="004A55A5" w:rsidRPr="009C3D56">
        <w:rPr>
          <w:bCs/>
        </w:rPr>
        <w:t xml:space="preserve">socialdemokratiska </w:t>
      </w:r>
      <w:r w:rsidRPr="009C3D56">
        <w:rPr>
          <w:bCs/>
        </w:rPr>
        <w:t xml:space="preserve">regeringen värnat anslagen till Kilen. Kilens anslag har </w:t>
      </w:r>
      <w:r w:rsidR="004A55A5" w:rsidRPr="009C3D56">
        <w:rPr>
          <w:bCs/>
        </w:rPr>
        <w:t xml:space="preserve">i </w:t>
      </w:r>
      <w:r w:rsidRPr="009C3D56">
        <w:rPr>
          <w:bCs/>
        </w:rPr>
        <w:t xml:space="preserve">flera år varit hotade. Därför behöver vi hitta en permanent lösning för hur </w:t>
      </w:r>
      <w:r w:rsidR="00E52B11" w:rsidRPr="009C3D56">
        <w:rPr>
          <w:bCs/>
        </w:rPr>
        <w:t>K</w:t>
      </w:r>
      <w:r w:rsidRPr="009C3D56">
        <w:rPr>
          <w:bCs/>
        </w:rPr>
        <w:t>ilens finansiering ska kunna säkras. Vänsterpartiet föreslår därför att Kilens verksamhet ska införl</w:t>
      </w:r>
      <w:r w:rsidRPr="009C3D56">
        <w:rPr>
          <w:bCs/>
        </w:rPr>
        <w:t>i</w:t>
      </w:r>
      <w:r w:rsidRPr="009C3D56">
        <w:rPr>
          <w:bCs/>
        </w:rPr>
        <w:t xml:space="preserve">vas i Konsumentverket. </w:t>
      </w:r>
      <w:r w:rsidR="00AE0B1C" w:rsidRPr="009C3D56">
        <w:rPr>
          <w:bCs/>
        </w:rPr>
        <w:t>För detta ändamål avsätter vi 3 </w:t>
      </w:r>
      <w:r w:rsidRPr="009C3D56">
        <w:rPr>
          <w:bCs/>
        </w:rPr>
        <w:t>miljoner.</w:t>
      </w:r>
    </w:p>
    <w:p w:rsidR="009A209B" w:rsidRPr="009C3D56" w:rsidRDefault="009A209B">
      <w:pPr>
        <w:pStyle w:val="Rubrik1"/>
        <w:shd w:val="clear" w:color="000000" w:fill="auto"/>
      </w:pPr>
      <w:r w:rsidRPr="009C3D56">
        <w:t>Konsumentvägledare för kommunerna</w:t>
      </w:r>
    </w:p>
    <w:p w:rsidR="009A209B" w:rsidRPr="009C3D56" w:rsidRDefault="00AE0B1C">
      <w:pPr>
        <w:shd w:val="clear" w:color="000000" w:fill="auto"/>
        <w:rPr>
          <w:szCs w:val="24"/>
        </w:rPr>
      </w:pPr>
      <w:r w:rsidRPr="009C3D56">
        <w:rPr>
          <w:szCs w:val="24"/>
        </w:rPr>
        <w:t>Över 118 </w:t>
      </w:r>
      <w:r w:rsidR="009A209B" w:rsidRPr="009C3D56">
        <w:rPr>
          <w:szCs w:val="24"/>
        </w:rPr>
        <w:t>000 konsumenter fick förra året hjälp av kommunernas konsumen</w:t>
      </w:r>
      <w:r w:rsidR="009A209B" w:rsidRPr="009C3D56">
        <w:rPr>
          <w:szCs w:val="24"/>
        </w:rPr>
        <w:t>t</w:t>
      </w:r>
      <w:r w:rsidR="009A209B" w:rsidRPr="009C3D56">
        <w:rPr>
          <w:szCs w:val="24"/>
        </w:rPr>
        <w:t>vägledare.</w:t>
      </w:r>
    </w:p>
    <w:p w:rsidR="009A209B" w:rsidRPr="009C3D56" w:rsidRDefault="009A209B">
      <w:pPr>
        <w:pStyle w:val="Normaltindrag"/>
        <w:shd w:val="clear" w:color="000000" w:fill="auto"/>
      </w:pPr>
      <w:r w:rsidRPr="009C3D56">
        <w:t>Av landets 290 kommuner saknade 31 en kommunal konsumentverksa</w:t>
      </w:r>
      <w:r w:rsidRPr="009C3D56">
        <w:t>m</w:t>
      </w:r>
      <w:r w:rsidRPr="009C3D56">
        <w:t>het. I Stockholms län</w:t>
      </w:r>
      <w:r w:rsidR="00AE0B1C" w:rsidRPr="009C3D56">
        <w:t xml:space="preserve"> saknar hela 20 %</w:t>
      </w:r>
      <w:r w:rsidRPr="009C3D56">
        <w:t xml:space="preserve"> av alla invånare denna rådgivning. Eftersom verksamheten är frivillig varierar den därför mellan de olika ko</w:t>
      </w:r>
      <w:r w:rsidRPr="009C3D56">
        <w:t>m</w:t>
      </w:r>
      <w:r w:rsidRPr="009C3D56">
        <w:t>munerna när det gäller innehåll, omfattning och organisation.</w:t>
      </w:r>
    </w:p>
    <w:p w:rsidR="009A209B" w:rsidRPr="009C3D56" w:rsidRDefault="009A209B">
      <w:pPr>
        <w:pStyle w:val="Normaltindrag"/>
        <w:shd w:val="clear" w:color="000000" w:fill="auto"/>
      </w:pPr>
      <w:r w:rsidRPr="009C3D56">
        <w:t>I den nu gällande handlin</w:t>
      </w:r>
      <w:r w:rsidR="00AE0B1C" w:rsidRPr="009C3D56">
        <w:t>gsplanen för konsumentpolitiken</w:t>
      </w:r>
      <w:r w:rsidR="004A55A5" w:rsidRPr="009C3D56">
        <w:t>,</w:t>
      </w:r>
      <w:r w:rsidRPr="009C3D56">
        <w:t xml:space="preserve"> Trygga kons</w:t>
      </w:r>
      <w:r w:rsidRPr="009C3D56">
        <w:t>u</w:t>
      </w:r>
      <w:r w:rsidRPr="009C3D56">
        <w:t>menter som handlar hållbart – Konsumentpolit</w:t>
      </w:r>
      <w:r w:rsidR="00097579" w:rsidRPr="009C3D56">
        <w:t xml:space="preserve">ikens mål och inriktning (prop. </w:t>
      </w:r>
      <w:r w:rsidR="00AE0B1C" w:rsidRPr="009C3D56">
        <w:t>2005/06:105, bet. </w:t>
      </w:r>
      <w:r w:rsidRPr="009C3D56">
        <w:t>2005/06:LU33)</w:t>
      </w:r>
      <w:r w:rsidR="004A55A5" w:rsidRPr="009C3D56">
        <w:t>,</w:t>
      </w:r>
      <w:r w:rsidRPr="009C3D56">
        <w:t xml:space="preserve"> har riksdagen slagit fast att den kommun</w:t>
      </w:r>
      <w:r w:rsidRPr="009C3D56">
        <w:t>a</w:t>
      </w:r>
      <w:r w:rsidRPr="009C3D56">
        <w:t>la konsumentverksamheten har mycket stor betydelse för möjligheten att nå konsumentpolitikens mål. Den borgerliga regeringen aviserar dock att de fastställda målen och inriktningen för konsumentpolitiken kan komma att ändra</w:t>
      </w:r>
      <w:r w:rsidR="00AE0B1C" w:rsidRPr="009C3D56">
        <w:t>s (prop. 2006/07:1</w:t>
      </w:r>
      <w:r w:rsidR="004A55A5" w:rsidRPr="009C3D56">
        <w:t xml:space="preserve"> </w:t>
      </w:r>
      <w:r w:rsidR="006E21F8" w:rsidRPr="009C3D56">
        <w:t>utg.omr.</w:t>
      </w:r>
      <w:r w:rsidR="004A55A5" w:rsidRPr="009C3D56">
        <w:t xml:space="preserve"> 18</w:t>
      </w:r>
      <w:r w:rsidR="00AE0B1C" w:rsidRPr="009C3D56">
        <w:t xml:space="preserve"> s. </w:t>
      </w:r>
      <w:r w:rsidRPr="009C3D56">
        <w:t>66).</w:t>
      </w:r>
    </w:p>
    <w:p w:rsidR="00AE0B1C" w:rsidRPr="009C3D56" w:rsidRDefault="009A209B">
      <w:pPr>
        <w:pStyle w:val="Normaltindrag"/>
        <w:shd w:val="clear" w:color="000000" w:fill="auto"/>
      </w:pPr>
      <w:r w:rsidRPr="009C3D56">
        <w:t xml:space="preserve">Konsumenterna förlorar </w:t>
      </w:r>
      <w:r w:rsidR="00AE0B1C" w:rsidRPr="009C3D56">
        <w:t>c</w:t>
      </w:r>
      <w:r w:rsidR="004A55A5" w:rsidRPr="009C3D56">
        <w:t>irk</w:t>
      </w:r>
      <w:r w:rsidR="00AE0B1C" w:rsidRPr="009C3D56">
        <w:t>a</w:t>
      </w:r>
      <w:r w:rsidRPr="009C3D56">
        <w:t xml:space="preserve"> 20</w:t>
      </w:r>
      <w:r w:rsidR="00AE0B1C" w:rsidRPr="009C3D56">
        <w:t> miljarder kronor</w:t>
      </w:r>
      <w:r w:rsidRPr="009C3D56">
        <w:t xml:space="preserve"> per år till följd av bristande upplysning och dåliga köp. Värst drabbas redan utsatta grupper av konsumenter som låginkomsttagare, arbetslösa, ungdomar och ekonomiskt svaga grupper av pensionärer och invandrade. För ett hushåll m</w:t>
      </w:r>
      <w:r w:rsidR="004A55A5" w:rsidRPr="009C3D56">
        <w:t>ed låg disp</w:t>
      </w:r>
      <w:r w:rsidR="004A55A5" w:rsidRPr="009C3D56">
        <w:t>o</w:t>
      </w:r>
      <w:r w:rsidR="004A55A5" w:rsidRPr="009C3D56">
        <w:t>nibel inkomst, till exempel</w:t>
      </w:r>
      <w:r w:rsidRPr="009C3D56">
        <w:t xml:space="preserve"> för en ensamstående kvinna med barn, får ett köp av en produkt eller tjänst som visar sig vara ett dåligt val mycket större ko</w:t>
      </w:r>
      <w:r w:rsidRPr="009C3D56">
        <w:t>n</w:t>
      </w:r>
      <w:r w:rsidRPr="009C3D56">
        <w:t>sekvenser än för en familj med hög disponibel inkomst.</w:t>
      </w:r>
    </w:p>
    <w:p w:rsidR="00AE0B1C" w:rsidRPr="009C3D56" w:rsidRDefault="009A209B">
      <w:pPr>
        <w:pStyle w:val="Normaltindrag"/>
        <w:shd w:val="clear" w:color="000000" w:fill="auto"/>
      </w:pPr>
      <w:r w:rsidRPr="009C3D56">
        <w:t xml:space="preserve">Konsumentvägledningens arbete är av stor vikt eftersom det tillsammans med den kommunala budget- och skuldrådgivningens insatser kan förebygga att människor fastnar i livslånga skuldfällor. Därför var det glädjande för oss att den socialdemokratiska regeringen beslutade att ge en särskild utredare i uppdrag att göra en översyn av den kommunala konsumentvägledningen och ge förslag på hur en hög och likvärdig nivå </w:t>
      </w:r>
      <w:r w:rsidR="00AE0B1C" w:rsidRPr="009C3D56">
        <w:t>kan uppnås i hela landet (prop. 2005/06:105 s.46, dir. </w:t>
      </w:r>
      <w:r w:rsidRPr="009C3D56">
        <w:t>2006:52). De borgerliga partierna är av den uppfattningen att det bör vara upp till varje kommun att bestämma om ko</w:t>
      </w:r>
      <w:r w:rsidRPr="009C3D56">
        <w:t>n</w:t>
      </w:r>
      <w:r w:rsidRPr="009C3D56">
        <w:t>sumentvägledning ska erbjudas eller inte (bet.</w:t>
      </w:r>
      <w:r w:rsidR="00AE0B1C" w:rsidRPr="009C3D56">
        <w:t> 2005/06:LU33 s. </w:t>
      </w:r>
      <w:r w:rsidRPr="009C3D56">
        <w:t>63).</w:t>
      </w:r>
    </w:p>
    <w:p w:rsidR="00D1019F" w:rsidRPr="009C3D56" w:rsidRDefault="009A209B">
      <w:pPr>
        <w:pStyle w:val="Normaltindrag"/>
        <w:shd w:val="clear" w:color="000000" w:fill="auto"/>
        <w:rPr>
          <w:b/>
        </w:rPr>
      </w:pPr>
      <w:r w:rsidRPr="009C3D56">
        <w:t xml:space="preserve">Vänsterpartiet vill däremot genom en lagändring i kombination med ett riktat stöd till kommunerna göra konsumentvägledningen till ett </w:t>
      </w:r>
      <w:r w:rsidR="00AE0B1C" w:rsidRPr="009C3D56">
        <w:t>obligatorium för kommunerna (</w:t>
      </w:r>
      <w:r w:rsidR="004A55A5" w:rsidRPr="009C3D56">
        <w:t>C333</w:t>
      </w:r>
      <w:r w:rsidRPr="009C3D56">
        <w:t>). Det är nödvändigt för att vi ska kunna garantera alla människors tillgång till en god konsumentvägledning.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3D56">
        <w:trPr>
          <w:cantSplit/>
        </w:trPr>
        <w:tc>
          <w:tcPr>
            <w:tcW w:w="3046" w:type="dxa"/>
          </w:tcPr>
          <w:p w:rsidR="007D149D" w:rsidRPr="009C3D56" w:rsidRDefault="007D149D">
            <w:pPr>
              <w:pStyle w:val="UnderskriftDatum"/>
              <w:shd w:val="clear" w:color="000000" w:fill="auto"/>
              <w:spacing w:before="240"/>
            </w:pPr>
            <w:r w:rsidRPr="009C3D56">
              <w:t>Stockholm den 26 oktober 2006</w:t>
            </w:r>
          </w:p>
        </w:tc>
        <w:tc>
          <w:tcPr>
            <w:tcW w:w="3047" w:type="dxa"/>
          </w:tcPr>
          <w:p w:rsidR="007D149D" w:rsidRPr="009C3D56" w:rsidRDefault="007D149D">
            <w:pPr>
              <w:pStyle w:val="Underskrifter"/>
              <w:shd w:val="clear" w:color="000000" w:fill="auto"/>
              <w:spacing w:before="240"/>
            </w:pPr>
          </w:p>
        </w:tc>
      </w:tr>
      <w:tr w:rsidR="00000000" w:rsidRPr="009C3D56">
        <w:trPr>
          <w:cantSplit/>
        </w:trPr>
        <w:tc>
          <w:tcPr>
            <w:tcW w:w="3046" w:type="dxa"/>
          </w:tcPr>
          <w:p w:rsidR="007D149D" w:rsidRPr="009C3D56" w:rsidRDefault="007D149D">
            <w:pPr>
              <w:pStyle w:val="Underskrifter"/>
              <w:shd w:val="clear" w:color="000000" w:fill="auto"/>
            </w:pPr>
            <w:r w:rsidRPr="009C3D56">
              <w:t>Lars Ohly (v)</w:t>
            </w:r>
          </w:p>
        </w:tc>
        <w:tc>
          <w:tcPr>
            <w:tcW w:w="3046" w:type="dxa"/>
          </w:tcPr>
          <w:p w:rsidR="007D149D" w:rsidRPr="009C3D56" w:rsidRDefault="007D149D">
            <w:pPr>
              <w:pStyle w:val="Underskrifter"/>
              <w:shd w:val="clear" w:color="000000" w:fill="auto"/>
            </w:pPr>
          </w:p>
        </w:tc>
      </w:tr>
      <w:tr w:rsidR="00000000" w:rsidRPr="009C3D56">
        <w:trPr>
          <w:cantSplit/>
        </w:trPr>
        <w:tc>
          <w:tcPr>
            <w:tcW w:w="3046" w:type="dxa"/>
          </w:tcPr>
          <w:p w:rsidR="007D149D" w:rsidRPr="009C3D56" w:rsidRDefault="007D149D">
            <w:pPr>
              <w:pStyle w:val="Underskrifter"/>
              <w:shd w:val="clear" w:color="000000" w:fill="auto"/>
            </w:pPr>
            <w:r w:rsidRPr="009C3D56">
              <w:t>Marie Engström (v)</w:t>
            </w:r>
          </w:p>
        </w:tc>
        <w:tc>
          <w:tcPr>
            <w:tcW w:w="3046" w:type="dxa"/>
          </w:tcPr>
          <w:p w:rsidR="007D149D" w:rsidRPr="009C3D56" w:rsidRDefault="007D149D">
            <w:pPr>
              <w:pStyle w:val="Underskrifter"/>
              <w:shd w:val="clear" w:color="000000" w:fill="auto"/>
            </w:pPr>
            <w:r w:rsidRPr="009C3D56">
              <w:t>Wiwi-Anne Johansson (v)</w:t>
            </w:r>
          </w:p>
        </w:tc>
      </w:tr>
      <w:tr w:rsidR="00000000" w:rsidRPr="009C3D56">
        <w:trPr>
          <w:cantSplit/>
        </w:trPr>
        <w:tc>
          <w:tcPr>
            <w:tcW w:w="3046" w:type="dxa"/>
          </w:tcPr>
          <w:p w:rsidR="007D149D" w:rsidRPr="009C3D56" w:rsidRDefault="007D149D">
            <w:pPr>
              <w:pStyle w:val="Underskrifter"/>
              <w:shd w:val="clear" w:color="000000" w:fill="auto"/>
            </w:pPr>
            <w:r w:rsidRPr="009C3D56">
              <w:t>Elina Linna (v)</w:t>
            </w:r>
          </w:p>
        </w:tc>
        <w:tc>
          <w:tcPr>
            <w:tcW w:w="3046" w:type="dxa"/>
          </w:tcPr>
          <w:p w:rsidR="007D149D" w:rsidRPr="009C3D56" w:rsidRDefault="007D149D">
            <w:pPr>
              <w:pStyle w:val="Underskrifter"/>
              <w:shd w:val="clear" w:color="000000" w:fill="auto"/>
            </w:pPr>
            <w:r w:rsidRPr="009C3D56">
              <w:t>Peter Pedersen (v)</w:t>
            </w:r>
          </w:p>
        </w:tc>
      </w:tr>
      <w:tr w:rsidR="00000000" w:rsidRPr="009C3D56">
        <w:trPr>
          <w:cantSplit/>
        </w:trPr>
        <w:tc>
          <w:tcPr>
            <w:tcW w:w="3046" w:type="dxa"/>
          </w:tcPr>
          <w:p w:rsidR="007D149D" w:rsidRPr="009C3D56" w:rsidRDefault="007D149D">
            <w:pPr>
              <w:pStyle w:val="Underskrifter"/>
              <w:shd w:val="clear" w:color="000000" w:fill="auto"/>
            </w:pPr>
            <w:r w:rsidRPr="009C3D56">
              <w:t>Kent Persson (v)</w:t>
            </w:r>
          </w:p>
        </w:tc>
        <w:tc>
          <w:tcPr>
            <w:tcW w:w="3046" w:type="dxa"/>
          </w:tcPr>
          <w:p w:rsidR="007D149D" w:rsidRPr="009C3D56" w:rsidRDefault="007D149D">
            <w:pPr>
              <w:pStyle w:val="Underskrifter"/>
              <w:shd w:val="clear" w:color="000000" w:fill="auto"/>
            </w:pPr>
            <w:r w:rsidRPr="009C3D56">
              <w:t>Alice Åström (v)</w:t>
            </w:r>
          </w:p>
        </w:tc>
      </w:tr>
      <w:tr w:rsidR="00000000" w:rsidRPr="009C3D56">
        <w:trPr>
          <w:cantSplit/>
        </w:trPr>
        <w:tc>
          <w:tcPr>
            <w:tcW w:w="3046" w:type="dxa"/>
          </w:tcPr>
          <w:p w:rsidR="007D149D" w:rsidRPr="009C3D56" w:rsidRDefault="007D149D">
            <w:pPr>
              <w:pStyle w:val="Underskrifter"/>
              <w:shd w:val="clear" w:color="000000" w:fill="auto"/>
            </w:pPr>
            <w:r w:rsidRPr="009C3D56">
              <w:t>Egon Frid (v)</w:t>
            </w:r>
          </w:p>
        </w:tc>
        <w:tc>
          <w:tcPr>
            <w:tcW w:w="3046" w:type="dxa"/>
          </w:tcPr>
          <w:p w:rsidR="007D149D" w:rsidRPr="009C3D56" w:rsidRDefault="007D149D">
            <w:pPr>
              <w:pStyle w:val="Underskrifter"/>
              <w:shd w:val="clear" w:color="000000" w:fill="auto"/>
            </w:pPr>
          </w:p>
        </w:tc>
      </w:tr>
    </w:tbl>
    <w:p w:rsidR="00D76B89" w:rsidRPr="009C3D56" w:rsidRDefault="00D76B89">
      <w:pPr>
        <w:pStyle w:val="Normaltindrag"/>
        <w:shd w:val="clear" w:color="000000" w:fill="auto"/>
      </w:pPr>
    </w:p>
    <w:sectPr w:rsidR="00D76B89" w:rsidRPr="009C3D56" w:rsidSect="004A55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49D" w:rsidRPr="009C3D56" w:rsidRDefault="007D149D">
      <w:r w:rsidRPr="009C3D56">
        <w:separator/>
      </w:r>
    </w:p>
  </w:endnote>
  <w:endnote w:type="continuationSeparator" w:id="0">
    <w:p w:rsidR="007D149D" w:rsidRPr="009C3D56" w:rsidRDefault="007D149D">
      <w:r w:rsidRPr="009C3D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 T 943 3o 00">
    <w:altName w:val="T T 943 3o"/>
    <w:panose1 w:val="00000000000000000000"/>
    <w:charset w:val="00"/>
    <w:family w:val="auto"/>
    <w:notTrueType/>
    <w:pitch w:val="default"/>
    <w:sig w:usb0="00000003" w:usb1="00000000" w:usb2="00000000" w:usb3="00000000" w:csb0="00000001" w:csb1="00000000"/>
  </w:font>
  <w:font w:name="Frutiger">
    <w:altName w:val="Frutiger"/>
    <w:panose1 w:val="00000000000000000000"/>
    <w:charset w:val="00"/>
    <w:family w:val="auto"/>
    <w:notTrueType/>
    <w:pitch w:val="default"/>
    <w:sig w:usb0="00000003" w:usb1="00000000" w:usb2="00000000" w:usb3="00000000" w:csb0="00000001"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5A5" w:rsidRPr="009C3D56" w:rsidRDefault="009C3D56" w:rsidP="004A55A5">
    <w:pPr>
      <w:pStyle w:val="Sidfot"/>
    </w:pPr>
    <w:r w:rsidRPr="009C3D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4343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5A5" w:rsidRDefault="007D149D">
                          <w:pPr>
                            <w:pStyle w:val="NormalS5sidnrV"/>
                          </w:pPr>
                          <w:r>
                            <w:fldChar w:fldCharType="begin"/>
                          </w:r>
                          <w:r w:rsidR="004A55A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55A5" w:rsidRDefault="007D149D">
                    <w:pPr>
                      <w:pStyle w:val="NormalS5sidnrV"/>
                    </w:pPr>
                    <w:r>
                      <w:fldChar w:fldCharType="begin"/>
                    </w:r>
                    <w:r w:rsidR="004A55A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A8B" w:rsidRPr="009C3D56" w:rsidRDefault="009C3D56" w:rsidP="004A55A5">
    <w:pPr>
      <w:pStyle w:val="Sidfot"/>
    </w:pPr>
    <w:r w:rsidRPr="009C3D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224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5A5" w:rsidRDefault="007D149D">
                          <w:pPr>
                            <w:pStyle w:val="NormalS5sidnrH"/>
                            <w:ind w:right="0"/>
                          </w:pPr>
                          <w:r>
                            <w:fldChar w:fldCharType="begin"/>
                          </w:r>
                          <w:r w:rsidR="004A55A5">
                            <w:instrText xml:space="preserve"> PAGE *\charformat</w:instrText>
                          </w:r>
                          <w:r>
                            <w:fldChar w:fldCharType="separate"/>
                          </w:r>
                          <w:r w:rsidR="00E2406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55A5" w:rsidRDefault="007D149D">
                    <w:pPr>
                      <w:pStyle w:val="NormalS5sidnrH"/>
                      <w:ind w:right="0"/>
                    </w:pPr>
                    <w:r>
                      <w:fldChar w:fldCharType="begin"/>
                    </w:r>
                    <w:r w:rsidR="004A55A5">
                      <w:instrText xml:space="preserve"> PAGE *\charformat</w:instrText>
                    </w:r>
                    <w:r>
                      <w:fldChar w:fldCharType="separate"/>
                    </w:r>
                    <w:r w:rsidR="00E2406A">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A8B" w:rsidRPr="009C3D56" w:rsidRDefault="009C3D56" w:rsidP="004A55A5">
    <w:pPr>
      <w:pStyle w:val="Sidfot"/>
    </w:pPr>
    <w:r w:rsidRPr="009C3D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091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5A5" w:rsidRDefault="007D149D">
                          <w:pPr>
                            <w:pStyle w:val="NormalS5sidnrH"/>
                            <w:ind w:right="0"/>
                          </w:pPr>
                          <w:r>
                            <w:fldChar w:fldCharType="begin"/>
                          </w:r>
                          <w:r w:rsidR="004A55A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55A5" w:rsidRDefault="007D149D">
                    <w:pPr>
                      <w:pStyle w:val="NormalS5sidnrH"/>
                      <w:ind w:right="0"/>
                    </w:pPr>
                    <w:r>
                      <w:fldChar w:fldCharType="begin"/>
                    </w:r>
                    <w:r w:rsidR="004A55A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49D" w:rsidRPr="009C3D56" w:rsidRDefault="007D149D">
      <w:r w:rsidRPr="009C3D56">
        <w:separator/>
      </w:r>
    </w:p>
  </w:footnote>
  <w:footnote w:type="continuationSeparator" w:id="0">
    <w:p w:rsidR="007D149D" w:rsidRPr="009C3D56" w:rsidRDefault="007D149D">
      <w:r w:rsidRPr="009C3D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5A5" w:rsidRPr="009C3D56" w:rsidRDefault="009C3D56" w:rsidP="004A55A5">
    <w:pPr>
      <w:pStyle w:val="Sidhuvud"/>
    </w:pPr>
    <w:r w:rsidRPr="009C3D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3757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5A5" w:rsidRDefault="007D149D">
                          <w:pPr>
                            <w:pStyle w:val="KantRubrikS5V"/>
                          </w:pPr>
                          <w:r>
                            <w:fldChar w:fldCharType="begin"/>
                          </w:r>
                          <w:r w:rsidR="004A55A5">
                            <w:instrText xml:space="preserve"> DOCPROPERTY "YearUser" *\charformat </w:instrText>
                          </w:r>
                          <w:r>
                            <w:fldChar w:fldCharType="separate"/>
                          </w:r>
                          <w:r w:rsidR="007D2023">
                            <w:t>2006/07</w:t>
                          </w:r>
                          <w:r>
                            <w:fldChar w:fldCharType="end"/>
                          </w:r>
                          <w:r w:rsidR="004A55A5">
                            <w:t>:</w:t>
                          </w:r>
                          <w:r>
                            <w:fldChar w:fldCharType="begin"/>
                          </w:r>
                          <w:r w:rsidR="004A55A5">
                            <w:instrText xml:space="preserve"> DOCPROPERTY "Motionsnummer" *\charformat </w:instrText>
                          </w:r>
                          <w:r>
                            <w:fldChar w:fldCharType="separate"/>
                          </w:r>
                          <w:r w:rsidR="007D2023">
                            <w:t>C334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55A5" w:rsidRDefault="007D149D">
                    <w:pPr>
                      <w:pStyle w:val="KantRubrikS5V"/>
                    </w:pPr>
                    <w:r>
                      <w:fldChar w:fldCharType="begin"/>
                    </w:r>
                    <w:r w:rsidR="004A55A5">
                      <w:instrText xml:space="preserve"> DOCPROPERTY "YearUser" *\charformat </w:instrText>
                    </w:r>
                    <w:r>
                      <w:fldChar w:fldCharType="separate"/>
                    </w:r>
                    <w:r w:rsidR="007D2023">
                      <w:t>2006/07</w:t>
                    </w:r>
                    <w:r>
                      <w:fldChar w:fldCharType="end"/>
                    </w:r>
                    <w:r w:rsidR="004A55A5">
                      <w:t>:</w:t>
                    </w:r>
                    <w:r>
                      <w:fldChar w:fldCharType="begin"/>
                    </w:r>
                    <w:r w:rsidR="004A55A5">
                      <w:instrText xml:space="preserve"> DOCPROPERTY "Motionsnummer" *\charformat </w:instrText>
                    </w:r>
                    <w:r>
                      <w:fldChar w:fldCharType="separate"/>
                    </w:r>
                    <w:r w:rsidR="007D2023">
                      <w:t>C334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A8B" w:rsidRPr="009C3D56" w:rsidRDefault="009C3D56" w:rsidP="004A55A5">
    <w:pPr>
      <w:pStyle w:val="Sidhuvud"/>
    </w:pPr>
    <w:r w:rsidRPr="009C3D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7063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5A5" w:rsidRDefault="007D149D">
                          <w:pPr>
                            <w:pStyle w:val="KantRubrikS5H"/>
                            <w:ind w:right="0"/>
                          </w:pPr>
                          <w:r>
                            <w:fldChar w:fldCharType="begin"/>
                          </w:r>
                          <w:r w:rsidR="004A55A5">
                            <w:instrText xml:space="preserve"> DOCPROPERTY "YearUser" *\charformat </w:instrText>
                          </w:r>
                          <w:r>
                            <w:fldChar w:fldCharType="separate"/>
                          </w:r>
                          <w:r w:rsidR="007D2023">
                            <w:t>2006/07</w:t>
                          </w:r>
                          <w:r>
                            <w:fldChar w:fldCharType="end"/>
                          </w:r>
                          <w:r w:rsidR="004A55A5">
                            <w:t>:</w:t>
                          </w:r>
                          <w:r>
                            <w:fldChar w:fldCharType="begin"/>
                          </w:r>
                          <w:r w:rsidR="004A55A5">
                            <w:instrText xml:space="preserve"> DOCPROPERTY "Motionsnummer" *\charformat </w:instrText>
                          </w:r>
                          <w:r>
                            <w:fldChar w:fldCharType="separate"/>
                          </w:r>
                          <w:r w:rsidR="007D2023">
                            <w:t>C334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55A5" w:rsidRDefault="007D149D">
                    <w:pPr>
                      <w:pStyle w:val="KantRubrikS5H"/>
                      <w:ind w:right="0"/>
                    </w:pPr>
                    <w:r>
                      <w:fldChar w:fldCharType="begin"/>
                    </w:r>
                    <w:r w:rsidR="004A55A5">
                      <w:instrText xml:space="preserve"> DOCPROPERTY "YearUser" *\charformat </w:instrText>
                    </w:r>
                    <w:r>
                      <w:fldChar w:fldCharType="separate"/>
                    </w:r>
                    <w:r w:rsidR="007D2023">
                      <w:t>2006/07</w:t>
                    </w:r>
                    <w:r>
                      <w:fldChar w:fldCharType="end"/>
                    </w:r>
                    <w:r w:rsidR="004A55A5">
                      <w:t>:</w:t>
                    </w:r>
                    <w:r>
                      <w:fldChar w:fldCharType="begin"/>
                    </w:r>
                    <w:r w:rsidR="004A55A5">
                      <w:instrText xml:space="preserve"> DOCPROPERTY "Motionsnummer" *\charformat </w:instrText>
                    </w:r>
                    <w:r>
                      <w:fldChar w:fldCharType="separate"/>
                    </w:r>
                    <w:r w:rsidR="007D2023">
                      <w:t>C334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49D" w:rsidRPr="009C3D56" w:rsidRDefault="007D149D">
    <w:pPr>
      <w:pStyle w:val="FSHNormal"/>
      <w:tabs>
        <w:tab w:val="right" w:pos="5840"/>
      </w:tabs>
    </w:pPr>
    <w:r w:rsidRPr="009C3D56">
      <w:br/>
    </w:r>
    <w:r w:rsidRPr="009C3D56">
      <w:fldChar w:fldCharType="begin" w:fldLock="1"/>
    </w:r>
    <w:r w:rsidRPr="009C3D56">
      <w:instrText xml:space="preserve"> DOCPROPERTY</w:instrText>
    </w:r>
    <w:r w:rsidRPr="009C3D56">
      <w:rPr>
        <w:sz w:val="18"/>
      </w:rPr>
      <w:instrText xml:space="preserve"> "YearUser" *\charformat </w:instrText>
    </w:r>
    <w:r w:rsidRPr="009C3D56">
      <w:fldChar w:fldCharType="separate"/>
    </w:r>
    <w:r w:rsidRPr="009C3D56">
      <w:t>2006/07</w:t>
    </w:r>
    <w:r w:rsidRPr="009C3D56">
      <w:fldChar w:fldCharType="end"/>
    </w:r>
    <w:r w:rsidRPr="009C3D56">
      <w:t xml:space="preserve"> </w:t>
    </w:r>
    <w:r w:rsidRPr="009C3D56">
      <w:tab/>
      <w:t xml:space="preserve">mnr: </w:t>
    </w:r>
    <w:r w:rsidRPr="009C3D56">
      <w:fldChar w:fldCharType="begin" w:fldLock="1"/>
    </w:r>
    <w:r w:rsidRPr="009C3D56">
      <w:instrText xml:space="preserve"> DOCPROPERTY</w:instrText>
    </w:r>
    <w:r w:rsidRPr="009C3D56">
      <w:rPr>
        <w:sz w:val="18"/>
      </w:rPr>
      <w:instrText xml:space="preserve"> "Motionsnummer" *\charformat </w:instrText>
    </w:r>
    <w:r w:rsidRPr="009C3D56">
      <w:fldChar w:fldCharType="separate"/>
    </w:r>
    <w:r w:rsidRPr="009C3D56">
      <w:t>C334</w:t>
    </w:r>
    <w:r w:rsidRPr="009C3D56">
      <w:fldChar w:fldCharType="end"/>
    </w:r>
    <w:r w:rsidRPr="009C3D56">
      <w:br/>
    </w:r>
    <w:r w:rsidRPr="009C3D56">
      <w:fldChar w:fldCharType="begin" w:fldLock="1"/>
    </w:r>
    <w:r w:rsidRPr="009C3D56">
      <w:instrText xml:space="preserve"> DOCPROPERTY</w:instrText>
    </w:r>
    <w:r w:rsidRPr="009C3D56">
      <w:rPr>
        <w:sz w:val="18"/>
      </w:rPr>
      <w:instrText xml:space="preserve"> "Samling" *\charformat </w:instrText>
    </w:r>
    <w:r w:rsidRPr="009C3D56">
      <w:fldChar w:fldCharType="end"/>
    </w:r>
    <w:r w:rsidRPr="009C3D56">
      <w:tab/>
      <w:t xml:space="preserve">pnr: </w:t>
    </w:r>
    <w:r w:rsidRPr="009C3D56">
      <w:fldChar w:fldCharType="begin" w:fldLock="1"/>
    </w:r>
    <w:r w:rsidRPr="009C3D56">
      <w:instrText xml:space="preserve"> DOCPROPERTY</w:instrText>
    </w:r>
    <w:r w:rsidRPr="009C3D56">
      <w:rPr>
        <w:sz w:val="18"/>
      </w:rPr>
      <w:instrText xml:space="preserve"> "Partinummer" *\charformat </w:instrText>
    </w:r>
    <w:r w:rsidRPr="009C3D56">
      <w:fldChar w:fldCharType="separate"/>
    </w:r>
    <w:r w:rsidRPr="009C3D56">
      <w:t>v811</w:t>
    </w:r>
    <w:r w:rsidRPr="009C3D56">
      <w:fldChar w:fldCharType="end"/>
    </w:r>
  </w:p>
  <w:p w:rsidR="007D149D" w:rsidRPr="009C3D56" w:rsidRDefault="007D149D">
    <w:pPr>
      <w:pStyle w:val="FSHRub1"/>
    </w:pPr>
    <w:r w:rsidRPr="009C3D56">
      <w:t>Motion till riksdagen</w:t>
    </w:r>
    <w:r w:rsidRPr="009C3D56">
      <w:br/>
    </w:r>
    <w:r w:rsidRPr="009C3D56">
      <w:fldChar w:fldCharType="begin" w:fldLock="1"/>
    </w:r>
    <w:r w:rsidRPr="009C3D56">
      <w:instrText xml:space="preserve"> DOCPROPERTY "YearUser" *\charformat </w:instrText>
    </w:r>
    <w:r w:rsidRPr="009C3D56">
      <w:fldChar w:fldCharType="separate"/>
    </w:r>
    <w:r w:rsidRPr="009C3D56">
      <w:t>2006/07</w:t>
    </w:r>
    <w:r w:rsidRPr="009C3D56">
      <w:fldChar w:fldCharType="end"/>
    </w:r>
    <w:r w:rsidRPr="009C3D56">
      <w:t>:</w:t>
    </w:r>
    <w:r w:rsidRPr="009C3D56">
      <w:fldChar w:fldCharType="begin" w:fldLock="1"/>
    </w:r>
    <w:r w:rsidRPr="009C3D56">
      <w:instrText xml:space="preserve"> DOCPROPERTY "Motionsnummer" *\charformat </w:instrText>
    </w:r>
    <w:r w:rsidRPr="009C3D56">
      <w:fldChar w:fldCharType="separate"/>
    </w:r>
    <w:r w:rsidRPr="009C3D56">
      <w:t>C334</w:t>
    </w:r>
    <w:r w:rsidRPr="009C3D56">
      <w:fldChar w:fldCharType="end"/>
    </w:r>
  </w:p>
  <w:p w:rsidR="007D149D" w:rsidRPr="009C3D56" w:rsidRDefault="007D149D">
    <w:pPr>
      <w:pStyle w:val="FSHNormalS5"/>
    </w:pPr>
    <w:r w:rsidRPr="009C3D56">
      <w:fldChar w:fldCharType="begin" w:fldLock="1"/>
    </w:r>
    <w:r w:rsidRPr="009C3D56">
      <w:instrText xml:space="preserve"> DOCPROPERTY "MotionarText" *\charformat </w:instrText>
    </w:r>
    <w:r w:rsidRPr="009C3D56">
      <w:fldChar w:fldCharType="separate"/>
    </w:r>
    <w:r w:rsidRPr="009C3D56">
      <w:t>av Lars Ohly m.fl. (v)</w:t>
    </w:r>
    <w:r w:rsidRPr="009C3D56">
      <w:fldChar w:fldCharType="end"/>
    </w:r>
    <w:r w:rsidRPr="009C3D56">
      <w:br/>
    </w:r>
    <w:r w:rsidRPr="009C3D56">
      <w:fldChar w:fldCharType="begin" w:fldLock="1"/>
    </w:r>
    <w:r w:rsidRPr="009C3D56">
      <w:instrText xml:space="preserve"> DOCPROPERTY "SvarFrasKort" *\charformat </w:instrText>
    </w:r>
    <w:r w:rsidRPr="009C3D56">
      <w:fldChar w:fldCharType="end"/>
    </w:r>
  </w:p>
  <w:p w:rsidR="007D149D" w:rsidRPr="009C3D56" w:rsidRDefault="007D149D">
    <w:pPr>
      <w:pStyle w:val="FSHTitel"/>
    </w:pPr>
    <w:r w:rsidRPr="009C3D56">
      <w:fldChar w:fldCharType="begin" w:fldLock="1"/>
    </w:r>
    <w:r w:rsidRPr="009C3D56">
      <w:instrText xml:space="preserve"> DOCPROPERTY</w:instrText>
    </w:r>
    <w:r w:rsidRPr="009C3D56">
      <w:rPr>
        <w:sz w:val="18"/>
      </w:rPr>
      <w:instrText xml:space="preserve"> "RubrikSvar" *\charformat </w:instrText>
    </w:r>
    <w:r w:rsidRPr="009C3D56">
      <w:fldChar w:fldCharType="separate"/>
    </w:r>
    <w:r w:rsidRPr="009C3D56">
      <w:t>Utgiftsområde 18 Samhällsplanering, byggande samt konsumentpolitik</w:t>
    </w:r>
    <w:r w:rsidRPr="009C3D56">
      <w:fldChar w:fldCharType="end"/>
    </w:r>
  </w:p>
  <w:p w:rsidR="007D149D" w:rsidRPr="009C3D56" w:rsidRDefault="007D149D">
    <w:pPr>
      <w:pStyle w:val="Normal00"/>
    </w:pPr>
  </w:p>
  <w:p w:rsidR="004A55A5" w:rsidRPr="009C3D56" w:rsidRDefault="004A55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0396D066">
      <w:start w:val="1"/>
      <w:numFmt w:val="decimal"/>
      <w:lvlText w:val="%1."/>
      <w:lvlJc w:val="left"/>
      <w:pPr>
        <w:tabs>
          <w:tab w:val="num" w:pos="340"/>
        </w:tabs>
        <w:ind w:left="340" w:hanging="340"/>
      </w:pPr>
    </w:lvl>
    <w:lvl w:ilvl="1" w:tplc="81CAC8AA" w:tentative="1">
      <w:start w:val="1"/>
      <w:numFmt w:val="lowerLetter"/>
      <w:lvlText w:val="%2."/>
      <w:lvlJc w:val="left"/>
      <w:pPr>
        <w:tabs>
          <w:tab w:val="num" w:pos="1440"/>
        </w:tabs>
        <w:ind w:left="1440" w:hanging="360"/>
      </w:pPr>
    </w:lvl>
    <w:lvl w:ilvl="2" w:tplc="C33ED4B2" w:tentative="1">
      <w:start w:val="1"/>
      <w:numFmt w:val="lowerRoman"/>
      <w:lvlText w:val="%3."/>
      <w:lvlJc w:val="right"/>
      <w:pPr>
        <w:tabs>
          <w:tab w:val="num" w:pos="2160"/>
        </w:tabs>
        <w:ind w:left="2160" w:hanging="180"/>
      </w:pPr>
    </w:lvl>
    <w:lvl w:ilvl="3" w:tplc="62F01C7A" w:tentative="1">
      <w:start w:val="1"/>
      <w:numFmt w:val="decimal"/>
      <w:lvlText w:val="%4."/>
      <w:lvlJc w:val="left"/>
      <w:pPr>
        <w:tabs>
          <w:tab w:val="num" w:pos="2880"/>
        </w:tabs>
        <w:ind w:left="2880" w:hanging="360"/>
      </w:pPr>
    </w:lvl>
    <w:lvl w:ilvl="4" w:tplc="FEF25642" w:tentative="1">
      <w:start w:val="1"/>
      <w:numFmt w:val="lowerLetter"/>
      <w:lvlText w:val="%5."/>
      <w:lvlJc w:val="left"/>
      <w:pPr>
        <w:tabs>
          <w:tab w:val="num" w:pos="3600"/>
        </w:tabs>
        <w:ind w:left="3600" w:hanging="360"/>
      </w:pPr>
    </w:lvl>
    <w:lvl w:ilvl="5" w:tplc="96942266" w:tentative="1">
      <w:start w:val="1"/>
      <w:numFmt w:val="lowerRoman"/>
      <w:lvlText w:val="%6."/>
      <w:lvlJc w:val="right"/>
      <w:pPr>
        <w:tabs>
          <w:tab w:val="num" w:pos="4320"/>
        </w:tabs>
        <w:ind w:left="4320" w:hanging="180"/>
      </w:pPr>
    </w:lvl>
    <w:lvl w:ilvl="6" w:tplc="21EE0DDA" w:tentative="1">
      <w:start w:val="1"/>
      <w:numFmt w:val="decimal"/>
      <w:lvlText w:val="%7."/>
      <w:lvlJc w:val="left"/>
      <w:pPr>
        <w:tabs>
          <w:tab w:val="num" w:pos="5040"/>
        </w:tabs>
        <w:ind w:left="5040" w:hanging="360"/>
      </w:pPr>
    </w:lvl>
    <w:lvl w:ilvl="7" w:tplc="B7749606" w:tentative="1">
      <w:start w:val="1"/>
      <w:numFmt w:val="lowerLetter"/>
      <w:lvlText w:val="%8."/>
      <w:lvlJc w:val="left"/>
      <w:pPr>
        <w:tabs>
          <w:tab w:val="num" w:pos="5760"/>
        </w:tabs>
        <w:ind w:left="5760" w:hanging="360"/>
      </w:pPr>
    </w:lvl>
    <w:lvl w:ilvl="8" w:tplc="0DD63898" w:tentative="1">
      <w:start w:val="1"/>
      <w:numFmt w:val="lowerRoman"/>
      <w:lvlText w:val="%9."/>
      <w:lvlJc w:val="right"/>
      <w:pPr>
        <w:tabs>
          <w:tab w:val="num" w:pos="6480"/>
        </w:tabs>
        <w:ind w:left="6480" w:hanging="180"/>
      </w:pPr>
    </w:lvl>
  </w:abstractNum>
  <w:abstractNum w:abstractNumId="14" w15:restartNumberingAfterBreak="0">
    <w:nsid w:val="73D741C2"/>
    <w:multiLevelType w:val="hybridMultilevel"/>
    <w:tmpl w:val="FA985E04"/>
    <w:lvl w:ilvl="0" w:tplc="F27049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0313996">
    <w:abstractNumId w:val="13"/>
  </w:num>
  <w:num w:numId="2" w16cid:durableId="913659851">
    <w:abstractNumId w:val="10"/>
  </w:num>
  <w:num w:numId="3" w16cid:durableId="1441220383">
    <w:abstractNumId w:val="11"/>
  </w:num>
  <w:num w:numId="4" w16cid:durableId="932973915">
    <w:abstractNumId w:val="12"/>
  </w:num>
  <w:num w:numId="5" w16cid:durableId="2115858060">
    <w:abstractNumId w:val="8"/>
  </w:num>
  <w:num w:numId="6" w16cid:durableId="1258710472">
    <w:abstractNumId w:val="3"/>
  </w:num>
  <w:num w:numId="7" w16cid:durableId="142551715">
    <w:abstractNumId w:val="2"/>
  </w:num>
  <w:num w:numId="8" w16cid:durableId="1986085168">
    <w:abstractNumId w:val="1"/>
  </w:num>
  <w:num w:numId="9" w16cid:durableId="100414363">
    <w:abstractNumId w:val="0"/>
  </w:num>
  <w:num w:numId="10" w16cid:durableId="1901287523">
    <w:abstractNumId w:val="9"/>
  </w:num>
  <w:num w:numId="11" w16cid:durableId="456266852">
    <w:abstractNumId w:val="7"/>
  </w:num>
  <w:num w:numId="12" w16cid:durableId="22368683">
    <w:abstractNumId w:val="6"/>
  </w:num>
  <w:num w:numId="13" w16cid:durableId="1188370761">
    <w:abstractNumId w:val="5"/>
  </w:num>
  <w:num w:numId="14" w16cid:durableId="972564566">
    <w:abstractNumId w:val="4"/>
  </w:num>
  <w:num w:numId="15" w16cid:durableId="9023294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F1A2565D-4D2F-4887-9B1D-3D7BE825DA8C},{494960E9-BA36-4AC1-BBDB-126FB51B6387},{93F71F64-B3B2-464F-BCC5-C49DA1B8F0E4},{8B923F15-4996-4696-A089-6A5BE8BF8E1B},{B0181D35-2F7D-4D23-BD15-5E0324552287},{CBCE2632-605E-484A-97AC-47C334EA7100},{7E0BF71E-CD03-4DBF-9F51-3B5B798F2741},{EF5206F9-792B-484E-B593-829130B8A4A1}"/>
  </w:docVars>
  <w:rsids>
    <w:rsidRoot w:val="009C3D56"/>
    <w:rsid w:val="00002742"/>
    <w:rsid w:val="000110F0"/>
    <w:rsid w:val="000220F8"/>
    <w:rsid w:val="00034058"/>
    <w:rsid w:val="00040D14"/>
    <w:rsid w:val="0004381F"/>
    <w:rsid w:val="00064BC3"/>
    <w:rsid w:val="00066474"/>
    <w:rsid w:val="000665E6"/>
    <w:rsid w:val="00066775"/>
    <w:rsid w:val="00072FB9"/>
    <w:rsid w:val="0007598F"/>
    <w:rsid w:val="00080CDA"/>
    <w:rsid w:val="000855D6"/>
    <w:rsid w:val="00097579"/>
    <w:rsid w:val="000B2040"/>
    <w:rsid w:val="000C50F9"/>
    <w:rsid w:val="000D33F4"/>
    <w:rsid w:val="000E2298"/>
    <w:rsid w:val="000E431D"/>
    <w:rsid w:val="000E48DA"/>
    <w:rsid w:val="000E5207"/>
    <w:rsid w:val="000F2ADE"/>
    <w:rsid w:val="000F5ADD"/>
    <w:rsid w:val="00100531"/>
    <w:rsid w:val="0010382E"/>
    <w:rsid w:val="00105251"/>
    <w:rsid w:val="00107DE2"/>
    <w:rsid w:val="0013346A"/>
    <w:rsid w:val="00163E7C"/>
    <w:rsid w:val="00166D90"/>
    <w:rsid w:val="00170803"/>
    <w:rsid w:val="00177CC2"/>
    <w:rsid w:val="001819C5"/>
    <w:rsid w:val="0019171D"/>
    <w:rsid w:val="001921C4"/>
    <w:rsid w:val="001923A4"/>
    <w:rsid w:val="001A04A5"/>
    <w:rsid w:val="001A25D5"/>
    <w:rsid w:val="001A2624"/>
    <w:rsid w:val="001A2A2B"/>
    <w:rsid w:val="001B28CC"/>
    <w:rsid w:val="001E0043"/>
    <w:rsid w:val="00201DFB"/>
    <w:rsid w:val="00204A63"/>
    <w:rsid w:val="00212FF1"/>
    <w:rsid w:val="00225832"/>
    <w:rsid w:val="00230193"/>
    <w:rsid w:val="00244D0B"/>
    <w:rsid w:val="0025068A"/>
    <w:rsid w:val="002536A1"/>
    <w:rsid w:val="00272455"/>
    <w:rsid w:val="002818D3"/>
    <w:rsid w:val="0029052B"/>
    <w:rsid w:val="002911A7"/>
    <w:rsid w:val="00293E2B"/>
    <w:rsid w:val="002943C8"/>
    <w:rsid w:val="00295E6D"/>
    <w:rsid w:val="002A2A6B"/>
    <w:rsid w:val="002A2C0F"/>
    <w:rsid w:val="002B54B8"/>
    <w:rsid w:val="002B7463"/>
    <w:rsid w:val="002C06D1"/>
    <w:rsid w:val="002C1D5C"/>
    <w:rsid w:val="002C2373"/>
    <w:rsid w:val="002D038F"/>
    <w:rsid w:val="002D11A8"/>
    <w:rsid w:val="002D75DA"/>
    <w:rsid w:val="0031120E"/>
    <w:rsid w:val="00314F87"/>
    <w:rsid w:val="0032051D"/>
    <w:rsid w:val="003303B5"/>
    <w:rsid w:val="00331CFD"/>
    <w:rsid w:val="00333DE4"/>
    <w:rsid w:val="003366E9"/>
    <w:rsid w:val="00341857"/>
    <w:rsid w:val="00342FB4"/>
    <w:rsid w:val="00352C9C"/>
    <w:rsid w:val="0036065A"/>
    <w:rsid w:val="00375163"/>
    <w:rsid w:val="003866EC"/>
    <w:rsid w:val="00391AF5"/>
    <w:rsid w:val="003A1BC7"/>
    <w:rsid w:val="003A6CF2"/>
    <w:rsid w:val="003B0FB2"/>
    <w:rsid w:val="003B418B"/>
    <w:rsid w:val="003B46B4"/>
    <w:rsid w:val="003C7CC7"/>
    <w:rsid w:val="003D67FD"/>
    <w:rsid w:val="003E2E83"/>
    <w:rsid w:val="003F100A"/>
    <w:rsid w:val="00401871"/>
    <w:rsid w:val="004033F4"/>
    <w:rsid w:val="00407EDA"/>
    <w:rsid w:val="00445271"/>
    <w:rsid w:val="00447A04"/>
    <w:rsid w:val="00450A51"/>
    <w:rsid w:val="004527C3"/>
    <w:rsid w:val="00460D85"/>
    <w:rsid w:val="0046339C"/>
    <w:rsid w:val="00487F7A"/>
    <w:rsid w:val="004971B2"/>
    <w:rsid w:val="004A0504"/>
    <w:rsid w:val="004A55A5"/>
    <w:rsid w:val="004B427B"/>
    <w:rsid w:val="004B5278"/>
    <w:rsid w:val="004D6DBF"/>
    <w:rsid w:val="004E38D9"/>
    <w:rsid w:val="005000F2"/>
    <w:rsid w:val="0050719D"/>
    <w:rsid w:val="005253EC"/>
    <w:rsid w:val="0052615A"/>
    <w:rsid w:val="00531020"/>
    <w:rsid w:val="00544806"/>
    <w:rsid w:val="00545150"/>
    <w:rsid w:val="00545421"/>
    <w:rsid w:val="0055072A"/>
    <w:rsid w:val="005525A5"/>
    <w:rsid w:val="005544CE"/>
    <w:rsid w:val="00573C5B"/>
    <w:rsid w:val="00596B02"/>
    <w:rsid w:val="005B062A"/>
    <w:rsid w:val="005B145B"/>
    <w:rsid w:val="005D1805"/>
    <w:rsid w:val="005D264A"/>
    <w:rsid w:val="005D3F50"/>
    <w:rsid w:val="005D4D00"/>
    <w:rsid w:val="005E1D03"/>
    <w:rsid w:val="005E4477"/>
    <w:rsid w:val="005E69FF"/>
    <w:rsid w:val="005F09E8"/>
    <w:rsid w:val="00601C6D"/>
    <w:rsid w:val="00603CD4"/>
    <w:rsid w:val="006172A7"/>
    <w:rsid w:val="0062676A"/>
    <w:rsid w:val="006324EF"/>
    <w:rsid w:val="006346C1"/>
    <w:rsid w:val="00653DD0"/>
    <w:rsid w:val="006631DD"/>
    <w:rsid w:val="00686BAB"/>
    <w:rsid w:val="006A3F64"/>
    <w:rsid w:val="006A7B35"/>
    <w:rsid w:val="006B48E8"/>
    <w:rsid w:val="006B6262"/>
    <w:rsid w:val="006D2E4D"/>
    <w:rsid w:val="006E21F8"/>
    <w:rsid w:val="006F702A"/>
    <w:rsid w:val="00700491"/>
    <w:rsid w:val="00727C6F"/>
    <w:rsid w:val="00730CAC"/>
    <w:rsid w:val="00732BC0"/>
    <w:rsid w:val="0073554D"/>
    <w:rsid w:val="00740D6D"/>
    <w:rsid w:val="0074381B"/>
    <w:rsid w:val="00743F76"/>
    <w:rsid w:val="00757F85"/>
    <w:rsid w:val="00770030"/>
    <w:rsid w:val="00774959"/>
    <w:rsid w:val="007852B2"/>
    <w:rsid w:val="00791279"/>
    <w:rsid w:val="00794149"/>
    <w:rsid w:val="007B3A5D"/>
    <w:rsid w:val="007B67A7"/>
    <w:rsid w:val="007C104D"/>
    <w:rsid w:val="007C6092"/>
    <w:rsid w:val="007D149D"/>
    <w:rsid w:val="007D2023"/>
    <w:rsid w:val="007D4C5F"/>
    <w:rsid w:val="007D6CF2"/>
    <w:rsid w:val="007E119E"/>
    <w:rsid w:val="007F42BC"/>
    <w:rsid w:val="007F4453"/>
    <w:rsid w:val="00802DC0"/>
    <w:rsid w:val="008315E1"/>
    <w:rsid w:val="00834188"/>
    <w:rsid w:val="00834780"/>
    <w:rsid w:val="008463CE"/>
    <w:rsid w:val="00846903"/>
    <w:rsid w:val="008545E3"/>
    <w:rsid w:val="008549D2"/>
    <w:rsid w:val="00870C85"/>
    <w:rsid w:val="00877FC4"/>
    <w:rsid w:val="008D50D3"/>
    <w:rsid w:val="008E266D"/>
    <w:rsid w:val="008E6D26"/>
    <w:rsid w:val="008F0A96"/>
    <w:rsid w:val="008F0D35"/>
    <w:rsid w:val="009062A0"/>
    <w:rsid w:val="00916476"/>
    <w:rsid w:val="00923A8B"/>
    <w:rsid w:val="009363D5"/>
    <w:rsid w:val="009451E7"/>
    <w:rsid w:val="00945F25"/>
    <w:rsid w:val="00956E7F"/>
    <w:rsid w:val="00965D6F"/>
    <w:rsid w:val="00970D4F"/>
    <w:rsid w:val="00971D70"/>
    <w:rsid w:val="00977A00"/>
    <w:rsid w:val="00991E1D"/>
    <w:rsid w:val="00997CC8"/>
    <w:rsid w:val="009A209B"/>
    <w:rsid w:val="009A4377"/>
    <w:rsid w:val="009A4504"/>
    <w:rsid w:val="009A6043"/>
    <w:rsid w:val="009C3D56"/>
    <w:rsid w:val="009D0673"/>
    <w:rsid w:val="009F6CAD"/>
    <w:rsid w:val="00A04666"/>
    <w:rsid w:val="00A053C6"/>
    <w:rsid w:val="00A055B3"/>
    <w:rsid w:val="00A15D71"/>
    <w:rsid w:val="00A21BC5"/>
    <w:rsid w:val="00A248AB"/>
    <w:rsid w:val="00A37E5D"/>
    <w:rsid w:val="00A5422B"/>
    <w:rsid w:val="00A54479"/>
    <w:rsid w:val="00A65047"/>
    <w:rsid w:val="00A736FF"/>
    <w:rsid w:val="00A95AE8"/>
    <w:rsid w:val="00AA1434"/>
    <w:rsid w:val="00AB5000"/>
    <w:rsid w:val="00AC276E"/>
    <w:rsid w:val="00AC4310"/>
    <w:rsid w:val="00AC63D9"/>
    <w:rsid w:val="00AD2E62"/>
    <w:rsid w:val="00AE0B1C"/>
    <w:rsid w:val="00AE2EF8"/>
    <w:rsid w:val="00AE7E21"/>
    <w:rsid w:val="00AF5881"/>
    <w:rsid w:val="00B0347F"/>
    <w:rsid w:val="00B13BF0"/>
    <w:rsid w:val="00B33C81"/>
    <w:rsid w:val="00B34666"/>
    <w:rsid w:val="00B36FDD"/>
    <w:rsid w:val="00B443CB"/>
    <w:rsid w:val="00B54C6A"/>
    <w:rsid w:val="00B6652F"/>
    <w:rsid w:val="00B67E5B"/>
    <w:rsid w:val="00B82587"/>
    <w:rsid w:val="00BA1566"/>
    <w:rsid w:val="00BA2B7C"/>
    <w:rsid w:val="00BA4894"/>
    <w:rsid w:val="00BA6BE0"/>
    <w:rsid w:val="00BB6D75"/>
    <w:rsid w:val="00BD0853"/>
    <w:rsid w:val="00BD43A8"/>
    <w:rsid w:val="00BD45D3"/>
    <w:rsid w:val="00BE3412"/>
    <w:rsid w:val="00BF26CD"/>
    <w:rsid w:val="00C1285C"/>
    <w:rsid w:val="00C15980"/>
    <w:rsid w:val="00C27B7D"/>
    <w:rsid w:val="00C31E47"/>
    <w:rsid w:val="00C32A06"/>
    <w:rsid w:val="00C429C1"/>
    <w:rsid w:val="00C44394"/>
    <w:rsid w:val="00C533BA"/>
    <w:rsid w:val="00C902E9"/>
    <w:rsid w:val="00C92208"/>
    <w:rsid w:val="00CA014F"/>
    <w:rsid w:val="00CA4862"/>
    <w:rsid w:val="00CB5B24"/>
    <w:rsid w:val="00CC302D"/>
    <w:rsid w:val="00CD3E64"/>
    <w:rsid w:val="00CD4B2B"/>
    <w:rsid w:val="00CD5D4C"/>
    <w:rsid w:val="00CE3037"/>
    <w:rsid w:val="00CF4AEE"/>
    <w:rsid w:val="00CF7A43"/>
    <w:rsid w:val="00D01775"/>
    <w:rsid w:val="00D1019F"/>
    <w:rsid w:val="00D1174F"/>
    <w:rsid w:val="00D1272B"/>
    <w:rsid w:val="00D1289C"/>
    <w:rsid w:val="00D2455C"/>
    <w:rsid w:val="00D25AA6"/>
    <w:rsid w:val="00D34962"/>
    <w:rsid w:val="00D35B3C"/>
    <w:rsid w:val="00D43253"/>
    <w:rsid w:val="00D44527"/>
    <w:rsid w:val="00D46401"/>
    <w:rsid w:val="00D51C38"/>
    <w:rsid w:val="00D52681"/>
    <w:rsid w:val="00D53D04"/>
    <w:rsid w:val="00D55EF7"/>
    <w:rsid w:val="00D606E8"/>
    <w:rsid w:val="00D61CF6"/>
    <w:rsid w:val="00D65E41"/>
    <w:rsid w:val="00D674FA"/>
    <w:rsid w:val="00D76B89"/>
    <w:rsid w:val="00DB6759"/>
    <w:rsid w:val="00DC0DF0"/>
    <w:rsid w:val="00DC6C70"/>
    <w:rsid w:val="00DD01DB"/>
    <w:rsid w:val="00DF1946"/>
    <w:rsid w:val="00DF5ACD"/>
    <w:rsid w:val="00E06D64"/>
    <w:rsid w:val="00E22893"/>
    <w:rsid w:val="00E2406A"/>
    <w:rsid w:val="00E349C2"/>
    <w:rsid w:val="00E360DE"/>
    <w:rsid w:val="00E50208"/>
    <w:rsid w:val="00E5074A"/>
    <w:rsid w:val="00E521CB"/>
    <w:rsid w:val="00E52B11"/>
    <w:rsid w:val="00E6100B"/>
    <w:rsid w:val="00E728F6"/>
    <w:rsid w:val="00E75D28"/>
    <w:rsid w:val="00E828D8"/>
    <w:rsid w:val="00E84F25"/>
    <w:rsid w:val="00EB4685"/>
    <w:rsid w:val="00EB71BC"/>
    <w:rsid w:val="00EC007B"/>
    <w:rsid w:val="00ED56C7"/>
    <w:rsid w:val="00EE4345"/>
    <w:rsid w:val="00EE7C24"/>
    <w:rsid w:val="00F04419"/>
    <w:rsid w:val="00F21B30"/>
    <w:rsid w:val="00F25706"/>
    <w:rsid w:val="00F273EA"/>
    <w:rsid w:val="00F4246C"/>
    <w:rsid w:val="00F42CB9"/>
    <w:rsid w:val="00F44C8E"/>
    <w:rsid w:val="00F73E9E"/>
    <w:rsid w:val="00F77932"/>
    <w:rsid w:val="00F84A26"/>
    <w:rsid w:val="00F87D14"/>
    <w:rsid w:val="00FA3374"/>
    <w:rsid w:val="00FB2435"/>
    <w:rsid w:val="00FB6490"/>
    <w:rsid w:val="00FC53D4"/>
    <w:rsid w:val="00FC7246"/>
    <w:rsid w:val="00FC7E79"/>
    <w:rsid w:val="00FD2531"/>
    <w:rsid w:val="00FD3929"/>
    <w:rsid w:val="00FF0D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2147E8-82A4-4A39-8D84-93923056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A55A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Enkeltabell1">
    <w:name w:val="Table Simple 1"/>
    <w:basedOn w:val="Normaltabell"/>
    <w:rsid w:val="000E229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
    <w:name w:val="Table Grid"/>
    <w:basedOn w:val="Normaltabell"/>
    <w:rsid w:val="000E229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rsid w:val="00916476"/>
    <w:rPr>
      <w:sz w:val="19"/>
      <w:lang w:val="sv-SE" w:eastAsia="sv-SE" w:bidi="ar-SA"/>
    </w:rPr>
  </w:style>
  <w:style w:type="paragraph" w:customStyle="1" w:styleId="Default">
    <w:name w:val="Default"/>
    <w:rsid w:val="003B46B4"/>
    <w:pPr>
      <w:autoSpaceDE w:val="0"/>
      <w:autoSpaceDN w:val="0"/>
      <w:adjustRightInd w:val="0"/>
    </w:pPr>
    <w:rPr>
      <w:rFonts w:ascii="T T 943 3o 00" w:hAnsi="T T 943 3o 00" w:cs="T T 943 3o 00"/>
      <w:color w:val="000000"/>
      <w:sz w:val="24"/>
      <w:szCs w:val="24"/>
      <w:lang w:val="sv-SE" w:eastAsia="sv-SE"/>
    </w:rPr>
  </w:style>
  <w:style w:type="character" w:customStyle="1" w:styleId="A2">
    <w:name w:val="A2"/>
    <w:rsid w:val="005F09E8"/>
    <w:rPr>
      <w:rFonts w:cs="Frutiger"/>
      <w:b/>
      <w:bCs/>
      <w:color w:val="000000"/>
    </w:rPr>
  </w:style>
  <w:style w:type="paragraph" w:customStyle="1" w:styleId="Bembo10Kursiv">
    <w:name w:val="Bembo10/Kursiv"/>
    <w:basedOn w:val="Normal"/>
    <w:rsid w:val="005D1805"/>
    <w:pPr>
      <w:spacing w:line="240" w:lineRule="auto"/>
    </w:pPr>
    <w:rPr>
      <w:rFonts w:ascii="Bembo" w:hAnsi="Bembo"/>
      <w:i/>
      <w:sz w:val="20"/>
    </w:rPr>
  </w:style>
  <w:style w:type="paragraph" w:customStyle="1" w:styleId="normal32indrag">
    <w:name w:val="normal32indrag"/>
    <w:basedOn w:val="Normal"/>
    <w:rsid w:val="00757F85"/>
    <w:pPr>
      <w:spacing w:after="20" w:line="240" w:lineRule="auto"/>
    </w:pPr>
    <w:rPr>
      <w:rFonts w:ascii="Verdana" w:hAnsi="Verdana"/>
      <w:sz w:val="20"/>
    </w:rPr>
  </w:style>
  <w:style w:type="paragraph" w:customStyle="1" w:styleId="normal0">
    <w:name w:val="normal"/>
    <w:basedOn w:val="Normal"/>
    <w:rsid w:val="00757F85"/>
    <w:pPr>
      <w:spacing w:after="20"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64792">
      <w:bodyDiv w:val="1"/>
      <w:marLeft w:val="0"/>
      <w:marRight w:val="0"/>
      <w:marTop w:val="0"/>
      <w:marBottom w:val="0"/>
      <w:divBdr>
        <w:top w:val="none" w:sz="0" w:space="0" w:color="auto"/>
        <w:left w:val="none" w:sz="0" w:space="0" w:color="auto"/>
        <w:bottom w:val="none" w:sz="0" w:space="0" w:color="auto"/>
        <w:right w:val="none" w:sz="0" w:space="0" w:color="auto"/>
      </w:divBdr>
      <w:divsChild>
        <w:div w:id="611715040">
          <w:marLeft w:val="0"/>
          <w:marRight w:val="0"/>
          <w:marTop w:val="0"/>
          <w:marBottom w:val="0"/>
          <w:divBdr>
            <w:top w:val="none" w:sz="0" w:space="0" w:color="auto"/>
            <w:left w:val="none" w:sz="0" w:space="0" w:color="auto"/>
            <w:bottom w:val="none" w:sz="0" w:space="0" w:color="auto"/>
            <w:right w:val="none" w:sz="0" w:space="0" w:color="auto"/>
          </w:divBdr>
          <w:divsChild>
            <w:div w:id="1764960266">
              <w:marLeft w:val="0"/>
              <w:marRight w:val="0"/>
              <w:marTop w:val="0"/>
              <w:marBottom w:val="0"/>
              <w:divBdr>
                <w:top w:val="none" w:sz="0" w:space="0" w:color="auto"/>
                <w:left w:val="none" w:sz="0" w:space="0" w:color="auto"/>
                <w:bottom w:val="none" w:sz="0" w:space="0" w:color="auto"/>
                <w:right w:val="none" w:sz="0" w:space="0" w:color="auto"/>
              </w:divBdr>
              <w:divsChild>
                <w:div w:id="1644774514">
                  <w:marLeft w:val="0"/>
                  <w:marRight w:val="0"/>
                  <w:marTop w:val="0"/>
                  <w:marBottom w:val="0"/>
                  <w:divBdr>
                    <w:top w:val="none" w:sz="0" w:space="0" w:color="auto"/>
                    <w:left w:val="none" w:sz="0" w:space="0" w:color="auto"/>
                    <w:bottom w:val="none" w:sz="0" w:space="0" w:color="auto"/>
                    <w:right w:val="none" w:sz="0" w:space="0" w:color="auto"/>
                  </w:divBdr>
                  <w:divsChild>
                    <w:div w:id="446703648">
                      <w:marLeft w:val="0"/>
                      <w:marRight w:val="0"/>
                      <w:marTop w:val="0"/>
                      <w:marBottom w:val="0"/>
                      <w:divBdr>
                        <w:top w:val="none" w:sz="0" w:space="0" w:color="auto"/>
                        <w:left w:val="single" w:sz="6" w:space="12" w:color="808080"/>
                        <w:bottom w:val="none" w:sz="0" w:space="0" w:color="auto"/>
                        <w:right w:val="none" w:sz="0" w:space="0" w:color="auto"/>
                      </w:divBdr>
                      <w:divsChild>
                        <w:div w:id="935097680">
                          <w:marLeft w:val="0"/>
                          <w:marRight w:val="0"/>
                          <w:marTop w:val="240"/>
                          <w:marBottom w:val="0"/>
                          <w:divBdr>
                            <w:top w:val="none" w:sz="0" w:space="0" w:color="auto"/>
                            <w:left w:val="none" w:sz="0" w:space="0" w:color="auto"/>
                            <w:bottom w:val="none" w:sz="0" w:space="0" w:color="auto"/>
                            <w:right w:val="none" w:sz="0" w:space="0" w:color="auto"/>
                          </w:divBdr>
                          <w:divsChild>
                            <w:div w:id="1143154479">
                              <w:marLeft w:val="0"/>
                              <w:marRight w:val="0"/>
                              <w:marTop w:val="0"/>
                              <w:marBottom w:val="0"/>
                              <w:divBdr>
                                <w:top w:val="none" w:sz="0" w:space="0" w:color="auto"/>
                                <w:left w:val="none" w:sz="0" w:space="0" w:color="auto"/>
                                <w:bottom w:val="none" w:sz="0" w:space="0" w:color="auto"/>
                                <w:right w:val="none" w:sz="0" w:space="0" w:color="auto"/>
                              </w:divBdr>
                              <w:divsChild>
                                <w:div w:id="1821069770">
                                  <w:marLeft w:val="0"/>
                                  <w:marRight w:val="0"/>
                                  <w:marTop w:val="0"/>
                                  <w:marBottom w:val="0"/>
                                  <w:divBdr>
                                    <w:top w:val="none" w:sz="0" w:space="0" w:color="auto"/>
                                    <w:left w:val="none" w:sz="0" w:space="0" w:color="auto"/>
                                    <w:bottom w:val="none" w:sz="0" w:space="0" w:color="auto"/>
                                    <w:right w:val="none" w:sz="0" w:space="0" w:color="auto"/>
                                  </w:divBdr>
                                  <w:divsChild>
                                    <w:div w:id="19820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3004</Words>
  <Characters>18239</Characters>
  <Application>Microsoft Office Word</Application>
  <DocSecurity>4</DocSecurity>
  <Lines>364</Lines>
  <Paragraphs>116</Paragraphs>
  <ScaleCrop>false</ScaleCrop>
  <HeadingPairs>
    <vt:vector size="2" baseType="variant">
      <vt:variant>
        <vt:lpstr>Rubrik</vt:lpstr>
      </vt:variant>
      <vt:variant>
        <vt:i4>1</vt:i4>
      </vt:variant>
    </vt:vector>
  </HeadingPairs>
  <TitlesOfParts>
    <vt:vector size="1" baseType="lpstr">
      <vt:lpstr>v811</vt:lpstr>
    </vt:vector>
  </TitlesOfParts>
  <Company>Riksdagen</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v811</dc:title>
  <dc:subject>v811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2007-01-17T11:04:00Z</cp:lastPrinted>
  <dcterms:created xsi:type="dcterms:W3CDTF">2025-12-16T23:43:00Z</dcterms:created>
  <dcterms:modified xsi:type="dcterms:W3CDTF">2025-12-16T23:43:00Z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18 Samhällsplanering,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byggande samt konsumentpolitik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20062007000000000118000008110080</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20062007000000000118000008110080</vt:lpwstr>
  </property>
  <property fmtid="{D5CDD505-2E9C-101B-9397-08002B2CF9AE}" pid="50" name="nummer">
    <vt:lpwstr>334</vt:lpwstr>
  </property>
  <property fmtid="{D5CDD505-2E9C-101B-9397-08002B2CF9AE}" pid="51" name="utskottsbeteckning">
    <vt:lpwstr>C</vt:lpwstr>
  </property>
  <property fmtid="{D5CDD505-2E9C-101B-9397-08002B2CF9AE}" pid="52" name="GlobalUID">
    <vt:lpwstr>{7C8E1B45-F700-4386-9AC7-CFF389EAD536}</vt:lpwstr>
  </property>
  <property fmtid="{D5CDD505-2E9C-101B-9397-08002B2CF9AE}" pid="53" name="Överföringar">
    <vt:i4>0</vt:i4>
  </property>
  <property fmtid="{D5CDD505-2E9C-101B-9397-08002B2CF9AE}" pid="54" name="Checksum">
    <vt:lpwstr>*1000702975476*</vt:lpwstr>
  </property>
  <property fmtid="{D5CDD505-2E9C-101B-9397-08002B2CF9AE}" pid="55" name="urixOrigin">
    <vt:lpwstr>070227 15:43:19.292</vt:lpwstr>
  </property>
  <property fmtid="{D5CDD505-2E9C-101B-9397-08002B2CF9AE}" pid="56" name="skuggnummer">
    <vt:lpwstr>1631</vt:lpwstr>
  </property>
  <property fmtid="{D5CDD505-2E9C-101B-9397-08002B2CF9AE}" pid="57" name="urixVersion">
    <vt:lpwstr>3.1.4.1</vt:lpwstr>
  </property>
  <property fmtid="{D5CDD505-2E9C-101B-9397-08002B2CF9AE}" pid="58" name="urixGuid">
    <vt:lpwstr>{2587FEB1-4221-454B-B3B4-FFF42AAEDC03}</vt:lpwstr>
  </property>
</Properties>
</file>