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CF0" w:rsidRPr="00A051F0" w:rsidRDefault="00D77CF0">
      <w:pPr>
        <w:pStyle w:val="Rubrik1"/>
        <w:shd w:val="clear" w:color="000000" w:fill="auto"/>
      </w:pPr>
      <w:r w:rsidRPr="00A051F0">
        <w:t>Sammanfattning</w:t>
      </w:r>
    </w:p>
    <w:p w:rsidR="00D77CF0" w:rsidRPr="00A051F0" w:rsidRDefault="00D77CF0">
      <w:pPr>
        <w:shd w:val="clear" w:color="000000" w:fill="auto"/>
      </w:pPr>
      <w:r w:rsidRPr="00A051F0">
        <w:t>I juni 2010 biföll riksdagen regeringens proposition om att tillåta nya kärnr</w:t>
      </w:r>
      <w:r w:rsidRPr="00A051F0">
        <w:t>e</w:t>
      </w:r>
      <w:r w:rsidRPr="00A051F0">
        <w:t>aktorer i Sverige. Ett villkor från ett enigt Näringsutskott var att regeringen skulle återkomma med lagstiftning eller andra åtgärder som gjorde att direkta eller indirekta statliga subventioner inte kunde förekomma.</w:t>
      </w:r>
    </w:p>
    <w:p w:rsidR="00D77CF0" w:rsidRPr="00A051F0" w:rsidRDefault="00D77CF0">
      <w:pPr>
        <w:shd w:val="clear" w:color="000000" w:fill="auto"/>
      </w:pPr>
      <w:r w:rsidRPr="00A051F0">
        <w:t>Trots att lagen om nya reaktorer var villkorad på detta sätt har den sedan den 1 januari 2011 trätt i kraft utan att regeringen har uppfyllt utskottets villkor. Enligt regeringen bereds frågan fortfarande men man har inte kunnat tala om när denna beredning kommer att vara klar.</w:t>
      </w:r>
    </w:p>
    <w:p w:rsidR="00D77CF0" w:rsidRPr="00A051F0" w:rsidRDefault="00D77CF0">
      <w:pPr>
        <w:shd w:val="clear" w:color="000000" w:fill="auto"/>
      </w:pPr>
      <w:r w:rsidRPr="00A051F0">
        <w:t>Samtidigt bifölls även en annan proposition om kärnkraft; en ny lagstiftning om ansvar och ersättning vid radiologisk olycka. Miljöpartiet de gröna anser lagstiftning som därmed trädde i kraft om ansvar och ersättning att den inn</w:t>
      </w:r>
      <w:r w:rsidRPr="00A051F0">
        <w:t>e</w:t>
      </w:r>
      <w:r w:rsidRPr="00A051F0">
        <w:t>håller fem klara fall av subventioner: det begränsade ansvarsbeloppet, det begränsade ansvarets räckvidd, möjligheten att utfärda statliga garantier, de begränsade preskriptionstiderna samt begränsningen från ansvar för sju</w:t>
      </w:r>
      <w:r w:rsidRPr="00A051F0">
        <w:t>k</w:t>
      </w:r>
      <w:r w:rsidRPr="00A051F0">
        <w:t>vårdskostnader.</w:t>
      </w:r>
    </w:p>
    <w:p w:rsidR="00D77CF0" w:rsidRPr="00A051F0" w:rsidRDefault="00D77CF0">
      <w:pPr>
        <w:shd w:val="clear" w:color="000000" w:fill="auto"/>
      </w:pPr>
      <w:r w:rsidRPr="00A051F0">
        <w:t>Miljöpartiet anser att lagstiftningen måste ändras i dessa fem fall för att up</w:t>
      </w:r>
      <w:r w:rsidRPr="00A051F0">
        <w:t>p</w:t>
      </w:r>
      <w:r w:rsidRPr="00A051F0">
        <w:t>fylla utskottets villkor om att inte tillåta direkta eller indirekta subventioner av kärnkraft</w:t>
      </w:r>
    </w:p>
    <w:p w:rsidR="00D77CF0" w:rsidRPr="00A051F0" w:rsidRDefault="00D77CF0">
      <w:pPr>
        <w:pStyle w:val="Frslagsrubrik"/>
        <w:shd w:val="clear" w:color="000000" w:fill="auto"/>
      </w:pPr>
      <w:r w:rsidRPr="00A051F0">
        <w:t>Förslag till riksdagsbeslut</w:t>
      </w:r>
    </w:p>
    <w:p w:rsidR="00D77CF0" w:rsidRPr="00A051F0" w:rsidRDefault="00D77CF0">
      <w:pPr>
        <w:pStyle w:val="Hemstlatt"/>
        <w:numPr>
          <w:ilvl w:val="0"/>
          <w:numId w:val="1"/>
        </w:numPr>
        <w:shd w:val="clear" w:color="000000" w:fill="auto"/>
      </w:pPr>
      <w:r w:rsidRPr="00A051F0">
        <w:t>Riksdagen tillkännager för regeringen som sin mening vad som anförs i motionen om att höja finansieringskravet för en tillståndsinnehavare vid en radiologisk skada så att det motsv</w:t>
      </w:r>
      <w:r w:rsidRPr="00A051F0">
        <w:t>a</w:t>
      </w:r>
      <w:r w:rsidRPr="00A051F0">
        <w:t>rar den fulla ekonomiska risken.</w:t>
      </w:r>
    </w:p>
    <w:p w:rsidR="00D77CF0" w:rsidRPr="00A051F0" w:rsidRDefault="00D77CF0">
      <w:pPr>
        <w:pStyle w:val="Hemstlatt"/>
        <w:numPr>
          <w:ilvl w:val="0"/>
          <w:numId w:val="1"/>
        </w:numPr>
        <w:shd w:val="clear" w:color="000000" w:fill="auto"/>
      </w:pPr>
      <w:r w:rsidRPr="00A051F0">
        <w:t>Riksdagen tillkännager för regeringen som sin mening vad som anförs i motionen om att införa ett ansvarsgenombrott vid radi</w:t>
      </w:r>
      <w:r w:rsidRPr="00A051F0">
        <w:t>o</w:t>
      </w:r>
      <w:r w:rsidRPr="00A051F0">
        <w:t>logiska olyckor.</w:t>
      </w:r>
    </w:p>
    <w:p w:rsidR="00D77CF0" w:rsidRPr="00A051F0" w:rsidRDefault="00D77CF0">
      <w:pPr>
        <w:pStyle w:val="Hemstlatt"/>
        <w:numPr>
          <w:ilvl w:val="0"/>
          <w:numId w:val="1"/>
        </w:numPr>
        <w:shd w:val="clear" w:color="000000" w:fill="auto"/>
      </w:pPr>
      <w:r w:rsidRPr="00A051F0">
        <w:lastRenderedPageBreak/>
        <w:t>Riksdagen tillkännager för regeringen som sin mening vad som anförs i motionen om att staten inte ska erbjuda en statlig försä</w:t>
      </w:r>
      <w:r w:rsidRPr="00A051F0">
        <w:t>k</w:t>
      </w:r>
      <w:r w:rsidRPr="00A051F0">
        <w:t>ringslösning eller kreditgarantier vid radiologiska olyckor.</w:t>
      </w:r>
    </w:p>
    <w:p w:rsidR="00D77CF0" w:rsidRPr="00A051F0" w:rsidRDefault="00D77CF0">
      <w:pPr>
        <w:pStyle w:val="Hemstlatt"/>
        <w:numPr>
          <w:ilvl w:val="0"/>
          <w:numId w:val="1"/>
        </w:numPr>
        <w:shd w:val="clear" w:color="000000" w:fill="auto"/>
      </w:pPr>
      <w:r w:rsidRPr="00A051F0">
        <w:t>Riksdagen tillkännager för regeringen som sin mening vad som anförs i motionen om att preskriptionstiden för radiologiska sk</w:t>
      </w:r>
      <w:r w:rsidRPr="00A051F0">
        <w:t>a</w:t>
      </w:r>
      <w:r w:rsidRPr="00A051F0">
        <w:t>dor ska förlängas.</w:t>
      </w:r>
    </w:p>
    <w:p w:rsidR="00D77CF0" w:rsidRPr="00A051F0" w:rsidRDefault="00D77CF0">
      <w:pPr>
        <w:pStyle w:val="Hemstlatt"/>
        <w:numPr>
          <w:ilvl w:val="0"/>
          <w:numId w:val="1"/>
        </w:numPr>
        <w:shd w:val="clear" w:color="000000" w:fill="auto"/>
      </w:pPr>
      <w:r w:rsidRPr="00A051F0">
        <w:t>Riksdagen tillkännager för regeringen som sin mening vad som anförs i motionen om att samhällets kostnader för sjukvård till följd av en radiologisk skada bör täckas av anläggningsinnehav</w:t>
      </w:r>
      <w:r w:rsidRPr="00A051F0">
        <w:t>a</w:t>
      </w:r>
      <w:r w:rsidRPr="00A051F0">
        <w:t>ren.</w:t>
      </w:r>
    </w:p>
    <w:p w:rsidR="00D77CF0" w:rsidRPr="00A051F0" w:rsidRDefault="00D77CF0">
      <w:pPr>
        <w:pStyle w:val="Rubrik1"/>
        <w:shd w:val="clear" w:color="000000" w:fill="auto"/>
      </w:pPr>
      <w:r w:rsidRPr="00A051F0">
        <w:t>Inledning</w:t>
      </w:r>
    </w:p>
    <w:p w:rsidR="00D77CF0" w:rsidRPr="00A051F0" w:rsidRDefault="00D77CF0">
      <w:pPr>
        <w:shd w:val="clear" w:color="000000" w:fill="auto"/>
      </w:pPr>
      <w:r w:rsidRPr="00A051F0">
        <w:t>Riksdagen biföll i juni 2010 regeringens proposition Kärnkraften – förutsät</w:t>
      </w:r>
      <w:r w:rsidRPr="00A051F0">
        <w:t>t</w:t>
      </w:r>
      <w:r w:rsidRPr="00A051F0">
        <w:t>ningar för generationsskifte, vilket innebär att tillstånd till uppförande och drift av en ny kärnkraftsreaktor kan utfärdas förutsatt att den nya reaktorn ersätter en av de befintliga reaktorerna, att den äldre reaktorn är permanent avstängd när den nya reaktorn tas i drift och att den nya reaktorn uppförs på en plats där någon av de befintliga reaktorerna är lokaliserad. Samtidigt up</w:t>
      </w:r>
      <w:r w:rsidRPr="00A051F0">
        <w:t>p</w:t>
      </w:r>
      <w:r w:rsidRPr="00A051F0">
        <w:t>hävdes lagen om kärnkraftens avveckling.</w:t>
      </w:r>
    </w:p>
    <w:p w:rsidR="00D77CF0" w:rsidRPr="00A051F0" w:rsidRDefault="00D77CF0">
      <w:pPr>
        <w:pStyle w:val="Normaltindrag"/>
        <w:shd w:val="clear" w:color="000000" w:fill="auto"/>
      </w:pPr>
      <w:r w:rsidRPr="00A051F0">
        <w:t>I samband med riksdagens behandling av propositionen ställde Centerpa</w:t>
      </w:r>
      <w:r w:rsidRPr="00A051F0">
        <w:t>r</w:t>
      </w:r>
      <w:r w:rsidRPr="00A051F0">
        <w:t>tiet som villkor för att godkänna beslutet ett krav i näringsutskottet. Innebö</w:t>
      </w:r>
      <w:r w:rsidRPr="00A051F0">
        <w:t>r</w:t>
      </w:r>
      <w:r w:rsidRPr="00A051F0">
        <w:t>den är att regeringen ska återkomma till riksdagen med förslag om lagstif</w:t>
      </w:r>
      <w:r w:rsidRPr="00A051F0">
        <w:t>t</w:t>
      </w:r>
      <w:r w:rsidRPr="00A051F0">
        <w:t>ning eller andra åtgärder med innebörden att direkta eller indirekta statliga subventioner inte kan påräknas. Ett enigt utskott ställde sig bakom detta krav. Dessvärre förknippades inte kravet med något datum då det skulle uppfyllas.</w:t>
      </w:r>
    </w:p>
    <w:p w:rsidR="00D77CF0" w:rsidRPr="00A051F0" w:rsidRDefault="00D77CF0">
      <w:pPr>
        <w:pStyle w:val="Normaltindrag"/>
        <w:shd w:val="clear" w:color="000000" w:fill="auto"/>
      </w:pPr>
      <w:r w:rsidRPr="00A051F0">
        <w:t>Den nya lagen som medger nya reaktorer trädde i kraft den 1 januari 2011 utan att utskottets villkor hade uppfyllts. I årets</w:t>
      </w:r>
      <w:r w:rsidRPr="00A051F0">
        <w:t xml:space="preserve"> budgetproposition anger r</w:t>
      </w:r>
      <w:r w:rsidRPr="00A051F0">
        <w:t>e</w:t>
      </w:r>
      <w:r w:rsidRPr="00A051F0">
        <w:t>geringen att man ”bereder regeringens svar till riksdagen”.</w:t>
      </w:r>
    </w:p>
    <w:p w:rsidR="00D77CF0" w:rsidRPr="00A051F0" w:rsidRDefault="00D77CF0">
      <w:pPr>
        <w:pStyle w:val="Normaltindrag"/>
        <w:shd w:val="clear" w:color="000000" w:fill="auto"/>
      </w:pPr>
      <w:r w:rsidRPr="00A051F0">
        <w:t>Vi har alltså i över ett års tid haft den märkliga situationen att regeringens centerpartistiska näringsminister inte har kunnat leverera vad hennes eget parti har ställt som villkor i riksdagens utskott. Än märkligare är att den vil</w:t>
      </w:r>
      <w:r w:rsidRPr="00A051F0">
        <w:t>l</w:t>
      </w:r>
      <w:r w:rsidRPr="00A051F0">
        <w:t>korade lagen har trätt i kraft utan att villkoret har uppfyllts.</w:t>
      </w:r>
    </w:p>
    <w:p w:rsidR="00D77CF0" w:rsidRPr="00A051F0" w:rsidRDefault="00D77CF0">
      <w:pPr>
        <w:pStyle w:val="Normaltindrag"/>
        <w:shd w:val="clear" w:color="000000" w:fill="auto"/>
      </w:pPr>
      <w:r w:rsidRPr="00A051F0">
        <w:t>I grunden handlar den här frågan om hur man definierar begreppet subve</w:t>
      </w:r>
      <w:r w:rsidRPr="00A051F0">
        <w:t>n</w:t>
      </w:r>
      <w:r w:rsidRPr="00A051F0">
        <w:t>tion. Eller snarare: att regeringen inte vet hur den ska definiera begreppet i det här fallet.</w:t>
      </w:r>
    </w:p>
    <w:p w:rsidR="00D77CF0" w:rsidRPr="00A051F0" w:rsidRDefault="00D77CF0">
      <w:pPr>
        <w:pStyle w:val="Normaltindrag"/>
        <w:shd w:val="clear" w:color="000000" w:fill="auto"/>
      </w:pPr>
      <w:r w:rsidRPr="00A051F0">
        <w:t>Maud Olofsson (C) och Andreas Carlgren (C) har under deras tid som m</w:t>
      </w:r>
      <w:r w:rsidRPr="00A051F0">
        <w:t>i</w:t>
      </w:r>
      <w:r w:rsidRPr="00A051F0">
        <w:t>nistrar vid upprepade tillfällen, både i riksdagens kammare och i medierna, sagt att nya reaktorer inte ska få några statliga subventioner, vare sig direkta eller indirekta.</w:t>
      </w:r>
    </w:p>
    <w:p w:rsidR="00D77CF0" w:rsidRPr="00A051F0" w:rsidRDefault="00D77CF0">
      <w:pPr>
        <w:pStyle w:val="Normaltindrag"/>
        <w:shd w:val="clear" w:color="000000" w:fill="auto"/>
      </w:pPr>
      <w:r w:rsidRPr="00A051F0">
        <w:t>Men på den direkta frågan hur de definierar en subvention har båda blivit svaret skyldigt. Maud Olofsson hänvisar exempelvis vid ett tillfälle i kamm</w:t>
      </w:r>
      <w:r w:rsidRPr="00A051F0">
        <w:t>a</w:t>
      </w:r>
      <w:r w:rsidRPr="00A051F0">
        <w:t>ren till att hon inte behöver definiera det eftersom det inte kommer att finnas några, vid ett annat tillfälle har hon sagt att det inte behövs eftersom alla i branschen vet vad hon menar.</w:t>
      </w:r>
    </w:p>
    <w:p w:rsidR="00D77CF0" w:rsidRPr="00A051F0" w:rsidRDefault="00D77CF0">
      <w:pPr>
        <w:pStyle w:val="Normaltindrag"/>
        <w:shd w:val="clear" w:color="000000" w:fill="auto"/>
      </w:pPr>
      <w:r w:rsidRPr="00A051F0">
        <w:t>Så lättvindigt avfärdas riksdagens villkor.</w:t>
      </w:r>
    </w:p>
    <w:p w:rsidR="00D77CF0" w:rsidRPr="00A051F0" w:rsidRDefault="00D77CF0">
      <w:pPr>
        <w:pStyle w:val="Normaltindrag"/>
        <w:shd w:val="clear" w:color="000000" w:fill="auto"/>
      </w:pPr>
      <w:r w:rsidRPr="00A051F0">
        <w:t>Men detta är inte en struntfråga att ta lätt på och avfärda. Det är i själva verket den fråga som kan avgöra om det byggs nya reaktorer i Sverige eller inte. De flesta ekonomiska bedömare menar att nya reaktorer aldrig kommer att byggas utan statliga subventioner eftersom de då blir för dyra. Definiti</w:t>
      </w:r>
      <w:r w:rsidRPr="00A051F0">
        <w:t>o</w:t>
      </w:r>
      <w:r w:rsidRPr="00A051F0">
        <w:t>nen av begreppet subvention kan därmed bli nyckeln till Sveriges framtida energistruktur.</w:t>
      </w:r>
    </w:p>
    <w:p w:rsidR="00D77CF0" w:rsidRPr="00A051F0" w:rsidRDefault="00D77CF0">
      <w:pPr>
        <w:pStyle w:val="Normaltindrag"/>
        <w:shd w:val="clear" w:color="000000" w:fill="auto"/>
      </w:pPr>
      <w:r w:rsidRPr="00A051F0">
        <w:t>En strikt tillämpning av begreppet kan innebära att det inte byggs några nya reaktorer, medan en lösare definition kan medföra osynligt stöd som gör att det blir ekonomiskt lönsamt.</w:t>
      </w:r>
    </w:p>
    <w:p w:rsidR="00D77CF0" w:rsidRPr="00A051F0" w:rsidRDefault="00D77CF0">
      <w:pPr>
        <w:pStyle w:val="Rubrik1"/>
        <w:shd w:val="clear" w:color="000000" w:fill="auto"/>
      </w:pPr>
      <w:r w:rsidRPr="00A051F0">
        <w:t>Subventioner</w:t>
      </w:r>
    </w:p>
    <w:p w:rsidR="00D77CF0" w:rsidRPr="00A051F0" w:rsidRDefault="00D77CF0">
      <w:pPr>
        <w:shd w:val="clear" w:color="000000" w:fill="auto"/>
      </w:pPr>
      <w:r w:rsidRPr="00A051F0">
        <w:t>Subventioner kan ta sig många olika former, oavsett om det gäller kärnkraft och kärnteknik eller andra sektorer. Inledningsvis gör man skillnad på offic</w:t>
      </w:r>
      <w:r w:rsidRPr="00A051F0">
        <w:t>i</w:t>
      </w:r>
      <w:r w:rsidRPr="00A051F0">
        <w:t>ella och inofficiella former av stöd, on budget och off budget, det vill säga stöd som syns i budgetar och stöd som inte syns.</w:t>
      </w:r>
    </w:p>
    <w:p w:rsidR="00D77CF0" w:rsidRPr="00A051F0" w:rsidRDefault="00D77CF0">
      <w:pPr>
        <w:pStyle w:val="Normaltindrag"/>
        <w:shd w:val="clear" w:color="000000" w:fill="auto"/>
      </w:pPr>
      <w:r w:rsidRPr="00A051F0">
        <w:t>Men frågan är mer komplex än så. Idag finns ingen helt vedertagen defin</w:t>
      </w:r>
      <w:r w:rsidRPr="00A051F0">
        <w:t>i</w:t>
      </w:r>
      <w:r w:rsidRPr="00A051F0">
        <w:t>tion av begreppet subvention i Sverige eller i andra länder. Den stora tvist</w:t>
      </w:r>
      <w:r w:rsidRPr="00A051F0">
        <w:t>e</w:t>
      </w:r>
      <w:r w:rsidRPr="00A051F0">
        <w:t>frågan är vilka osynliga stöd som ska räknas in och hur de ska värderas. Fö</w:t>
      </w:r>
      <w:r w:rsidRPr="00A051F0">
        <w:t>r</w:t>
      </w:r>
      <w:r w:rsidRPr="00A051F0">
        <w:t>delaktiga avskrivnings</w:t>
      </w:r>
      <w:r w:rsidRPr="00A051F0">
        <w:softHyphen/>
        <w:t>regler, feed in-tariffer, infrastruktur, undervärderade naturresurser och externaliserade kostnader är exempel på stödformer där det saknas enighet huruvida de utgör en subvention eller ej.</w:t>
      </w:r>
    </w:p>
    <w:p w:rsidR="00D77CF0" w:rsidRPr="00A051F0" w:rsidRDefault="00D77CF0">
      <w:pPr>
        <w:pStyle w:val="Normaltindrag"/>
        <w:shd w:val="clear" w:color="000000" w:fill="auto"/>
      </w:pPr>
      <w:r w:rsidRPr="00A051F0">
        <w:t>Enligt OECD:s definition, som är en av de mest vedertagna, är en subve</w:t>
      </w:r>
      <w:r w:rsidRPr="00A051F0">
        <w:t>n</w:t>
      </w:r>
      <w:r w:rsidRPr="00A051F0">
        <w:t>tion ett resultat av en handling från staten som innebär en fördel för kons</w:t>
      </w:r>
      <w:r w:rsidRPr="00A051F0">
        <w:t>u</w:t>
      </w:r>
      <w:r w:rsidRPr="00A051F0">
        <w:t>menter eller producenter i syfte att öka deras intäkter eller minska deras kos</w:t>
      </w:r>
      <w:r w:rsidRPr="00A051F0">
        <w:t>t</w:t>
      </w:r>
      <w:r w:rsidRPr="00A051F0">
        <w:t>nader</w:t>
      </w:r>
      <w:r w:rsidRPr="00A051F0">
        <w:rPr>
          <w:i/>
        </w:rPr>
        <w:t>.</w:t>
      </w:r>
      <w:r w:rsidRPr="00A051F0">
        <w:t xml:space="preserve"> </w:t>
      </w:r>
      <w:r w:rsidRPr="00A051F0">
        <w:t>(</w:t>
      </w:r>
      <w:r w:rsidRPr="00A051F0">
        <w:rPr>
          <w:i/>
          <w:iCs/>
        </w:rPr>
        <w:t>A result of a government action that confers an advantage on co</w:t>
      </w:r>
      <w:r w:rsidRPr="00A051F0">
        <w:rPr>
          <w:i/>
          <w:iCs/>
        </w:rPr>
        <w:t>n</w:t>
      </w:r>
      <w:r w:rsidRPr="00A051F0">
        <w:rPr>
          <w:i/>
          <w:iCs/>
        </w:rPr>
        <w:t>sumers or producers, in order to supplement their income or lower their costs</w:t>
      </w:r>
      <w:r w:rsidRPr="00A051F0">
        <w:rPr>
          <w:iCs/>
        </w:rPr>
        <w:t>.)</w:t>
      </w:r>
      <w:r w:rsidRPr="00A051F0">
        <w:rPr>
          <w:rStyle w:val="Fotnotsreferens"/>
          <w:iCs/>
          <w:szCs w:val="23"/>
        </w:rPr>
        <w:footnoteReference w:id="1"/>
      </w:r>
    </w:p>
    <w:p w:rsidR="00D77CF0" w:rsidRPr="00A051F0" w:rsidRDefault="00D77CF0">
      <w:pPr>
        <w:pStyle w:val="Normaltindrag"/>
        <w:shd w:val="clear" w:color="000000" w:fill="auto"/>
      </w:pPr>
      <w:r w:rsidRPr="00A051F0">
        <w:rPr>
          <w:iCs/>
        </w:rPr>
        <w:t xml:space="preserve">Andra aktörer har föreslagit alternativa definitioner som antingen är mer svävande eller detaljerade. </w:t>
      </w:r>
      <w:r w:rsidRPr="00A051F0">
        <w:t>I en rapport</w:t>
      </w:r>
      <w:r w:rsidRPr="00A051F0">
        <w:rPr>
          <w:rStyle w:val="Fotnotsreferens"/>
          <w:szCs w:val="23"/>
        </w:rPr>
        <w:footnoteReference w:id="2"/>
      </w:r>
      <w:r w:rsidRPr="00A051F0">
        <w:t xml:space="preserve"> till EU-kommissionen har de olika formerna av subventioner delats in enligt tabell nedan. I tabellen anges om subventionen omfattas av begreppet enligt fyra spridda definitioner.</w:t>
      </w:r>
    </w:p>
    <w:p w:rsidR="00D77CF0" w:rsidRPr="00A051F0" w:rsidRDefault="00D77CF0">
      <w:pPr>
        <w:pageBreakBefore/>
        <w:shd w:val="clear" w:color="000000" w:fill="auto"/>
        <w:rPr>
          <w:b/>
          <w:szCs w:val="16"/>
        </w:rPr>
      </w:pPr>
      <w:r w:rsidRPr="00A051F0">
        <w:rPr>
          <w:b/>
          <w:szCs w:val="16"/>
        </w:rPr>
        <w:t>Kartläggning av subventioner enligt vissa definitioner, synliga och osy</w:t>
      </w:r>
      <w:r w:rsidRPr="00A051F0">
        <w:rPr>
          <w:b/>
          <w:szCs w:val="16"/>
        </w:rPr>
        <w:t>n</w:t>
      </w:r>
      <w:r w:rsidRPr="00A051F0">
        <w:rPr>
          <w:b/>
          <w:szCs w:val="16"/>
        </w:rPr>
        <w:t>liga</w:t>
      </w:r>
      <w:r w:rsidRPr="00A051F0">
        <w:rPr>
          <w:rStyle w:val="Fotnotsreferens"/>
          <w:b/>
          <w:szCs w:val="16"/>
        </w:rPr>
        <w:footnoteReference w:id="3"/>
      </w:r>
    </w:p>
    <w:tbl>
      <w:tblPr>
        <w:tblW w:w="5954" w:type="dxa"/>
        <w:tblLayout w:type="fixed"/>
        <w:tblLook w:val="01E0" w:firstRow="1" w:lastRow="1" w:firstColumn="1" w:lastColumn="1" w:noHBand="0" w:noVBand="0"/>
      </w:tblPr>
      <w:tblGrid>
        <w:gridCol w:w="3228"/>
        <w:gridCol w:w="681"/>
        <w:gridCol w:w="682"/>
        <w:gridCol w:w="681"/>
        <w:gridCol w:w="682"/>
      </w:tblGrid>
      <w:tr w:rsidR="00000000" w:rsidRPr="00A051F0">
        <w:trPr>
          <w:cantSplit/>
        </w:trPr>
        <w:tc>
          <w:tcPr>
            <w:tcW w:w="3228" w:type="dxa"/>
            <w:tcBorders>
              <w:top w:val="single" w:sz="4" w:space="0" w:color="auto"/>
              <w:bottom w:val="single" w:sz="4" w:space="0" w:color="auto"/>
            </w:tcBorders>
            <w:tcMar>
              <w:top w:w="113" w:type="dxa"/>
              <w:bottom w:w="28" w:type="dxa"/>
            </w:tcMar>
          </w:tcPr>
          <w:p w:rsidR="00D77CF0" w:rsidRPr="00A051F0" w:rsidRDefault="00D77CF0">
            <w:pPr>
              <w:shd w:val="clear" w:color="000000" w:fill="auto"/>
              <w:spacing w:line="180" w:lineRule="exact"/>
              <w:jc w:val="left"/>
              <w:rPr>
                <w:sz w:val="16"/>
                <w:szCs w:val="16"/>
              </w:rPr>
            </w:pPr>
          </w:p>
        </w:tc>
        <w:tc>
          <w:tcPr>
            <w:tcW w:w="681" w:type="dxa"/>
            <w:tcBorders>
              <w:top w:val="single" w:sz="4" w:space="0" w:color="auto"/>
              <w:bottom w:val="single" w:sz="4" w:space="0" w:color="auto"/>
            </w:tcBorders>
            <w:vAlign w:val="bottom"/>
          </w:tcPr>
          <w:p w:rsidR="00D77CF0" w:rsidRPr="00A051F0" w:rsidRDefault="00D77CF0">
            <w:pPr>
              <w:shd w:val="clear" w:color="000000" w:fill="auto"/>
              <w:spacing w:line="180" w:lineRule="exact"/>
              <w:jc w:val="center"/>
              <w:rPr>
                <w:sz w:val="16"/>
                <w:szCs w:val="16"/>
              </w:rPr>
            </w:pPr>
            <w:r w:rsidRPr="00A051F0">
              <w:rPr>
                <w:sz w:val="16"/>
                <w:szCs w:val="16"/>
              </w:rPr>
              <w:t>ESA</w:t>
            </w:r>
          </w:p>
        </w:tc>
        <w:tc>
          <w:tcPr>
            <w:tcW w:w="682" w:type="dxa"/>
            <w:tcBorders>
              <w:top w:val="single" w:sz="4" w:space="0" w:color="auto"/>
              <w:bottom w:val="single" w:sz="4" w:space="0" w:color="auto"/>
            </w:tcBorders>
            <w:vAlign w:val="bottom"/>
          </w:tcPr>
          <w:p w:rsidR="00D77CF0" w:rsidRPr="00A051F0" w:rsidRDefault="00D77CF0">
            <w:pPr>
              <w:shd w:val="clear" w:color="000000" w:fill="auto"/>
              <w:spacing w:line="180" w:lineRule="exact"/>
              <w:jc w:val="center"/>
              <w:rPr>
                <w:sz w:val="16"/>
                <w:szCs w:val="16"/>
              </w:rPr>
            </w:pPr>
            <w:r w:rsidRPr="00A051F0">
              <w:rPr>
                <w:sz w:val="16"/>
                <w:szCs w:val="16"/>
              </w:rPr>
              <w:t>WTO</w:t>
            </w:r>
          </w:p>
        </w:tc>
        <w:tc>
          <w:tcPr>
            <w:tcW w:w="681" w:type="dxa"/>
            <w:tcBorders>
              <w:top w:val="single" w:sz="4" w:space="0" w:color="auto"/>
              <w:bottom w:val="single" w:sz="4" w:space="0" w:color="auto"/>
            </w:tcBorders>
            <w:vAlign w:val="bottom"/>
          </w:tcPr>
          <w:p w:rsidR="00D77CF0" w:rsidRPr="00A051F0" w:rsidRDefault="00D77CF0">
            <w:pPr>
              <w:shd w:val="clear" w:color="000000" w:fill="auto"/>
              <w:spacing w:line="180" w:lineRule="exact"/>
              <w:jc w:val="center"/>
              <w:rPr>
                <w:sz w:val="16"/>
                <w:szCs w:val="16"/>
              </w:rPr>
            </w:pPr>
            <w:r w:rsidRPr="00A051F0">
              <w:rPr>
                <w:sz w:val="16"/>
                <w:szCs w:val="16"/>
              </w:rPr>
              <w:t>OECD</w:t>
            </w:r>
          </w:p>
        </w:tc>
        <w:tc>
          <w:tcPr>
            <w:tcW w:w="682" w:type="dxa"/>
            <w:tcBorders>
              <w:top w:val="single" w:sz="4" w:space="0" w:color="auto"/>
              <w:bottom w:val="single" w:sz="4" w:space="0" w:color="auto"/>
            </w:tcBorders>
            <w:vAlign w:val="bottom"/>
          </w:tcPr>
          <w:p w:rsidR="00D77CF0" w:rsidRPr="00A051F0" w:rsidRDefault="00D77CF0">
            <w:pPr>
              <w:shd w:val="clear" w:color="000000" w:fill="auto"/>
              <w:spacing w:line="180" w:lineRule="exact"/>
              <w:jc w:val="center"/>
              <w:rPr>
                <w:sz w:val="16"/>
                <w:szCs w:val="16"/>
              </w:rPr>
            </w:pPr>
            <w:r w:rsidRPr="00A051F0">
              <w:rPr>
                <w:sz w:val="16"/>
                <w:szCs w:val="16"/>
              </w:rPr>
              <w:t>Pieters</w:t>
            </w:r>
          </w:p>
        </w:tc>
      </w:tr>
      <w:tr w:rsidR="00000000" w:rsidRPr="00A051F0">
        <w:trPr>
          <w:cantSplit/>
        </w:trPr>
        <w:tc>
          <w:tcPr>
            <w:tcW w:w="3228" w:type="dxa"/>
            <w:tcBorders>
              <w:top w:val="single" w:sz="4" w:space="0" w:color="auto"/>
            </w:tcBorders>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Synliga (On Budget)</w:t>
            </w:r>
          </w:p>
        </w:tc>
        <w:tc>
          <w:tcPr>
            <w:tcW w:w="681" w:type="dxa"/>
            <w:tcBorders>
              <w:top w:val="single" w:sz="4" w:space="0" w:color="auto"/>
            </w:tcBorders>
            <w:vAlign w:val="bottom"/>
          </w:tcPr>
          <w:p w:rsidR="00D77CF0" w:rsidRPr="00A051F0" w:rsidRDefault="00D77CF0">
            <w:pPr>
              <w:shd w:val="clear" w:color="000000" w:fill="auto"/>
              <w:spacing w:line="180" w:lineRule="exact"/>
              <w:jc w:val="center"/>
              <w:rPr>
                <w:sz w:val="16"/>
                <w:szCs w:val="16"/>
              </w:rPr>
            </w:pPr>
          </w:p>
        </w:tc>
        <w:tc>
          <w:tcPr>
            <w:tcW w:w="682" w:type="dxa"/>
            <w:tcBorders>
              <w:top w:val="single" w:sz="4" w:space="0" w:color="auto"/>
            </w:tcBorders>
            <w:vAlign w:val="bottom"/>
          </w:tcPr>
          <w:p w:rsidR="00D77CF0" w:rsidRPr="00A051F0" w:rsidRDefault="00D77CF0">
            <w:pPr>
              <w:shd w:val="clear" w:color="000000" w:fill="auto"/>
              <w:spacing w:line="180" w:lineRule="exact"/>
              <w:jc w:val="center"/>
              <w:rPr>
                <w:sz w:val="16"/>
                <w:szCs w:val="16"/>
              </w:rPr>
            </w:pPr>
          </w:p>
        </w:tc>
        <w:tc>
          <w:tcPr>
            <w:tcW w:w="681" w:type="dxa"/>
            <w:tcBorders>
              <w:top w:val="single" w:sz="4" w:space="0" w:color="auto"/>
            </w:tcBorders>
            <w:vAlign w:val="bottom"/>
          </w:tcPr>
          <w:p w:rsidR="00D77CF0" w:rsidRPr="00A051F0" w:rsidRDefault="00D77CF0">
            <w:pPr>
              <w:shd w:val="clear" w:color="000000" w:fill="auto"/>
              <w:spacing w:line="180" w:lineRule="exact"/>
              <w:jc w:val="center"/>
              <w:rPr>
                <w:sz w:val="16"/>
                <w:szCs w:val="16"/>
              </w:rPr>
            </w:pPr>
          </w:p>
        </w:tc>
        <w:tc>
          <w:tcPr>
            <w:tcW w:w="682" w:type="dxa"/>
            <w:tcBorders>
              <w:top w:val="single" w:sz="4" w:space="0" w:color="auto"/>
            </w:tcBorders>
            <w:vAlign w:val="bottom"/>
          </w:tcPr>
          <w:p w:rsidR="00D77CF0" w:rsidRPr="00A051F0" w:rsidRDefault="00D77CF0">
            <w:pPr>
              <w:shd w:val="clear" w:color="000000" w:fill="auto"/>
              <w:spacing w:line="180" w:lineRule="exact"/>
              <w:jc w:val="center"/>
              <w:rPr>
                <w:sz w:val="16"/>
                <w:szCs w:val="16"/>
              </w:rPr>
            </w:pPr>
          </w:p>
        </w:tc>
      </w:tr>
      <w:tr w:rsidR="00000000" w:rsidRPr="00A051F0">
        <w:trPr>
          <w:cantSplit/>
          <w:trHeight w:val="27"/>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Ekonomiska överföringar</w:t>
            </w: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Height w:val="80"/>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Potentiella ekonomiska överföringar (ansvar)</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Tillhandahållande av varor eller tjänster utöver infrastruktur</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Osynliga (Off Budget)</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p>
        </w:tc>
      </w:tr>
      <w:tr w:rsidR="00000000" w:rsidRPr="00A051F0">
        <w:trPr>
          <w:cantSplit/>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Reglerad prissättning</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Undantag från avgifter och skatter eller ne</w:t>
            </w:r>
            <w:r w:rsidRPr="00A051F0">
              <w:rPr>
                <w:sz w:val="16"/>
                <w:szCs w:val="16"/>
              </w:rPr>
              <w:t>d</w:t>
            </w:r>
            <w:r w:rsidRPr="00A051F0">
              <w:rPr>
                <w:sz w:val="16"/>
                <w:szCs w:val="16"/>
              </w:rPr>
              <w:t>sättningar</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Marknadsföreträde</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Fördelaktiga avskrivningsregler</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Drivande stödsystem såsom feed in-tariffer och certifikat</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Undantag från myndigheters reglering</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Undervärdering av förbrukade naturresurser</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p>
        </w:tc>
        <w:tc>
          <w:tcPr>
            <w:tcW w:w="681"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Indirekt stöd i form av t.ex. infrastruktur</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Height w:val="245"/>
        </w:trPr>
        <w:tc>
          <w:tcPr>
            <w:tcW w:w="3228" w:type="dxa"/>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Indirekta intäkter genom undervärdering av kostnader</w:t>
            </w: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p>
        </w:tc>
        <w:tc>
          <w:tcPr>
            <w:tcW w:w="681" w:type="dxa"/>
            <w:vAlign w:val="bottom"/>
          </w:tcPr>
          <w:p w:rsidR="00D77CF0" w:rsidRPr="00A051F0" w:rsidRDefault="00D77CF0">
            <w:pPr>
              <w:shd w:val="clear" w:color="000000" w:fill="auto"/>
              <w:spacing w:line="180" w:lineRule="exact"/>
              <w:jc w:val="center"/>
              <w:rPr>
                <w:sz w:val="16"/>
                <w:szCs w:val="16"/>
              </w:rPr>
            </w:pPr>
          </w:p>
        </w:tc>
        <w:tc>
          <w:tcPr>
            <w:tcW w:w="682" w:type="dxa"/>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r w:rsidR="00000000" w:rsidRPr="00A051F0">
        <w:trPr>
          <w:cantSplit/>
          <w:trHeight w:val="143"/>
        </w:trPr>
        <w:tc>
          <w:tcPr>
            <w:tcW w:w="3228" w:type="dxa"/>
            <w:tcBorders>
              <w:bottom w:val="single" w:sz="4" w:space="0" w:color="auto"/>
            </w:tcBorders>
            <w:tcMar>
              <w:top w:w="113" w:type="dxa"/>
              <w:bottom w:w="28" w:type="dxa"/>
            </w:tcMar>
          </w:tcPr>
          <w:p w:rsidR="00D77CF0" w:rsidRPr="00A051F0" w:rsidRDefault="00D77CF0">
            <w:pPr>
              <w:shd w:val="clear" w:color="000000" w:fill="auto"/>
              <w:spacing w:line="180" w:lineRule="exact"/>
              <w:jc w:val="left"/>
              <w:rPr>
                <w:sz w:val="16"/>
                <w:szCs w:val="16"/>
              </w:rPr>
            </w:pPr>
            <w:r w:rsidRPr="00A051F0">
              <w:rPr>
                <w:sz w:val="16"/>
                <w:szCs w:val="16"/>
              </w:rPr>
              <w:t>Externaliserade kostnader</w:t>
            </w:r>
          </w:p>
        </w:tc>
        <w:tc>
          <w:tcPr>
            <w:tcW w:w="681" w:type="dxa"/>
            <w:tcBorders>
              <w:bottom w:val="single" w:sz="4" w:space="0" w:color="auto"/>
            </w:tcBorders>
            <w:vAlign w:val="bottom"/>
          </w:tcPr>
          <w:p w:rsidR="00D77CF0" w:rsidRPr="00A051F0" w:rsidRDefault="00D77CF0">
            <w:pPr>
              <w:shd w:val="clear" w:color="000000" w:fill="auto"/>
              <w:spacing w:line="180" w:lineRule="exact"/>
              <w:jc w:val="center"/>
              <w:rPr>
                <w:sz w:val="16"/>
                <w:szCs w:val="16"/>
              </w:rPr>
            </w:pPr>
          </w:p>
        </w:tc>
        <w:tc>
          <w:tcPr>
            <w:tcW w:w="682" w:type="dxa"/>
            <w:tcBorders>
              <w:bottom w:val="single" w:sz="4" w:space="0" w:color="auto"/>
            </w:tcBorders>
            <w:vAlign w:val="bottom"/>
          </w:tcPr>
          <w:p w:rsidR="00D77CF0" w:rsidRPr="00A051F0" w:rsidRDefault="00D77CF0">
            <w:pPr>
              <w:shd w:val="clear" w:color="000000" w:fill="auto"/>
              <w:spacing w:line="180" w:lineRule="exact"/>
              <w:jc w:val="center"/>
              <w:rPr>
                <w:sz w:val="16"/>
                <w:szCs w:val="16"/>
              </w:rPr>
            </w:pPr>
          </w:p>
        </w:tc>
        <w:tc>
          <w:tcPr>
            <w:tcW w:w="681" w:type="dxa"/>
            <w:tcBorders>
              <w:bottom w:val="single" w:sz="4" w:space="0" w:color="auto"/>
            </w:tcBorders>
            <w:vAlign w:val="bottom"/>
          </w:tcPr>
          <w:p w:rsidR="00D77CF0" w:rsidRPr="00A051F0" w:rsidRDefault="00D77CF0">
            <w:pPr>
              <w:shd w:val="clear" w:color="000000" w:fill="auto"/>
              <w:spacing w:line="180" w:lineRule="exact"/>
              <w:jc w:val="center"/>
              <w:rPr>
                <w:sz w:val="16"/>
                <w:szCs w:val="16"/>
              </w:rPr>
            </w:pPr>
          </w:p>
        </w:tc>
        <w:tc>
          <w:tcPr>
            <w:tcW w:w="682" w:type="dxa"/>
            <w:tcBorders>
              <w:bottom w:val="single" w:sz="4" w:space="0" w:color="auto"/>
            </w:tcBorders>
            <w:vAlign w:val="bottom"/>
          </w:tcPr>
          <w:p w:rsidR="00D77CF0" w:rsidRPr="00A051F0" w:rsidRDefault="00D77CF0">
            <w:pPr>
              <w:shd w:val="clear" w:color="000000" w:fill="auto"/>
              <w:spacing w:line="180" w:lineRule="exact"/>
              <w:jc w:val="center"/>
              <w:rPr>
                <w:sz w:val="16"/>
                <w:szCs w:val="16"/>
              </w:rPr>
            </w:pPr>
            <w:r w:rsidRPr="00A051F0">
              <w:rPr>
                <w:sz w:val="64"/>
                <w:szCs w:val="64"/>
              </w:rPr>
              <w:t>.</w:t>
            </w:r>
          </w:p>
        </w:tc>
      </w:tr>
    </w:tbl>
    <w:p w:rsidR="00D77CF0" w:rsidRPr="00A051F0" w:rsidRDefault="00D77CF0">
      <w:pPr>
        <w:shd w:val="clear" w:color="000000" w:fill="auto"/>
        <w:spacing w:before="120" w:line="240" w:lineRule="auto"/>
        <w:rPr>
          <w:sz w:val="16"/>
          <w:szCs w:val="16"/>
        </w:rPr>
      </w:pPr>
      <w:r w:rsidRPr="00A051F0">
        <w:rPr>
          <w:sz w:val="16"/>
          <w:szCs w:val="16"/>
        </w:rPr>
        <w:t>Att OECD:s definition inte inkluderar indirekt stöd till exempelvis infrastruktur, externalis</w:t>
      </w:r>
      <w:r w:rsidRPr="00A051F0">
        <w:rPr>
          <w:sz w:val="16"/>
          <w:szCs w:val="16"/>
        </w:rPr>
        <w:t>e</w:t>
      </w:r>
      <w:r w:rsidRPr="00A051F0">
        <w:rPr>
          <w:sz w:val="16"/>
          <w:szCs w:val="16"/>
        </w:rPr>
        <w:t>rade kostnader och undervärderade kostnader beror på att de är svåra att identifiera och beräkna. Däremot råder det ingen tvekan om de finns och att de kan ha stor betydelse.</w:t>
      </w:r>
    </w:p>
    <w:p w:rsidR="00D77CF0" w:rsidRPr="00A051F0" w:rsidRDefault="00D77CF0">
      <w:pPr>
        <w:shd w:val="clear" w:color="000000" w:fill="auto"/>
        <w:spacing w:before="120"/>
      </w:pPr>
      <w:r w:rsidRPr="00A051F0">
        <w:t>Av de cirka 430 kärnreaktorer som finns i världen idag har inte en enda byggts utan statligt stöd eller subventioner. Bara i EU har kärntekniken me</w:t>
      </w:r>
      <w:r w:rsidRPr="00A051F0">
        <w:t>l</w:t>
      </w:r>
      <w:r w:rsidRPr="00A051F0">
        <w:t>lan 1970 och 2004 kostat skattebetalarna över € 70 miljarder i officiella su</w:t>
      </w:r>
      <w:r w:rsidRPr="00A051F0">
        <w:t>b</w:t>
      </w:r>
      <w:r w:rsidRPr="00A051F0">
        <w:t>ventioner.</w:t>
      </w:r>
      <w:r w:rsidRPr="00A051F0">
        <w:rPr>
          <w:rStyle w:val="Fotnotsreferens"/>
          <w:szCs w:val="23"/>
        </w:rPr>
        <w:footnoteReference w:id="4"/>
      </w:r>
      <w:r w:rsidRPr="00A051F0">
        <w:t xml:space="preserve"> Med en vidare definition av begreppet subvention är beloppet mångdubbelt större.</w:t>
      </w:r>
    </w:p>
    <w:p w:rsidR="00D77CF0" w:rsidRPr="00A051F0" w:rsidRDefault="00D77CF0">
      <w:pPr>
        <w:pStyle w:val="Normaltindrag"/>
        <w:shd w:val="clear" w:color="000000" w:fill="auto"/>
      </w:pPr>
      <w:r w:rsidRPr="00A051F0">
        <w:t>Mycket tyder också på att det är ekonomiskt olönsamt att bygga en ny r</w:t>
      </w:r>
      <w:r w:rsidRPr="00A051F0">
        <w:t>e</w:t>
      </w:r>
      <w:r w:rsidRPr="00A051F0">
        <w:t>aktor utan stat</w:t>
      </w:r>
      <w:r w:rsidRPr="00A051F0">
        <w:t>ligt stöd. Exempelvis anser den stora bankgruppen Citigroup att statliga subventioner eller andra stöd är ett krav för att få lönsamhet i en ny reaktor.</w:t>
      </w:r>
      <w:r w:rsidRPr="00A051F0">
        <w:rPr>
          <w:rStyle w:val="Fotnotsreferens"/>
          <w:szCs w:val="23"/>
        </w:rPr>
        <w:footnoteReference w:id="5"/>
      </w:r>
      <w:r w:rsidRPr="00A051F0">
        <w:t xml:space="preserve"> Massachusetts Institute of Technology (MIT) anser i sin mycket omfattande analys av kärnkraftens framtid att det krävs subventioner för att få igång byggen av kärnkraft. Man föreslår att staten ska stå för tio procent av byggkostnaden för tio reaktorer och investera i ett omfattande forskningspr</w:t>
      </w:r>
      <w:r w:rsidRPr="00A051F0">
        <w:t>o</w:t>
      </w:r>
      <w:r w:rsidRPr="00A051F0">
        <w:t>gram.</w:t>
      </w:r>
      <w:r w:rsidRPr="00A051F0">
        <w:rPr>
          <w:rStyle w:val="Fotnotsreferens"/>
          <w:szCs w:val="23"/>
        </w:rPr>
        <w:footnoteReference w:id="6"/>
      </w:r>
      <w:r w:rsidRPr="00A051F0">
        <w:t xml:space="preserve"> Många andra finansinstitutioner har kommit till liknande slutsatser medan ingen ännu har kunnat visa motsatsen.</w:t>
      </w:r>
      <w:r w:rsidRPr="00A051F0">
        <w:rPr>
          <w:rStyle w:val="Fotnotsreferens"/>
          <w:szCs w:val="23"/>
        </w:rPr>
        <w:footnoteReference w:id="7"/>
      </w:r>
    </w:p>
    <w:p w:rsidR="00D77CF0" w:rsidRPr="00A051F0" w:rsidRDefault="00D77CF0">
      <w:pPr>
        <w:pStyle w:val="Rubrik1"/>
        <w:shd w:val="clear" w:color="000000" w:fill="auto"/>
      </w:pPr>
      <w:r w:rsidRPr="00A051F0">
        <w:t>De första subventionerna</w:t>
      </w:r>
    </w:p>
    <w:p w:rsidR="00D77CF0" w:rsidRPr="00A051F0" w:rsidRDefault="00D77CF0">
      <w:pPr>
        <w:shd w:val="clear" w:color="000000" w:fill="auto"/>
      </w:pPr>
      <w:r w:rsidRPr="00A051F0">
        <w:t xml:space="preserve">Samtidigt som riksdagen antog propositionen om att tillåta nya reaktorer i Sverige, antog man även propositionen </w:t>
      </w:r>
      <w:r w:rsidRPr="00A051F0">
        <w:rPr>
          <w:iCs/>
        </w:rPr>
        <w:t>Kärnkraften – ökat skadeståndsansvar</w:t>
      </w:r>
      <w:r w:rsidRPr="00A051F0">
        <w:rPr>
          <w:i/>
          <w:iCs/>
        </w:rPr>
        <w:t>.</w:t>
      </w:r>
      <w:r w:rsidRPr="00A051F0">
        <w:t xml:space="preserve"> Beslutet innebär bl.a. att atomansvarighetslagen ersätts av en ny lag som reglerar ansvar och ersättning vid radiologiska olyckor, att det införs ett så kallat obegränsat ansvar för innehavare av kärntekniska anläggningar samt att innehavare av kärnreaktorer ska finansiera ansvaret upp till 1 200 miljoner euro eller cirka 12 miljarder kronor.</w:t>
      </w:r>
    </w:p>
    <w:p w:rsidR="00D77CF0" w:rsidRPr="00A051F0" w:rsidRDefault="00D77CF0">
      <w:pPr>
        <w:pStyle w:val="Normaltindrag"/>
        <w:shd w:val="clear" w:color="000000" w:fill="auto"/>
      </w:pPr>
      <w:r w:rsidRPr="00A051F0">
        <w:t>Enligt Miljöpartiet innehåller den nya lagen om ansvar och ersättning vid radiologisk olycka ett antal beslut som var och ett för</w:t>
      </w:r>
      <w:r w:rsidRPr="00A051F0">
        <w:t xml:space="preserve"> sig innebär en subve</w:t>
      </w:r>
      <w:r w:rsidRPr="00A051F0">
        <w:t>n</w:t>
      </w:r>
      <w:r w:rsidRPr="00A051F0">
        <w:t>tion till befintliga och nya reaktorer i Sverige. De utgör de första subventioner av kärnkraft som regeringen har beslutat om efter sitt löfte att inte tillåta nå</w:t>
      </w:r>
      <w:r w:rsidRPr="00A051F0">
        <w:t>g</w:t>
      </w:r>
      <w:r w:rsidRPr="00A051F0">
        <w:t>ra sådana, vare sig direkta eller indirekta.</w:t>
      </w:r>
    </w:p>
    <w:p w:rsidR="00D77CF0" w:rsidRPr="00A051F0" w:rsidRDefault="00D77CF0">
      <w:pPr>
        <w:pStyle w:val="Normaltindrag"/>
        <w:shd w:val="clear" w:color="000000" w:fill="auto"/>
      </w:pPr>
      <w:r w:rsidRPr="00A051F0">
        <w:t>Vi anser därför att det villkor som näringsutskottet ställde för att godkänna beslutet om nya reaktorer redan har brutits. Det bröts i själva verket redan när propositionen om skadeståndsansvar godkändes, vilket kan vara ett skäl till att regeringen har svårt att komma till skott m</w:t>
      </w:r>
      <w:r w:rsidRPr="00A051F0">
        <w:t>ed den lagstiftning de har up</w:t>
      </w:r>
      <w:r w:rsidRPr="00A051F0">
        <w:t>p</w:t>
      </w:r>
      <w:r w:rsidRPr="00A051F0">
        <w:t>manats att ta fram.</w:t>
      </w:r>
    </w:p>
    <w:p w:rsidR="00D77CF0" w:rsidRPr="00A051F0" w:rsidRDefault="00D77CF0">
      <w:pPr>
        <w:pStyle w:val="Rubrik2"/>
        <w:shd w:val="clear" w:color="000000" w:fill="auto"/>
      </w:pPr>
      <w:r w:rsidRPr="00A051F0">
        <w:t>Den första subventionen: ansvarsbeloppet</w:t>
      </w:r>
    </w:p>
    <w:p w:rsidR="00D77CF0" w:rsidRPr="00A051F0" w:rsidRDefault="00D77CF0">
      <w:pPr>
        <w:shd w:val="clear" w:color="000000" w:fill="auto"/>
      </w:pPr>
      <w:r w:rsidRPr="00A051F0">
        <w:t>I den nya lagen om ansvar vid olycka skiljer regeringen mellan ett principiellt obegränsat ansvar och säkerställande av finansiering för detta ansvar. Ett obegränsat ansvar innebär i princip att reaktorägarens ansvar är oändligt. Men i praktiken är det ekonomiska ansvaret begränsat till tolv miljarder kronor eller de överstigande tillgångar som den ansvarige har och som en domstol kan få tillgång till.</w:t>
      </w:r>
    </w:p>
    <w:p w:rsidR="00D77CF0" w:rsidRPr="00A051F0" w:rsidRDefault="00D77CF0">
      <w:pPr>
        <w:pStyle w:val="Normaltindrag"/>
        <w:shd w:val="clear" w:color="000000" w:fill="auto"/>
      </w:pPr>
      <w:r w:rsidRPr="00A051F0">
        <w:t>Konstruktionen är sådan att den som driver en reaktor (eller flera) måste ställa säkerheter upp till ett så kallat ansvarsbelopp som är satt till 1 200 mi</w:t>
      </w:r>
      <w:r w:rsidRPr="00A051F0">
        <w:t>l</w:t>
      </w:r>
      <w:r w:rsidRPr="00A051F0">
        <w:t>joner euro, motsvarande cirka 12 miljarder kronor. Säkerheten kan vara en försäkring eller andra tillgångar.</w:t>
      </w:r>
    </w:p>
    <w:p w:rsidR="00D77CF0" w:rsidRPr="00A051F0" w:rsidRDefault="00D77CF0">
      <w:pPr>
        <w:pStyle w:val="Normaltindrag"/>
        <w:shd w:val="clear" w:color="000000" w:fill="auto"/>
      </w:pPr>
      <w:r w:rsidRPr="00A051F0">
        <w:t>Utöver detta belopp ställer lagen inga krav på säkerhet, endast de tillgån</w:t>
      </w:r>
      <w:r w:rsidRPr="00A051F0">
        <w:t>g</w:t>
      </w:r>
      <w:r w:rsidRPr="00A051F0">
        <w:t>ar som finns vid olyckan. Den främsta tillgången är vanligen de värden som finns i det företag som driver eller äger anläggningen. Värdet är dock begrä</w:t>
      </w:r>
      <w:r w:rsidRPr="00A051F0">
        <w:t>n</w:t>
      </w:r>
      <w:r w:rsidRPr="00A051F0">
        <w:t>sat, i synnerhet som anläggningen kan allvarligt skadas och i princip bli vä</w:t>
      </w:r>
      <w:r w:rsidRPr="00A051F0">
        <w:t>r</w:t>
      </w:r>
      <w:r w:rsidRPr="00A051F0">
        <w:t>delös vid en omfattande olycka. Även aktier i bolaget riskerar att bli utan värde.</w:t>
      </w:r>
    </w:p>
    <w:p w:rsidR="00D77CF0" w:rsidRPr="00A051F0" w:rsidRDefault="00D77CF0">
      <w:pPr>
        <w:pStyle w:val="Normaltindrag"/>
        <w:shd w:val="clear" w:color="000000" w:fill="auto"/>
      </w:pPr>
      <w:r w:rsidRPr="00A051F0">
        <w:t>Miljöpartiet anser att det ansvarsbelopp som lagen föreskriver är löjeväc</w:t>
      </w:r>
      <w:r w:rsidRPr="00A051F0">
        <w:t>k</w:t>
      </w:r>
      <w:r w:rsidRPr="00A051F0">
        <w:t>ande lågt; det motsvarar bara en bråkdel av de kostnader som riskerar att uppstå vid en omfattande olycka.</w:t>
      </w:r>
    </w:p>
    <w:p w:rsidR="00D77CF0" w:rsidRPr="00A051F0" w:rsidRDefault="00D77CF0">
      <w:pPr>
        <w:pStyle w:val="Normaltindrag"/>
        <w:shd w:val="clear" w:color="000000" w:fill="auto"/>
      </w:pPr>
      <w:r w:rsidRPr="00A051F0">
        <w:t>De möjliga kostnaderna vid en omfattande olycka är i princip oändliga. Enligt Strålskyddsinstitutet uppgick kostnaderna efter olyckan i Tjernobyl till minst 1 000 miljarder kronor i bara Ukraina, Vitryssland och Ryssland – fram till 2005, i den tidens pengar och de förhållanden som gällde där vid den tiden. Att bara sanera anläggning och mark efter den jämförelsevis mindre olyckan i Harrisburg 1979 ko</w:t>
      </w:r>
      <w:r w:rsidRPr="00A051F0">
        <w:t>stade cirka 1 000 miljoner kronor, också i dåt</w:t>
      </w:r>
      <w:r w:rsidRPr="00A051F0">
        <w:t>i</w:t>
      </w:r>
      <w:r w:rsidRPr="00A051F0">
        <w:t>dens penningvärde.</w:t>
      </w:r>
    </w:p>
    <w:p w:rsidR="00D77CF0" w:rsidRPr="00A051F0" w:rsidRDefault="00D77CF0">
      <w:pPr>
        <w:pStyle w:val="Normaltindrag"/>
        <w:shd w:val="clear" w:color="000000" w:fill="auto"/>
      </w:pPr>
      <w:r w:rsidRPr="00A051F0">
        <w:t>I Fukushima vet vi ännu inte var kostnaderna landar, men seriösa bedöm</w:t>
      </w:r>
      <w:r w:rsidRPr="00A051F0">
        <w:t>a</w:t>
      </w:r>
      <w:r w:rsidRPr="00A051F0">
        <w:t>re talar om belopp långt över de 1 000 miljarder som olyckan i Tjernobyl anses ha kostat.</w:t>
      </w:r>
    </w:p>
    <w:p w:rsidR="00D77CF0" w:rsidRPr="00A051F0" w:rsidRDefault="00D77CF0">
      <w:pPr>
        <w:pStyle w:val="Normaltindrag"/>
        <w:shd w:val="clear" w:color="000000" w:fill="auto"/>
      </w:pPr>
      <w:r w:rsidRPr="00A051F0">
        <w:t>Miljöpartiet anser att inriktningen i politiken måste vara att kärnkraften vid en olycka ska tvingas att betala sina egna kostnader. I detta ingår garantier för de skadebelopp som kan orsakas av en olycka. Att inte kräva sådana garantier medför sänkta kostnader för reaktorägaren, både vid normal drift och vid en olycka, och är därför enligt alla gängse definitioner att betrakta som en su</w:t>
      </w:r>
      <w:r w:rsidRPr="00A051F0">
        <w:t>b</w:t>
      </w:r>
      <w:r w:rsidRPr="00A051F0">
        <w:t>vention. För att uppfylla det villkor som utskottet har ställt sig bakom, att kärnkraften inte ska få några subventioner, behöver ansvarsbeloppet höjas till att motsvara den nivå som en radiologisk olycka erfarenhetsmässigt har visat sig kunna orsaka, dvs. åtminstone 1 000 miljarder kronor. Detta bör riksdagen ge regeringen till känna som sin mening.</w:t>
      </w:r>
    </w:p>
    <w:p w:rsidR="00D77CF0" w:rsidRPr="00A051F0" w:rsidRDefault="00D77CF0">
      <w:pPr>
        <w:pStyle w:val="Rubrik2"/>
        <w:shd w:val="clear" w:color="000000" w:fill="auto"/>
      </w:pPr>
      <w:r w:rsidRPr="00A051F0">
        <w:t>Den andra subventionen: ansvarsbegränsningen</w:t>
      </w:r>
    </w:p>
    <w:p w:rsidR="00D77CF0" w:rsidRPr="00A051F0" w:rsidRDefault="00D77CF0">
      <w:pPr>
        <w:pStyle w:val="Normaltindrag"/>
        <w:shd w:val="clear" w:color="000000" w:fill="auto"/>
        <w:ind w:firstLine="0"/>
      </w:pPr>
      <w:r w:rsidRPr="00A051F0">
        <w:t>Svenska reaktorer ägs i samtliga fall av dotterbolag till stora energikoncerner, och dessa bolag har mycket begränsade tillgångar. Ansvaret vid en olycka gäller bara för den som driver en kärnanläggning, den som innehar tillståndet. Därför är det dotterbolagen som har ansvaret, både juridiskt och ekonomiskt.</w:t>
      </w:r>
    </w:p>
    <w:p w:rsidR="00D77CF0" w:rsidRPr="00A051F0" w:rsidRDefault="00D77CF0">
      <w:pPr>
        <w:pStyle w:val="Normaltindrag"/>
        <w:shd w:val="clear" w:color="000000" w:fill="auto"/>
      </w:pPr>
      <w:r w:rsidRPr="00A051F0">
        <w:t>Det gör det möjligt för exempelvis Eon eller Vattenfall att låta dotterbolag stå för anläggningens tillstånd, med de risker detta medför. Samtidigt klarar sig moderbolagen undan vid en olycka.</w:t>
      </w:r>
    </w:p>
    <w:p w:rsidR="00D77CF0" w:rsidRPr="00A051F0" w:rsidRDefault="00D77CF0">
      <w:pPr>
        <w:pStyle w:val="Normaltindrag"/>
        <w:shd w:val="clear" w:color="000000" w:fill="auto"/>
      </w:pPr>
      <w:r w:rsidRPr="00A051F0">
        <w:t>Utredningen Översyn av atomansvaret (SOU 2006:43) redogör för äga</w:t>
      </w:r>
      <w:r w:rsidRPr="00A051F0">
        <w:t>r</w:t>
      </w:r>
      <w:r w:rsidRPr="00A051F0">
        <w:t>förhållandena och de ekonomiska värden det handlar om (2005). Kärnkraf</w:t>
      </w:r>
      <w:r w:rsidRPr="00A051F0">
        <w:t>t</w:t>
      </w:r>
      <w:r w:rsidRPr="00A051F0">
        <w:t>verket i Forsmark drivs av Forsmarks Kraftgrupp AB som i sin årsrapport anger att bolaget har tillgångar värda 13 miljarder kronor, kraftverket i Rin</w:t>
      </w:r>
      <w:r w:rsidRPr="00A051F0">
        <w:t>g</w:t>
      </w:r>
      <w:r w:rsidRPr="00A051F0">
        <w:t>hals drivs av Ringhals AB som har tillgångar värda 16 miljarder kronor, m</w:t>
      </w:r>
      <w:r w:rsidRPr="00A051F0">
        <w:t>e</w:t>
      </w:r>
      <w:r w:rsidRPr="00A051F0">
        <w:t>dan kraftverket i Oskarshamn drivs av OKG AB med tillgångar värda 14 miljarder kronor.</w:t>
      </w:r>
    </w:p>
    <w:p w:rsidR="00D77CF0" w:rsidRPr="00A051F0" w:rsidRDefault="00D77CF0">
      <w:pPr>
        <w:pStyle w:val="Normaltindrag"/>
        <w:shd w:val="clear" w:color="000000" w:fill="auto"/>
      </w:pPr>
      <w:r w:rsidRPr="00A051F0">
        <w:t>Ett till synes märkligt sammanträffande verkar vara att bolagens tillgångar i stort sett överensstämmer med det ansvarsbelopp som</w:t>
      </w:r>
      <w:r w:rsidRPr="00A051F0">
        <w:t xml:space="preserve"> regeringen kräver. Å andra sidan bör det också upprepas att dessa värden inte kommer att vara opåverkade vid en omfattande olycka.</w:t>
      </w:r>
    </w:p>
    <w:p w:rsidR="00D77CF0" w:rsidRPr="00A051F0" w:rsidRDefault="00D77CF0">
      <w:pPr>
        <w:pStyle w:val="Normaltindrag"/>
        <w:shd w:val="clear" w:color="000000" w:fill="auto"/>
      </w:pPr>
      <w:r w:rsidRPr="00A051F0">
        <w:t xml:space="preserve">Som komplement till denna bild är tillgångarna i moderbolagen avsevärt större: Vattenfall hade vid utredningens genomförande ett eget kapital på 88 miljarder och har enligt riksdagens utredningstjänst nu nettotillgångar värda 30 miljarder euro, Eons tillgångar är värda 153 miljarder euro medan Fortums tillgångar värderas till 20 miljarder euro. Det är inte tillräckligt för att </w:t>
      </w:r>
      <w:r w:rsidRPr="00A051F0">
        <w:t>täcka de tänkbara skadorna vid en omfattande olycka, men en bra bit på väg.</w:t>
      </w:r>
    </w:p>
    <w:p w:rsidR="00D77CF0" w:rsidRPr="00A051F0" w:rsidRDefault="00D77CF0">
      <w:pPr>
        <w:pStyle w:val="Normaltindrag"/>
        <w:shd w:val="clear" w:color="000000" w:fill="auto"/>
      </w:pPr>
      <w:r w:rsidRPr="00A051F0">
        <w:t>Denna begränsning i ansvaret hade kunnat undvikas om regeringen hade föreslagit ett så kallat ansvarsgenombrott som leder ansvaret vidare till m</w:t>
      </w:r>
      <w:r w:rsidRPr="00A051F0">
        <w:t>o</w:t>
      </w:r>
      <w:r w:rsidRPr="00A051F0">
        <w:t>derbolagen. Men regeringen har avstått från möjligheten och gjort det på svaga grunder. Den bakomliggande utredningen innehåller däremot en genomgång av möjligheterna för ett sådant ansvarsgenombrott och nämner en rad möjliga vägar att gå.</w:t>
      </w:r>
    </w:p>
    <w:p w:rsidR="00D77CF0" w:rsidRPr="00A051F0" w:rsidRDefault="00D77CF0">
      <w:pPr>
        <w:pStyle w:val="Normaltindrag"/>
        <w:shd w:val="clear" w:color="000000" w:fill="auto"/>
      </w:pPr>
      <w:r w:rsidRPr="00A051F0">
        <w:t>Miljöpartiet anser att frånvaron av ett ansvarsgenombrott utgör en subve</w:t>
      </w:r>
      <w:r w:rsidRPr="00A051F0">
        <w:t>n</w:t>
      </w:r>
      <w:r w:rsidRPr="00A051F0">
        <w:t>tion för kärnkraften eftersom reaktorernas bakomliggande ägare slipper ta den ekonomiska risk som ett strikt ansvar hade inneburit. Likaså slipper man de kostnader som det hade medfört att ställa ut garantier för de skadebelopp som en olycka kan medföra.</w:t>
      </w:r>
    </w:p>
    <w:p w:rsidR="00D77CF0" w:rsidRPr="00A051F0" w:rsidRDefault="00D77CF0">
      <w:pPr>
        <w:pStyle w:val="Normaltindrag"/>
        <w:shd w:val="clear" w:color="000000" w:fill="auto"/>
      </w:pPr>
      <w:r w:rsidRPr="00A051F0">
        <w:t>Det är självklart att ett obegränsat ansvar ska medföra att alla värden i det bolag som äger och driver reaktorn ställs som säkerhet, även moderbolagen och resten av koncernen. Vi föreslår därför ett ansvarsgenombrott genom att införa som villkor att moder</w:t>
      </w:r>
      <w:r w:rsidRPr="00A051F0">
        <w:t>bolaget ingår en förpliktelse och garanterar ver</w:t>
      </w:r>
      <w:r w:rsidRPr="00A051F0">
        <w:t>k</w:t>
      </w:r>
      <w:r w:rsidRPr="00A051F0">
        <w:t>samheten med alla sina tillgångar för att få driva reaktorer i Sverige. Detta bör riksdagen ge regeringen till känna som sin mening.</w:t>
      </w:r>
    </w:p>
    <w:p w:rsidR="00D77CF0" w:rsidRPr="00A051F0" w:rsidRDefault="00D77CF0">
      <w:pPr>
        <w:pStyle w:val="Rubrik2"/>
        <w:shd w:val="clear" w:color="000000" w:fill="auto"/>
      </w:pPr>
      <w:r w:rsidRPr="00A051F0">
        <w:t>Den tredje subventionen: statliga garantier</w:t>
      </w:r>
    </w:p>
    <w:p w:rsidR="00D77CF0" w:rsidRPr="00A051F0" w:rsidRDefault="00D77CF0">
      <w:pPr>
        <w:pStyle w:val="Normaltindrag"/>
        <w:shd w:val="clear" w:color="000000" w:fill="auto"/>
        <w:ind w:firstLine="0"/>
      </w:pPr>
      <w:r w:rsidRPr="00A051F0">
        <w:t>Lagen om ansvar och skadestånd vid radiologisk olycka ger den som driver en kärnteknisk anläggning hela ansvaret så att staten inte ska stå någon risk upp till 1 500 miljoner euro. För att möta detta ansvar ställs krav på ekon</w:t>
      </w:r>
      <w:r w:rsidRPr="00A051F0">
        <w:t>o</w:t>
      </w:r>
      <w:r w:rsidRPr="00A051F0">
        <w:t>miska garantier upp till detta belopp. Men samtidigt anger lagen att staten kan göra ekonomiska åtaganden genom att ställa ut statliga garantier i form av återförsäkringsåtaganden. Därmed skulle staten kunna påta sig det ekonomi</w:t>
      </w:r>
      <w:r w:rsidRPr="00A051F0">
        <w:t>s</w:t>
      </w:r>
      <w:r w:rsidRPr="00A051F0">
        <w:t>ka ansvaret i ägarens ställe.</w:t>
      </w:r>
    </w:p>
    <w:p w:rsidR="00D77CF0" w:rsidRPr="00A051F0" w:rsidRDefault="00D77CF0">
      <w:pPr>
        <w:pStyle w:val="Normaltindrag"/>
        <w:shd w:val="clear" w:color="000000" w:fill="auto"/>
      </w:pPr>
      <w:r w:rsidRPr="00A051F0">
        <w:t>Anledningen till detta är att det kan saknas kapacitet i försäkringsbra</w:t>
      </w:r>
      <w:r w:rsidRPr="00A051F0">
        <w:t>n</w:t>
      </w:r>
      <w:r w:rsidRPr="00A051F0">
        <w:t>schen. Detta kan bara tolkas som att försäkringsbranschen inte är villiga att ta risken – oavsett premie. Men varför ska då staten göra det?</w:t>
      </w:r>
    </w:p>
    <w:p w:rsidR="00D77CF0" w:rsidRPr="00A051F0" w:rsidRDefault="00D77CF0">
      <w:pPr>
        <w:pStyle w:val="Normaltindrag"/>
        <w:shd w:val="clear" w:color="000000" w:fill="auto"/>
      </w:pPr>
      <w:r w:rsidRPr="00A051F0">
        <w:t>Förvisso sägs att detta endast ska göras i undantagsfall och mot en avgift, men man kan fråga sig vad detta är värt när lagen inte anger vad det skulle handla om för omständigheter som kan föranleda ett sådant undantag. Vad avgiften anbelangar är det svårt att se hur regeringen skulle kunna sätta en sådan avgift på ett marknadsmässigt villkor när försäkringsbolagen in</w:t>
      </w:r>
      <w:r w:rsidRPr="00A051F0">
        <w:t>te kan göra det.</w:t>
      </w:r>
    </w:p>
    <w:p w:rsidR="00D77CF0" w:rsidRPr="00A051F0" w:rsidRDefault="00D77CF0">
      <w:pPr>
        <w:pStyle w:val="Normaltindrag"/>
        <w:shd w:val="clear" w:color="000000" w:fill="auto"/>
      </w:pPr>
      <w:r w:rsidRPr="00A051F0">
        <w:t>Miljöpartiet anser det uteslutet att staten skulle göra sådana åtaganden. Det strider mot konventionens principer och mot principen att kärnkraften ska stå för sina egna kostnader, vilket även regeringen ställer sig bakom. Förslaget om att regeringen i fråga om ansvaret vid radiologiska olyckor får göra ek</w:t>
      </w:r>
      <w:r w:rsidRPr="00A051F0">
        <w:t>o</w:t>
      </w:r>
      <w:r w:rsidRPr="00A051F0">
        <w:t>nomiska åtaganden för staten genom att ställa återförsäkringsåtaganden eller andra likvärdiga åtaganden är en solklar subvention och bör tas bort. Detta bör riksdagen ge regeringen till känna som sin mening.</w:t>
      </w:r>
    </w:p>
    <w:p w:rsidR="00D77CF0" w:rsidRPr="00A051F0" w:rsidRDefault="00D77CF0">
      <w:pPr>
        <w:pStyle w:val="Rubrik2"/>
        <w:shd w:val="clear" w:color="000000" w:fill="auto"/>
      </w:pPr>
      <w:r w:rsidRPr="00A051F0">
        <w:t>Den fjärde subventionen: preskriptionstiden</w:t>
      </w:r>
    </w:p>
    <w:p w:rsidR="00D77CF0" w:rsidRPr="00A051F0" w:rsidRDefault="00D77CF0">
      <w:pPr>
        <w:pStyle w:val="Normaltindrag"/>
        <w:shd w:val="clear" w:color="000000" w:fill="auto"/>
        <w:ind w:firstLine="0"/>
      </w:pPr>
      <w:r w:rsidRPr="00A051F0">
        <w:t>Enligt lagen om ansvar och skadestånd vid en radiologisk olycka är preskri</w:t>
      </w:r>
      <w:r w:rsidRPr="00A051F0">
        <w:t>p</w:t>
      </w:r>
      <w:r w:rsidRPr="00A051F0">
        <w:t>tionstiden för radiologisk personskada 30 år. Preskriptionstiden för sakskada är dock begränsad till tio år.</w:t>
      </w:r>
    </w:p>
    <w:p w:rsidR="00D77CF0" w:rsidRPr="00A051F0" w:rsidRDefault="00D77CF0">
      <w:pPr>
        <w:pStyle w:val="Normaltindrag"/>
        <w:shd w:val="clear" w:color="000000" w:fill="auto"/>
      </w:pPr>
      <w:r w:rsidRPr="00A051F0">
        <w:t>Miljöpartiet anser att kunskapen om radiologisk strålning visar att skador till följd av en radiologisk olycka kan uppstå långt efter själva olyckan och att vi idag inte har underlag för att sätta en bortre gräns för när skadan kan uppstå eller uppenbaras.</w:t>
      </w:r>
    </w:p>
    <w:p w:rsidR="00D77CF0" w:rsidRPr="00A051F0" w:rsidRDefault="00D77CF0">
      <w:pPr>
        <w:pStyle w:val="Normaltindrag"/>
        <w:shd w:val="clear" w:color="000000" w:fill="auto"/>
      </w:pPr>
      <w:r w:rsidRPr="00A051F0">
        <w:t>Ett av de motiv som regeringen anför i propositionen för att inte förlänga preskriptionstiden bortom 30 år, är att skadelidande i sådana fall ändå får ersättning genom det allmänna sjukvårdssystemet. Som framgår nedan anser Miljöpartiet att skador för sjukvårdskostnader till följd av en radiologisk sk</w:t>
      </w:r>
      <w:r w:rsidRPr="00A051F0">
        <w:t>a</w:t>
      </w:r>
      <w:r w:rsidRPr="00A051F0">
        <w:t>da ska ersättas av dem som har orsakat skadan, inte av staten. Det kan handla om mycket stora belopp och att undanta den som orsakar en olycka ersät</w:t>
      </w:r>
      <w:r w:rsidRPr="00A051F0">
        <w:t>t</w:t>
      </w:r>
      <w:r w:rsidRPr="00A051F0">
        <w:t>ningsansvaret är en subvention.</w:t>
      </w:r>
    </w:p>
    <w:p w:rsidR="00D77CF0" w:rsidRPr="00A051F0" w:rsidRDefault="00D77CF0">
      <w:pPr>
        <w:pStyle w:val="Normaltindrag"/>
        <w:shd w:val="clear" w:color="000000" w:fill="auto"/>
      </w:pPr>
      <w:r w:rsidRPr="00A051F0">
        <w:t>Ett annat motiv som regeringen menar talar mot en längre preskriptionstid är att det idag är oerhört svårt att visa om ett insjuknande i cancer i det indiv</w:t>
      </w:r>
      <w:r w:rsidRPr="00A051F0">
        <w:t>i</w:t>
      </w:r>
      <w:r w:rsidRPr="00A051F0">
        <w:t>duella fallet är en följd av radiologisk skada eller inte. Det må så vara, men i andra fall kan det vara möjligt att fastslå orsaken och det kan inte heller ut</w:t>
      </w:r>
      <w:r w:rsidRPr="00A051F0">
        <w:t>e</w:t>
      </w:r>
      <w:r w:rsidRPr="00A051F0">
        <w:t>slutas att det i framtiden blir lättare att visa kausalitet.</w:t>
      </w:r>
    </w:p>
    <w:p w:rsidR="00D77CF0" w:rsidRPr="00A051F0" w:rsidRDefault="00D77CF0">
      <w:pPr>
        <w:pStyle w:val="Normaltindrag"/>
        <w:shd w:val="clear" w:color="000000" w:fill="auto"/>
      </w:pPr>
      <w:r w:rsidRPr="00A051F0">
        <w:t>Miljöpartiet anser att det idag saknas underlag för att sätta en bortre gräns för när skada kan anses vara utesluten. Detta gäller både vad gäller perso</w:t>
      </w:r>
      <w:r w:rsidRPr="00A051F0">
        <w:t>n</w:t>
      </w:r>
      <w:r w:rsidRPr="00A051F0">
        <w:t>skada och sakskada. För att uppfylla kravet om frihet från subventioner beh</w:t>
      </w:r>
      <w:r w:rsidRPr="00A051F0">
        <w:t>ö</w:t>
      </w:r>
      <w:r w:rsidRPr="00A051F0">
        <w:t>ver därför preskriptionstiden vara oändlig tills nya fakta framkommit. Detta bör riksdagen ge regeringen tillkänna som sin mening.</w:t>
      </w:r>
    </w:p>
    <w:p w:rsidR="00D77CF0" w:rsidRPr="00A051F0" w:rsidRDefault="00D77CF0">
      <w:pPr>
        <w:pStyle w:val="Rubrik2"/>
        <w:shd w:val="clear" w:color="000000" w:fill="auto"/>
      </w:pPr>
      <w:r w:rsidRPr="00A051F0">
        <w:t>Den femte subventionen: sjukvårdskostnaderna</w:t>
      </w:r>
    </w:p>
    <w:p w:rsidR="00D77CF0" w:rsidRPr="00A051F0" w:rsidRDefault="00D77CF0">
      <w:pPr>
        <w:pStyle w:val="Normaltindrag"/>
        <w:shd w:val="clear" w:color="000000" w:fill="auto"/>
        <w:ind w:firstLine="0"/>
      </w:pPr>
      <w:r w:rsidRPr="00A051F0">
        <w:t>En av de största kostnaderna vid en allvarlig radiologisk olycka skulle sann</w:t>
      </w:r>
      <w:r w:rsidRPr="00A051F0">
        <w:t>o</w:t>
      </w:r>
      <w:r w:rsidRPr="00A051F0">
        <w:t>likt vara sjukvård för dem som drabbas. Samhället riskerar att drabbas av en mycket kraftig ökning av sjukvårdskostnaderna trots att det rimligen är fråga om radiologiska skador som bör täckas av den som har det obegränsade a</w:t>
      </w:r>
      <w:r w:rsidRPr="00A051F0">
        <w:t>n</w:t>
      </w:r>
      <w:r w:rsidRPr="00A051F0">
        <w:t>svaret vid en olycka. Ökningen riskerar också att bli bestående över lång tid eftersom radiologiska skador kan uppstå långt efter olyckan och att de kan ha ett mycket långsamt förlopp.</w:t>
      </w:r>
    </w:p>
    <w:p w:rsidR="00D77CF0" w:rsidRPr="00A051F0" w:rsidRDefault="00D77CF0">
      <w:pPr>
        <w:pStyle w:val="Normaltindrag"/>
        <w:shd w:val="clear" w:color="000000" w:fill="auto"/>
      </w:pPr>
      <w:r w:rsidRPr="00A051F0">
        <w:t>Detta verkar inte oroa regeringen. Tvärtom. Enligt propositionen var ett av de viktigaste skälen til</w:t>
      </w:r>
      <w:r w:rsidRPr="00A051F0">
        <w:t>l att inte förlänga preskriptionstiden bortom 30 år att ”skadelidande i sådana här skadefall ändå skulle garanteras vård och olika former av sociala förmåner av staten.”</w:t>
      </w:r>
    </w:p>
    <w:p w:rsidR="00D77CF0" w:rsidRPr="00A051F0" w:rsidRDefault="00D77CF0">
      <w:pPr>
        <w:pStyle w:val="Normaltindrag"/>
        <w:shd w:val="clear" w:color="000000" w:fill="auto"/>
      </w:pPr>
      <w:r w:rsidRPr="00A051F0">
        <w:t>Miljöpartiet anser inte att vård för radiologiska skador till följd av en olycka i en kärnteknisk anläggning främst bör finansieras med allmänna m</w:t>
      </w:r>
      <w:r w:rsidRPr="00A051F0">
        <w:t>e</w:t>
      </w:r>
      <w:r w:rsidRPr="00A051F0">
        <w:t>del, utan det är en viktig och självklar del av det obegränsade ansvaret för anläggningens ägare. Detta bör riksdagen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51F0">
        <w:trPr>
          <w:cantSplit/>
        </w:trPr>
        <w:tc>
          <w:tcPr>
            <w:tcW w:w="3046" w:type="dxa"/>
          </w:tcPr>
          <w:p w:rsidR="00D77CF0" w:rsidRPr="00A051F0" w:rsidRDefault="00D77CF0">
            <w:pPr>
              <w:pStyle w:val="UnderskriftDatum"/>
              <w:shd w:val="clear" w:color="000000" w:fill="auto"/>
              <w:spacing w:before="240"/>
            </w:pPr>
            <w:r w:rsidRPr="00A051F0">
              <w:t>Stockholm den 4 oktober 2011</w:t>
            </w:r>
          </w:p>
        </w:tc>
        <w:tc>
          <w:tcPr>
            <w:tcW w:w="3047" w:type="dxa"/>
          </w:tcPr>
          <w:p w:rsidR="00D77CF0" w:rsidRPr="00A051F0" w:rsidRDefault="00D77CF0">
            <w:pPr>
              <w:pStyle w:val="Underskrifter"/>
              <w:shd w:val="clear" w:color="000000" w:fill="auto"/>
              <w:spacing w:before="240"/>
            </w:pPr>
          </w:p>
        </w:tc>
      </w:tr>
      <w:tr w:rsidR="00000000" w:rsidRPr="00A051F0">
        <w:trPr>
          <w:cantSplit/>
        </w:trPr>
        <w:tc>
          <w:tcPr>
            <w:tcW w:w="3046" w:type="dxa"/>
          </w:tcPr>
          <w:p w:rsidR="00D77CF0" w:rsidRPr="00A051F0" w:rsidRDefault="00D77CF0">
            <w:pPr>
              <w:pStyle w:val="Underskrifter"/>
              <w:shd w:val="clear" w:color="000000" w:fill="auto"/>
            </w:pPr>
            <w:r w:rsidRPr="00A051F0">
              <w:t>Lise Nordin (MP)</w:t>
            </w:r>
          </w:p>
        </w:tc>
        <w:tc>
          <w:tcPr>
            <w:tcW w:w="3046" w:type="dxa"/>
          </w:tcPr>
          <w:p w:rsidR="00D77CF0" w:rsidRPr="00A051F0" w:rsidRDefault="00D77CF0">
            <w:pPr>
              <w:pStyle w:val="Underskrifter"/>
              <w:shd w:val="clear" w:color="000000" w:fill="auto"/>
            </w:pPr>
          </w:p>
        </w:tc>
      </w:tr>
      <w:tr w:rsidR="00000000" w:rsidRPr="00A051F0">
        <w:trPr>
          <w:cantSplit/>
        </w:trPr>
        <w:tc>
          <w:tcPr>
            <w:tcW w:w="3046" w:type="dxa"/>
          </w:tcPr>
          <w:p w:rsidR="00D77CF0" w:rsidRPr="00A051F0" w:rsidRDefault="00D77CF0">
            <w:pPr>
              <w:pStyle w:val="Underskrifter"/>
              <w:shd w:val="clear" w:color="000000" w:fill="auto"/>
            </w:pPr>
            <w:r w:rsidRPr="00A051F0">
              <w:t>Stina Bergström (MP)</w:t>
            </w:r>
          </w:p>
        </w:tc>
        <w:tc>
          <w:tcPr>
            <w:tcW w:w="3046" w:type="dxa"/>
          </w:tcPr>
          <w:p w:rsidR="00D77CF0" w:rsidRPr="00A051F0" w:rsidRDefault="00D77CF0">
            <w:pPr>
              <w:pStyle w:val="Underskrifter"/>
              <w:shd w:val="clear" w:color="000000" w:fill="auto"/>
            </w:pPr>
            <w:r w:rsidRPr="00A051F0">
              <w:t>Bodil Ceballos (MP)</w:t>
            </w:r>
          </w:p>
        </w:tc>
      </w:tr>
      <w:tr w:rsidR="00000000" w:rsidRPr="00A051F0">
        <w:trPr>
          <w:cantSplit/>
        </w:trPr>
        <w:tc>
          <w:tcPr>
            <w:tcW w:w="3046" w:type="dxa"/>
          </w:tcPr>
          <w:p w:rsidR="00D77CF0" w:rsidRPr="00A051F0" w:rsidRDefault="00D77CF0">
            <w:pPr>
              <w:pStyle w:val="Underskrifter"/>
              <w:shd w:val="clear" w:color="000000" w:fill="auto"/>
            </w:pPr>
            <w:r w:rsidRPr="00A051F0">
              <w:t>Helena Leander (MP)</w:t>
            </w:r>
          </w:p>
        </w:tc>
        <w:tc>
          <w:tcPr>
            <w:tcW w:w="3046" w:type="dxa"/>
          </w:tcPr>
          <w:p w:rsidR="00D77CF0" w:rsidRPr="00A051F0" w:rsidRDefault="00D77CF0">
            <w:pPr>
              <w:pStyle w:val="Underskrifter"/>
              <w:shd w:val="clear" w:color="000000" w:fill="auto"/>
            </w:pPr>
            <w:r w:rsidRPr="00A051F0">
              <w:t>Valter Mutt (MP)</w:t>
            </w:r>
          </w:p>
        </w:tc>
      </w:tr>
      <w:tr w:rsidR="00000000" w:rsidRPr="00A051F0">
        <w:trPr>
          <w:cantSplit/>
        </w:trPr>
        <w:tc>
          <w:tcPr>
            <w:tcW w:w="3046" w:type="dxa"/>
          </w:tcPr>
          <w:p w:rsidR="00D77CF0" w:rsidRPr="00A051F0" w:rsidRDefault="00D77CF0">
            <w:pPr>
              <w:pStyle w:val="Underskrifter"/>
              <w:shd w:val="clear" w:color="000000" w:fill="auto"/>
            </w:pPr>
            <w:r w:rsidRPr="00A051F0">
              <w:t>Kew Nordqvist (MP)</w:t>
            </w:r>
          </w:p>
        </w:tc>
        <w:tc>
          <w:tcPr>
            <w:tcW w:w="3046" w:type="dxa"/>
          </w:tcPr>
          <w:p w:rsidR="00D77CF0" w:rsidRPr="00A051F0" w:rsidRDefault="00D77CF0">
            <w:pPr>
              <w:pStyle w:val="Underskrifter"/>
              <w:shd w:val="clear" w:color="000000" w:fill="auto"/>
            </w:pPr>
            <w:r w:rsidRPr="00A051F0">
              <w:t>Peter Rådberg (MP)</w:t>
            </w:r>
          </w:p>
        </w:tc>
      </w:tr>
      <w:tr w:rsidR="00000000" w:rsidRPr="00A051F0">
        <w:trPr>
          <w:cantSplit/>
        </w:trPr>
        <w:tc>
          <w:tcPr>
            <w:tcW w:w="3046" w:type="dxa"/>
          </w:tcPr>
          <w:p w:rsidR="00D77CF0" w:rsidRPr="00A051F0" w:rsidRDefault="00D77CF0">
            <w:pPr>
              <w:pStyle w:val="Underskrifter"/>
              <w:shd w:val="clear" w:color="000000" w:fill="auto"/>
            </w:pPr>
            <w:r w:rsidRPr="00A051F0">
              <w:t>Annika Lillemets (MP)</w:t>
            </w:r>
          </w:p>
        </w:tc>
        <w:tc>
          <w:tcPr>
            <w:tcW w:w="3046" w:type="dxa"/>
          </w:tcPr>
          <w:p w:rsidR="00D77CF0" w:rsidRPr="00A051F0" w:rsidRDefault="00D77CF0">
            <w:pPr>
              <w:pStyle w:val="Underskrifter"/>
              <w:shd w:val="clear" w:color="000000" w:fill="auto"/>
            </w:pPr>
            <w:r w:rsidRPr="00A051F0">
              <w:t>Jonas Eriksson (MP)</w:t>
            </w:r>
          </w:p>
        </w:tc>
      </w:tr>
      <w:tr w:rsidR="00000000" w:rsidRPr="00A051F0">
        <w:trPr>
          <w:cantSplit/>
        </w:trPr>
        <w:tc>
          <w:tcPr>
            <w:tcW w:w="3046" w:type="dxa"/>
          </w:tcPr>
          <w:p w:rsidR="00D77CF0" w:rsidRPr="00A051F0" w:rsidRDefault="00D77CF0">
            <w:pPr>
              <w:pStyle w:val="Underskrifter"/>
              <w:shd w:val="clear" w:color="000000" w:fill="auto"/>
            </w:pPr>
            <w:r w:rsidRPr="00A051F0">
              <w:t>Per Bolund (MP)</w:t>
            </w:r>
          </w:p>
        </w:tc>
        <w:tc>
          <w:tcPr>
            <w:tcW w:w="3046" w:type="dxa"/>
          </w:tcPr>
          <w:p w:rsidR="00D77CF0" w:rsidRPr="00A051F0" w:rsidRDefault="00D77CF0">
            <w:pPr>
              <w:pStyle w:val="Underskrifter"/>
              <w:shd w:val="clear" w:color="000000" w:fill="auto"/>
            </w:pPr>
            <w:r w:rsidRPr="00A051F0">
              <w:t>Jan Lindholm (MP)</w:t>
            </w:r>
          </w:p>
        </w:tc>
      </w:tr>
      <w:tr w:rsidR="00000000" w:rsidRPr="00A051F0">
        <w:trPr>
          <w:cantSplit/>
        </w:trPr>
        <w:tc>
          <w:tcPr>
            <w:tcW w:w="3046" w:type="dxa"/>
          </w:tcPr>
          <w:p w:rsidR="00D77CF0" w:rsidRPr="00A051F0" w:rsidRDefault="00D77CF0">
            <w:pPr>
              <w:pStyle w:val="Underskrifter"/>
              <w:shd w:val="clear" w:color="000000" w:fill="auto"/>
            </w:pPr>
            <w:r w:rsidRPr="00A051F0">
              <w:t>Mats Pertoft (MP)</w:t>
            </w:r>
          </w:p>
        </w:tc>
        <w:tc>
          <w:tcPr>
            <w:tcW w:w="3046" w:type="dxa"/>
          </w:tcPr>
          <w:p w:rsidR="00D77CF0" w:rsidRPr="00A051F0" w:rsidRDefault="00D77CF0">
            <w:pPr>
              <w:pStyle w:val="Underskrifter"/>
              <w:shd w:val="clear" w:color="000000" w:fill="auto"/>
            </w:pPr>
          </w:p>
        </w:tc>
      </w:tr>
    </w:tbl>
    <w:p w:rsidR="00D77CF0" w:rsidRPr="00A051F0" w:rsidRDefault="00D77CF0">
      <w:pPr>
        <w:pStyle w:val="Normaltindrag"/>
        <w:shd w:val="clear" w:color="000000" w:fill="auto"/>
      </w:pPr>
    </w:p>
    <w:sectPr w:rsidR="00D77CF0" w:rsidRPr="00A051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7CF0" w:rsidRPr="00A051F0" w:rsidRDefault="00D77CF0">
      <w:r w:rsidRPr="00A051F0">
        <w:separator/>
      </w:r>
    </w:p>
  </w:endnote>
  <w:endnote w:type="continuationSeparator" w:id="0">
    <w:p w:rsidR="00D77CF0" w:rsidRPr="00A051F0" w:rsidRDefault="00D77CF0">
      <w:r w:rsidRPr="00A051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CF0" w:rsidRPr="00A051F0" w:rsidRDefault="00A051F0">
    <w:pPr>
      <w:pStyle w:val="Sidfot"/>
    </w:pPr>
    <w:r w:rsidRPr="00A051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6312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CF0" w:rsidRDefault="00D77CF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7CF0" w:rsidRDefault="00D77CF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CF0" w:rsidRPr="00A051F0" w:rsidRDefault="00A051F0">
    <w:pPr>
      <w:pStyle w:val="Sidfot"/>
    </w:pPr>
    <w:r w:rsidRPr="00A051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946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CF0" w:rsidRDefault="00D77CF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7CF0" w:rsidRDefault="00D77CF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CF0" w:rsidRPr="00A051F0" w:rsidRDefault="00A051F0">
    <w:pPr>
      <w:pStyle w:val="Sidfot"/>
    </w:pPr>
    <w:r w:rsidRPr="00A051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650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CF0" w:rsidRDefault="00D77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7CF0" w:rsidRDefault="00D77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7CF0" w:rsidRPr="00A051F0" w:rsidRDefault="00D77CF0">
      <w:pPr>
        <w:rPr>
          <w:color w:val="FFFFFF"/>
        </w:rPr>
      </w:pPr>
      <w:r w:rsidRPr="00A051F0">
        <w:rPr>
          <w:color w:val="FFFFFF"/>
        </w:rPr>
        <w:separator/>
      </w:r>
    </w:p>
  </w:footnote>
  <w:footnote w:type="continuationSeparator" w:id="0">
    <w:p w:rsidR="00D77CF0" w:rsidRPr="00A051F0" w:rsidRDefault="00D77CF0">
      <w:r w:rsidRPr="00A051F0">
        <w:continuationSeparator/>
      </w:r>
    </w:p>
  </w:footnote>
  <w:footnote w:id="1">
    <w:p w:rsidR="00D77CF0" w:rsidRPr="00A051F0" w:rsidRDefault="00D77CF0">
      <w:pPr>
        <w:pStyle w:val="Fotnotstext"/>
        <w:spacing w:line="200" w:lineRule="atLeast"/>
        <w:rPr>
          <w:sz w:val="16"/>
          <w:szCs w:val="16"/>
        </w:rPr>
      </w:pPr>
      <w:r w:rsidRPr="00A051F0">
        <w:rPr>
          <w:rStyle w:val="Fotnotsreferens"/>
          <w:sz w:val="20"/>
        </w:rPr>
        <w:footnoteRef/>
      </w:r>
      <w:r w:rsidRPr="00A051F0">
        <w:t xml:space="preserve"> </w:t>
      </w:r>
      <w:r w:rsidRPr="00A051F0">
        <w:rPr>
          <w:sz w:val="16"/>
          <w:szCs w:val="16"/>
        </w:rPr>
        <w:t>Det engelska begreppet government omfattar inte bara regeringen utan kan gälla all form av politisk styrning.</w:t>
      </w:r>
    </w:p>
  </w:footnote>
  <w:footnote w:id="2">
    <w:p w:rsidR="00D77CF0" w:rsidRPr="00A051F0" w:rsidRDefault="00D77CF0">
      <w:pPr>
        <w:pStyle w:val="Fotnotstext"/>
        <w:spacing w:line="200" w:lineRule="atLeast"/>
        <w:rPr>
          <w:sz w:val="16"/>
          <w:szCs w:val="16"/>
        </w:rPr>
      </w:pPr>
      <w:r w:rsidRPr="00A051F0">
        <w:rPr>
          <w:rStyle w:val="Fotnotsreferens"/>
          <w:sz w:val="20"/>
        </w:rPr>
        <w:footnoteRef/>
      </w:r>
      <w:r w:rsidRPr="00A051F0">
        <w:rPr>
          <w:sz w:val="20"/>
        </w:rPr>
        <w:t xml:space="preserve"> </w:t>
      </w:r>
      <w:r w:rsidRPr="00A051F0">
        <w:rPr>
          <w:sz w:val="16"/>
          <w:szCs w:val="16"/>
        </w:rPr>
        <w:t>Environmentally Harmful Subsidies (EHS): Identification and Assessment, IEEP 2009.</w:t>
      </w:r>
    </w:p>
  </w:footnote>
  <w:footnote w:id="3">
    <w:p w:rsidR="00D77CF0" w:rsidRPr="00A051F0" w:rsidRDefault="00D77CF0">
      <w:pPr>
        <w:pStyle w:val="Fotnotstext"/>
        <w:spacing w:line="200" w:lineRule="atLeast"/>
        <w:rPr>
          <w:sz w:val="16"/>
          <w:szCs w:val="16"/>
        </w:rPr>
      </w:pPr>
      <w:r w:rsidRPr="00A051F0">
        <w:rPr>
          <w:rStyle w:val="Fotnotsreferens"/>
          <w:sz w:val="20"/>
        </w:rPr>
        <w:footnoteRef/>
      </w:r>
      <w:r w:rsidRPr="00A051F0">
        <w:rPr>
          <w:sz w:val="20"/>
          <w:vertAlign w:val="superscript"/>
        </w:rPr>
        <w:t xml:space="preserve"> </w:t>
      </w:r>
      <w:r w:rsidRPr="00A051F0">
        <w:rPr>
          <w:sz w:val="16"/>
          <w:szCs w:val="16"/>
        </w:rPr>
        <w:t xml:space="preserve">Calla: Table1, </w:t>
      </w:r>
      <w:r w:rsidRPr="00A051F0">
        <w:rPr>
          <w:bCs/>
          <w:sz w:val="16"/>
          <w:szCs w:val="16"/>
        </w:rPr>
        <w:t xml:space="preserve">Environmentally Harmful Subsidies (EHS): Identification and Assessment, </w:t>
      </w:r>
      <w:r w:rsidRPr="00A051F0">
        <w:rPr>
          <w:sz w:val="16"/>
          <w:szCs w:val="16"/>
        </w:rPr>
        <w:t>IEEP 2009. Egen översättning. ESA: European System of Accounts; WTO: World Trade Organization, OECD: Organisation for Economic Co-operation and Development; Pieters: Pieters, J (2004), When removing subsidies benefits the environment: Developing a chec</w:t>
      </w:r>
      <w:r w:rsidRPr="00A051F0">
        <w:rPr>
          <w:sz w:val="16"/>
          <w:szCs w:val="16"/>
        </w:rPr>
        <w:t>k</w:t>
      </w:r>
      <w:r w:rsidRPr="00A051F0">
        <w:rPr>
          <w:sz w:val="16"/>
          <w:szCs w:val="16"/>
        </w:rPr>
        <w:t xml:space="preserve">list based on the conditionality of subsidies, revised version of the paper presented to the OECD Workshop on Environmentally Harmful Subsidies samt OECD, Environmentally </w:t>
      </w:r>
      <w:r w:rsidRPr="00A051F0">
        <w:rPr>
          <w:sz w:val="16"/>
          <w:szCs w:val="16"/>
        </w:rPr>
        <w:t>Harmful Subsidies: Challenges for Reform, OECD, 2005.</w:t>
      </w:r>
    </w:p>
  </w:footnote>
  <w:footnote w:id="4">
    <w:p w:rsidR="00D77CF0" w:rsidRPr="00A051F0" w:rsidRDefault="00D77CF0">
      <w:pPr>
        <w:pStyle w:val="Fotnotstext"/>
        <w:spacing w:line="200" w:lineRule="atLeast"/>
        <w:rPr>
          <w:sz w:val="16"/>
          <w:szCs w:val="16"/>
        </w:rPr>
      </w:pPr>
      <w:r w:rsidRPr="00A051F0">
        <w:rPr>
          <w:rStyle w:val="Fotnotsreferens"/>
          <w:szCs w:val="19"/>
        </w:rPr>
        <w:footnoteRef/>
      </w:r>
      <w:r w:rsidRPr="00A051F0">
        <w:rPr>
          <w:sz w:val="16"/>
          <w:szCs w:val="16"/>
        </w:rPr>
        <w:t xml:space="preserve"> Reforming environmentally harmful subsidies, IEEP 2007.</w:t>
      </w:r>
    </w:p>
  </w:footnote>
  <w:footnote w:id="5">
    <w:p w:rsidR="00D77CF0" w:rsidRPr="00A051F0" w:rsidRDefault="00D77CF0">
      <w:pPr>
        <w:pStyle w:val="Fotnotstext"/>
        <w:spacing w:line="180" w:lineRule="atLeast"/>
      </w:pPr>
      <w:r w:rsidRPr="00A051F0">
        <w:rPr>
          <w:rStyle w:val="Fotnotsreferens"/>
          <w:sz w:val="20"/>
        </w:rPr>
        <w:footnoteRef/>
      </w:r>
      <w:r w:rsidRPr="00A051F0">
        <w:t xml:space="preserve"> </w:t>
      </w:r>
      <w:r w:rsidRPr="00A051F0">
        <w:rPr>
          <w:sz w:val="16"/>
          <w:szCs w:val="16"/>
        </w:rPr>
        <w:t>New Nuclear – The Economics Say No, Citigroup 2009.</w:t>
      </w:r>
    </w:p>
  </w:footnote>
  <w:footnote w:id="6">
    <w:p w:rsidR="00D77CF0" w:rsidRPr="00A051F0" w:rsidRDefault="00D77CF0">
      <w:pPr>
        <w:pStyle w:val="Fotnotstext"/>
        <w:rPr>
          <w:sz w:val="16"/>
          <w:szCs w:val="16"/>
        </w:rPr>
      </w:pPr>
      <w:r w:rsidRPr="00A051F0">
        <w:rPr>
          <w:rStyle w:val="Fotnotsreferens"/>
          <w:sz w:val="20"/>
        </w:rPr>
        <w:footnoteRef/>
      </w:r>
      <w:r w:rsidRPr="00A051F0">
        <w:t xml:space="preserve"> </w:t>
      </w:r>
      <w:r w:rsidRPr="00A051F0">
        <w:rPr>
          <w:sz w:val="16"/>
          <w:szCs w:val="16"/>
        </w:rPr>
        <w:t>The Future of Nuclear Power, MIT 2003 och 2009 (Update).</w:t>
      </w:r>
    </w:p>
  </w:footnote>
  <w:footnote w:id="7">
    <w:p w:rsidR="00D77CF0" w:rsidRPr="00A051F0" w:rsidRDefault="00D77CF0">
      <w:pPr>
        <w:pStyle w:val="Fotnotstext"/>
        <w:spacing w:line="200" w:lineRule="atLeast"/>
      </w:pPr>
      <w:r w:rsidRPr="00A051F0">
        <w:rPr>
          <w:rStyle w:val="Fotnotsreferens"/>
          <w:sz w:val="20"/>
        </w:rPr>
        <w:footnoteRef/>
      </w:r>
      <w:r w:rsidRPr="00A051F0">
        <w:t xml:space="preserve"> </w:t>
      </w:r>
      <w:r w:rsidRPr="00A051F0">
        <w:rPr>
          <w:sz w:val="16"/>
          <w:szCs w:val="16"/>
        </w:rPr>
        <w:t>För fler referenser, se</w:t>
      </w:r>
      <w:r w:rsidRPr="00A051F0">
        <w:t xml:space="preserve"> </w:t>
      </w:r>
      <w:r w:rsidRPr="00A051F0">
        <w:rPr>
          <w:sz w:val="16"/>
          <w:szCs w:val="16"/>
        </w:rPr>
        <w:t>http://www.mp.se/templates/Mct_177.aspx?number=192882.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CF0" w:rsidRPr="00A051F0" w:rsidRDefault="00A051F0">
    <w:pPr>
      <w:pStyle w:val="Sidhuvud"/>
    </w:pPr>
    <w:r w:rsidRPr="00A051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37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CF0" w:rsidRDefault="00D77C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7CF0" w:rsidRDefault="00D77C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CF0" w:rsidRPr="00A051F0" w:rsidRDefault="00A051F0">
    <w:pPr>
      <w:pStyle w:val="Sidhuvud"/>
    </w:pPr>
    <w:r w:rsidRPr="00A051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844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CF0" w:rsidRDefault="00D77C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7CF0" w:rsidRDefault="00D77C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CF0" w:rsidRPr="00A051F0" w:rsidRDefault="00D77CF0">
    <w:pPr>
      <w:pStyle w:val="FSHNormal"/>
      <w:tabs>
        <w:tab w:val="right" w:pos="5840"/>
      </w:tabs>
    </w:pPr>
    <w:r w:rsidRPr="00A051F0">
      <w:br/>
    </w:r>
    <w:r w:rsidRPr="00A051F0">
      <w:fldChar w:fldCharType="begin" w:fldLock="1"/>
    </w:r>
    <w:r w:rsidRPr="00A051F0">
      <w:instrText xml:space="preserve"> DOCPROPERTY</w:instrText>
    </w:r>
    <w:r w:rsidRPr="00A051F0">
      <w:rPr>
        <w:sz w:val="18"/>
      </w:rPr>
      <w:instrText xml:space="preserve"> "YearUser" *\charformat </w:instrText>
    </w:r>
    <w:r w:rsidRPr="00A051F0">
      <w:fldChar w:fldCharType="separate"/>
    </w:r>
    <w:r w:rsidRPr="00A051F0">
      <w:t>2011/12</w:t>
    </w:r>
    <w:r w:rsidRPr="00A051F0">
      <w:fldChar w:fldCharType="end"/>
    </w:r>
    <w:r w:rsidRPr="00A051F0">
      <w:t xml:space="preserve"> </w:t>
    </w:r>
    <w:r w:rsidRPr="00A051F0">
      <w:tab/>
      <w:t xml:space="preserve">mnr: </w:t>
    </w:r>
    <w:r w:rsidRPr="00A051F0">
      <w:fldChar w:fldCharType="begin" w:fldLock="1"/>
    </w:r>
    <w:r w:rsidRPr="00A051F0">
      <w:instrText xml:space="preserve"> DOCPROPERTY</w:instrText>
    </w:r>
    <w:r w:rsidRPr="00A051F0">
      <w:rPr>
        <w:sz w:val="18"/>
      </w:rPr>
      <w:instrText xml:space="preserve"> "Motionsnummer" *\charformat </w:instrText>
    </w:r>
    <w:r w:rsidRPr="00A051F0">
      <w:fldChar w:fldCharType="separate"/>
    </w:r>
    <w:r w:rsidRPr="00A051F0">
      <w:t>C328</w:t>
    </w:r>
    <w:r w:rsidRPr="00A051F0">
      <w:fldChar w:fldCharType="end"/>
    </w:r>
    <w:r w:rsidRPr="00A051F0">
      <w:br/>
    </w:r>
    <w:r w:rsidRPr="00A051F0">
      <w:fldChar w:fldCharType="begin" w:fldLock="1"/>
    </w:r>
    <w:r w:rsidRPr="00A051F0">
      <w:instrText xml:space="preserve"> DOCPROPERTY</w:instrText>
    </w:r>
    <w:r w:rsidRPr="00A051F0">
      <w:rPr>
        <w:sz w:val="18"/>
      </w:rPr>
      <w:instrText xml:space="preserve"> "Samling" *\charformat </w:instrText>
    </w:r>
    <w:r w:rsidRPr="00A051F0">
      <w:fldChar w:fldCharType="end"/>
    </w:r>
    <w:r w:rsidRPr="00A051F0">
      <w:tab/>
      <w:t xml:space="preserve">pnr: </w:t>
    </w:r>
    <w:r w:rsidRPr="00A051F0">
      <w:fldChar w:fldCharType="begin" w:fldLock="1"/>
    </w:r>
    <w:r w:rsidRPr="00A051F0">
      <w:instrText xml:space="preserve"> DOCPROPERTY</w:instrText>
    </w:r>
    <w:r w:rsidRPr="00A051F0">
      <w:rPr>
        <w:sz w:val="18"/>
      </w:rPr>
      <w:instrText xml:space="preserve"> "Partinummer" *\charformat </w:instrText>
    </w:r>
    <w:r w:rsidRPr="00A051F0">
      <w:fldChar w:fldCharType="separate"/>
    </w:r>
    <w:r w:rsidRPr="00A051F0">
      <w:t>MP2903</w:t>
    </w:r>
    <w:r w:rsidRPr="00A051F0">
      <w:fldChar w:fldCharType="end"/>
    </w:r>
  </w:p>
  <w:p w:rsidR="00D77CF0" w:rsidRPr="00A051F0" w:rsidRDefault="00D77CF0">
    <w:pPr>
      <w:pStyle w:val="FSHRub1"/>
    </w:pPr>
    <w:r w:rsidRPr="00A051F0">
      <w:t>Motion till riksdagen</w:t>
    </w:r>
    <w:r w:rsidRPr="00A051F0">
      <w:br/>
    </w:r>
    <w:r w:rsidRPr="00A051F0">
      <w:fldChar w:fldCharType="begin" w:fldLock="1"/>
    </w:r>
    <w:r w:rsidRPr="00A051F0">
      <w:instrText xml:space="preserve"> DOCPROPERTY "YearUser" *\charformat </w:instrText>
    </w:r>
    <w:r w:rsidRPr="00A051F0">
      <w:fldChar w:fldCharType="separate"/>
    </w:r>
    <w:r w:rsidRPr="00A051F0">
      <w:t>2011/12</w:t>
    </w:r>
    <w:r w:rsidRPr="00A051F0">
      <w:fldChar w:fldCharType="end"/>
    </w:r>
    <w:r w:rsidRPr="00A051F0">
      <w:t>:</w:t>
    </w:r>
    <w:r w:rsidRPr="00A051F0">
      <w:fldChar w:fldCharType="begin" w:fldLock="1"/>
    </w:r>
    <w:r w:rsidRPr="00A051F0">
      <w:instrText xml:space="preserve"> DOCPROPERTY "Motionsnummer" *\charformat </w:instrText>
    </w:r>
    <w:r w:rsidRPr="00A051F0">
      <w:fldChar w:fldCharType="separate"/>
    </w:r>
    <w:r w:rsidRPr="00A051F0">
      <w:t>C328</w:t>
    </w:r>
    <w:r w:rsidRPr="00A051F0">
      <w:fldChar w:fldCharType="end"/>
    </w:r>
  </w:p>
  <w:p w:rsidR="00D77CF0" w:rsidRPr="00A051F0" w:rsidRDefault="00D77CF0">
    <w:pPr>
      <w:pStyle w:val="FSHNormalS5"/>
    </w:pPr>
    <w:r w:rsidRPr="00A051F0">
      <w:fldChar w:fldCharType="begin" w:fldLock="1"/>
    </w:r>
    <w:r w:rsidRPr="00A051F0">
      <w:instrText xml:space="preserve"> DOCPROPERTY "MotionarText" *\charformat </w:instrText>
    </w:r>
    <w:r w:rsidRPr="00A051F0">
      <w:fldChar w:fldCharType="separate"/>
    </w:r>
    <w:r w:rsidRPr="00A051F0">
      <w:t>av Lise Nordin m.fl. (MP)</w:t>
    </w:r>
    <w:r w:rsidRPr="00A051F0">
      <w:fldChar w:fldCharType="end"/>
    </w:r>
    <w:r w:rsidRPr="00A051F0">
      <w:br/>
    </w:r>
    <w:r w:rsidRPr="00A051F0">
      <w:fldChar w:fldCharType="begin" w:fldLock="1"/>
    </w:r>
    <w:r w:rsidRPr="00A051F0">
      <w:instrText xml:space="preserve"> DOCPROPERTY "SvarFrasKort" *\charformat </w:instrText>
    </w:r>
    <w:r w:rsidRPr="00A051F0">
      <w:fldChar w:fldCharType="end"/>
    </w:r>
  </w:p>
  <w:p w:rsidR="00D77CF0" w:rsidRPr="00A051F0" w:rsidRDefault="00D77CF0">
    <w:pPr>
      <w:pStyle w:val="FSHTitel"/>
    </w:pPr>
    <w:r w:rsidRPr="00A051F0">
      <w:fldChar w:fldCharType="begin" w:fldLock="1"/>
    </w:r>
    <w:r w:rsidRPr="00A051F0">
      <w:instrText xml:space="preserve"> DOCPROPERTY</w:instrText>
    </w:r>
    <w:r w:rsidRPr="00A051F0">
      <w:rPr>
        <w:sz w:val="18"/>
      </w:rPr>
      <w:instrText xml:space="preserve"> "RubrikSvar" *\charformat </w:instrText>
    </w:r>
    <w:r w:rsidRPr="00A051F0">
      <w:fldChar w:fldCharType="separate"/>
    </w:r>
    <w:r w:rsidRPr="00A051F0">
      <w:t>Subventioner av kärnkraft</w:t>
    </w:r>
    <w:r w:rsidRPr="00A051F0">
      <w:fldChar w:fldCharType="end"/>
    </w:r>
  </w:p>
  <w:p w:rsidR="00D77CF0" w:rsidRPr="00A051F0" w:rsidRDefault="00D77CF0">
    <w:pPr>
      <w:pStyle w:val="Normal00"/>
    </w:pPr>
  </w:p>
  <w:p w:rsidR="00D77CF0" w:rsidRPr="00A051F0" w:rsidRDefault="00D77C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0939A8"/>
    <w:multiLevelType w:val="multilevel"/>
    <w:tmpl w:val="C6F6821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553F0C"/>
    <w:multiLevelType w:val="hybridMultilevel"/>
    <w:tmpl w:val="71A656E2"/>
    <w:lvl w:ilvl="0" w:tplc="31D088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7909967">
    <w:abstractNumId w:val="3"/>
  </w:num>
  <w:num w:numId="2" w16cid:durableId="7021865">
    <w:abstractNumId w:val="2"/>
  </w:num>
  <w:num w:numId="3" w16cid:durableId="1489203096">
    <w:abstractNumId w:val="1"/>
  </w:num>
  <w:num w:numId="4" w16cid:durableId="2088183664">
    <w:abstractNumId w:val="0"/>
  </w:num>
  <w:num w:numId="5" w16cid:durableId="766072773">
    <w:abstractNumId w:val="7"/>
  </w:num>
  <w:num w:numId="6" w16cid:durableId="1900747406">
    <w:abstractNumId w:val="6"/>
  </w:num>
  <w:num w:numId="7" w16cid:durableId="1783571797">
    <w:abstractNumId w:val="5"/>
  </w:num>
  <w:num w:numId="8" w16cid:durableId="1583950775">
    <w:abstractNumId w:val="4"/>
  </w:num>
  <w:num w:numId="9" w16cid:durableId="1303852079">
    <w:abstractNumId w:val="8"/>
  </w:num>
  <w:num w:numId="10" w16cid:durableId="1025710601">
    <w:abstractNumId w:val="9"/>
  </w:num>
  <w:num w:numId="11" w16cid:durableId="240413537">
    <w:abstractNumId w:val="10"/>
  </w:num>
  <w:num w:numId="12" w16cid:durableId="928777391">
    <w:abstractNumId w:val="13"/>
  </w:num>
  <w:num w:numId="13" w16cid:durableId="1328746188">
    <w:abstractNumId w:val="16"/>
  </w:num>
  <w:num w:numId="14" w16cid:durableId="1363632400">
    <w:abstractNumId w:val="17"/>
  </w:num>
  <w:num w:numId="15" w16cid:durableId="1743409409">
    <w:abstractNumId w:val="11"/>
  </w:num>
  <w:num w:numId="16" w16cid:durableId="1448769618">
    <w:abstractNumId w:val="20"/>
  </w:num>
  <w:num w:numId="17" w16cid:durableId="980579476">
    <w:abstractNumId w:val="18"/>
  </w:num>
  <w:num w:numId="18" w16cid:durableId="682710145">
    <w:abstractNumId w:val="15"/>
  </w:num>
  <w:num w:numId="19" w16cid:durableId="595675517">
    <w:abstractNumId w:val="12"/>
  </w:num>
  <w:num w:numId="20" w16cid:durableId="275913498">
    <w:abstractNumId w:val="14"/>
  </w:num>
  <w:num w:numId="21" w16cid:durableId="1905722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6FDD7288-6C76-4A4A-ABBE-700C3894E040},{52DE311F-4F73-4FB3-A233-A2C3D6965172},{8B79F084-2FE8-43FE-81EC-B454DB4AAA24},{C2AC8D69-F7E8-45D0-9ACC-1FF41164E617},{08C56B17-A14B-48F1-95B3-2C8A56B44D98},{B55B4424-5BD2-4230-95EE-D046652D578E},{36F36A54-6768-4A6E-926B-6FD4A809EF2F},{CD608734-BDFD-4479-B45A-FA9EAF5B640F},{AF74B504-0E88-46FE-B78D-2C5B486A3E48},{35995721-8FCB-4CC9-A560-3D492512CF52},{7B1300F0-A439-4480-ABF5-039C4646D434},{C06BBC9F-FA9F-4AC6-95C7-7AA0B137B9C3}"/>
  </w:docVars>
  <w:rsids>
    <w:rsidRoot w:val="00820BE6"/>
    <w:rsid w:val="00820BE6"/>
    <w:rsid w:val="00A051F0"/>
    <w:rsid w:val="00D77C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1B83DF-38C1-462F-8317-8A14E51C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autoRedefine/>
    <w:qFormat/>
    <w:pPr>
      <w:spacing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ind w:lef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pPr>
    <w:rPr>
      <w:b/>
    </w:rPr>
  </w:style>
  <w:style w:type="paragraph" w:customStyle="1" w:styleId="Underskrifter">
    <w:name w:val="Underskrifter"/>
    <w:basedOn w:val="Normal"/>
    <w:pPr>
      <w:keepNext/>
      <w:keepLines/>
      <w:suppressAutoHyphens/>
      <w:spacing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Ballongtext">
    <w:name w:val="Balloon Text"/>
    <w:basedOn w:val="Normal"/>
    <w:semiHidden/>
    <w:rPr>
      <w:rFonts w:ascii="Tahoma" w:hAnsi="Tahoma" w:cs="Tahoma"/>
      <w:szCs w:val="16"/>
    </w:rPr>
  </w:style>
  <w:style w:type="character" w:customStyle="1" w:styleId="FotnotstextChar">
    <w:name w:val="Fotnotstext Char"/>
    <w:basedOn w:val="Standardstycketeckensnitt"/>
    <w:link w:val="Fotnotstext"/>
    <w:semiHidden/>
    <w:locked/>
    <w:rPr>
      <w:sz w:val="16"/>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74445">
      <w:bodyDiv w:val="1"/>
      <w:marLeft w:val="0"/>
      <w:marRight w:val="0"/>
      <w:marTop w:val="0"/>
      <w:marBottom w:val="0"/>
      <w:divBdr>
        <w:top w:val="none" w:sz="0" w:space="0" w:color="auto"/>
        <w:left w:val="none" w:sz="0" w:space="0" w:color="auto"/>
        <w:bottom w:val="none" w:sz="0" w:space="0" w:color="auto"/>
        <w:right w:val="none" w:sz="0" w:space="0" w:color="auto"/>
      </w:divBdr>
      <w:divsChild>
        <w:div w:id="2054309113">
          <w:marLeft w:val="-15"/>
          <w:marRight w:val="-15"/>
          <w:marTop w:val="0"/>
          <w:marBottom w:val="0"/>
          <w:divBdr>
            <w:top w:val="none" w:sz="0" w:space="0" w:color="auto"/>
            <w:left w:val="single" w:sz="6" w:space="0" w:color="DADADA"/>
            <w:bottom w:val="none" w:sz="0" w:space="0" w:color="auto"/>
            <w:right w:val="single" w:sz="6" w:space="0" w:color="DADADA"/>
          </w:divBdr>
          <w:divsChild>
            <w:div w:id="1233658839">
              <w:marLeft w:val="0"/>
              <w:marRight w:val="0"/>
              <w:marTop w:val="0"/>
              <w:marBottom w:val="0"/>
              <w:divBdr>
                <w:top w:val="none" w:sz="0" w:space="0" w:color="auto"/>
                <w:left w:val="single" w:sz="48" w:space="0" w:color="FFFFFF"/>
                <w:bottom w:val="none" w:sz="0" w:space="0" w:color="auto"/>
                <w:right w:val="none" w:sz="0" w:space="0" w:color="auto"/>
              </w:divBdr>
              <w:divsChild>
                <w:div w:id="1941718316">
                  <w:marLeft w:val="-15"/>
                  <w:marRight w:val="-15"/>
                  <w:marTop w:val="0"/>
                  <w:marBottom w:val="0"/>
                  <w:divBdr>
                    <w:top w:val="none" w:sz="0" w:space="0" w:color="auto"/>
                    <w:left w:val="single" w:sz="6" w:space="0" w:color="F9C661"/>
                    <w:bottom w:val="none" w:sz="0" w:space="0" w:color="auto"/>
                    <w:right w:val="single" w:sz="6" w:space="0" w:color="DADADA"/>
                  </w:divBdr>
                  <w:divsChild>
                    <w:div w:id="1086264024">
                      <w:marLeft w:val="-30"/>
                      <w:marRight w:val="-45"/>
                      <w:marTop w:val="0"/>
                      <w:marBottom w:val="0"/>
                      <w:divBdr>
                        <w:top w:val="none" w:sz="0" w:space="0" w:color="auto"/>
                        <w:left w:val="none" w:sz="0" w:space="0" w:color="auto"/>
                        <w:bottom w:val="none" w:sz="0" w:space="0" w:color="auto"/>
                        <w:right w:val="none" w:sz="0" w:space="0" w:color="auto"/>
                      </w:divBdr>
                      <w:divsChild>
                        <w:div w:id="1610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3010</Words>
  <Characters>16858</Characters>
  <Application>Microsoft Office Word</Application>
  <DocSecurity>4</DocSecurity>
  <Lines>392</Lines>
  <Paragraphs>151</Paragraphs>
  <ScaleCrop>false</ScaleCrop>
  <HeadingPairs>
    <vt:vector size="2" baseType="variant">
      <vt:variant>
        <vt:lpstr>Rubrik</vt:lpstr>
      </vt:variant>
      <vt:variant>
        <vt:i4>1</vt:i4>
      </vt:variant>
    </vt:vector>
  </HeadingPairs>
  <TitlesOfParts>
    <vt:vector size="1" baseType="lpstr">
      <vt:lpstr>MP2903</vt:lpstr>
    </vt:vector>
  </TitlesOfParts>
  <Company>Riksdagen</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MP2903</dc:title>
  <dc:subject>MP2903</dc:subject>
  <dc:creator>Riksdagen</dc:creator>
  <cp:keywords>Riksdagen</cp:keywords>
  <dc:description/>
  <cp:lastModifiedBy>Lars Brink</cp:lastModifiedBy>
  <cp:revision>2</cp:revision>
  <cp:lastPrinted>2011-11-11T15:22:00Z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mot2000_515_2010-03-25</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2009/10</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Subventioner av 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Subventioner av kärnkraft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Lise Nordin m.fl. (MP)</vt:lpwstr>
  </property>
  <property fmtid="{D5CDD505-2E9C-101B-9397-08002B2CF9AE}" pid="26" name="MotionarLista">
    <vt:lpwstr>Nordin, Lise (MP)\Bergström, Stina (MP)\Ceballos, Bodil (MP)\Leander, Helena (MP)\Mutt, Valter (MP)\Nordqvist, Kew (MP)\Rådberg, Peter (MP)\Lillemets, Annika (MP)\Eriksson, Jonas (MP)\Bolund, Per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Stina Bergström (MP), Bodil Ceballos (MP), Helena Leander (MP), Valter Mutt (MP), Kew Nordqvist (MP), Peter Rådberg (MP), Annika Lillemets (MP), Jonas Eriksson (MP), Per Bolund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20112012000000770080000029030075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20112012000000770080000029030075</vt:lpwstr>
  </property>
  <property fmtid="{D5CDD505-2E9C-101B-9397-08002B2CF9AE}" pid="50" name="nummer">
    <vt:lpwstr>328</vt:lpwstr>
  </property>
  <property fmtid="{D5CDD505-2E9C-101B-9397-08002B2CF9AE}" pid="51" name="utskottsbeteckning">
    <vt:lpwstr>C</vt:lpwstr>
  </property>
  <property fmtid="{D5CDD505-2E9C-101B-9397-08002B2CF9AE}" pid="52" name="GlobalUID">
    <vt:lpwstr>{92EF91C8-7993-47BC-A3D6-BFFF6549D9DA}</vt:lpwstr>
  </property>
  <property fmtid="{D5CDD505-2E9C-101B-9397-08002B2CF9AE}" pid="53" name="Överföringar">
    <vt:i4>0</vt:i4>
  </property>
  <property fmtid="{D5CDD505-2E9C-101B-9397-08002B2CF9AE}" pid="54" name="Checksum">
    <vt:lpwstr>*1013531805869*</vt:lpwstr>
  </property>
  <property fmtid="{D5CDD505-2E9C-101B-9397-08002B2CF9AE}" pid="55" name="skuggnummer">
    <vt:lpwstr>1682</vt:lpwstr>
  </property>
  <property fmtid="{D5CDD505-2E9C-101B-9397-08002B2CF9AE}" pid="56" name="urixVersion">
    <vt:lpwstr>4.5.0.25</vt:lpwstr>
  </property>
  <property fmtid="{D5CDD505-2E9C-101B-9397-08002B2CF9AE}" pid="57" name="urixOrigin">
    <vt:lpwstr>120420 11:03:06.729</vt:lpwstr>
  </property>
  <property fmtid="{D5CDD505-2E9C-101B-9397-08002B2CF9AE}" pid="58" name="urixGuid">
    <vt:lpwstr>{82F6E139-1C76-4E55-9F6B-DADF7ABF4704}</vt:lpwstr>
  </property>
</Properties>
</file>