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305713" w:id="2"/>
    <w:p w:rsidRPr="009B062B" w:rsidR="00AF30DD" w:rsidP="00513F15" w:rsidRDefault="00CD2C03" w14:paraId="6DC9AD7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BCAA7950C5E4FE282C0880D0C3EE7A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ec31379-79ba-490d-b967-34f4d5b532b9"/>
        <w:id w:val="602842747"/>
        <w:lock w:val="sdtLocked"/>
      </w:sdtPr>
      <w:sdtEndPr/>
      <w:sdtContent>
        <w:p w:rsidR="00D74634" w:rsidRDefault="0035213E" w14:paraId="0D1A6F69" w14:textId="77777777">
          <w:pPr>
            <w:pStyle w:val="Frslagstext"/>
          </w:pPr>
          <w:r>
            <w:t>Riksdagen avslår proposition 2025/26:4 i sin helhet.</w:t>
          </w:r>
        </w:p>
      </w:sdtContent>
    </w:sdt>
    <w:sdt>
      <w:sdtPr>
        <w:alias w:val="Yrkande 2"/>
        <w:tag w:val="c9107bb1-4d7e-43fe-b6a5-85fd01431a84"/>
        <w:id w:val="749004922"/>
        <w:lock w:val="sdtLocked"/>
      </w:sdtPr>
      <w:sdtEndPr/>
      <w:sdtContent>
        <w:p w:rsidR="00D74634" w:rsidRDefault="0035213E" w14:paraId="0E2E03BF" w14:textId="77777777">
          <w:pPr>
            <w:pStyle w:val="Frslagstext"/>
          </w:pPr>
          <w:r>
            <w:t>Riksdagen ställer sig bakom det som anförs i motionen om att regeringen skyndsamt bör återkomma med ett omarbetat och tydligt avgränsat förslag i enlighet med motionen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3F052061D18B42B09E721900307026AB"/>
        </w:placeholder>
        <w:text/>
      </w:sdtPr>
      <w:sdtEndPr/>
      <w:sdtContent>
        <w:p w:rsidRPr="00254BB8" w:rsidR="006D79C9" w:rsidP="00254BB8" w:rsidRDefault="00254BB8" w14:paraId="3F85E562" w14:textId="291A4153">
          <w:pPr>
            <w:pStyle w:val="Rubrik1"/>
          </w:pPr>
          <w:r w:rsidRPr="00254BB8">
            <w:t>Inledning</w:t>
          </w:r>
        </w:p>
      </w:sdtContent>
    </w:sdt>
    <w:bookmarkEnd w:displacedByCustomXml="prev" w:id="4"/>
    <w:bookmarkEnd w:displacedByCustomXml="prev" w:id="5"/>
    <w:p w:rsidR="00550D0E" w:rsidP="00254BB8" w:rsidRDefault="00550D0E" w14:paraId="4AB73E99" w14:textId="53B3143B">
      <w:pPr>
        <w:pStyle w:val="Normalutanindragellerluft"/>
      </w:pPr>
      <w:r>
        <w:t>Sverigedemokraternas allmänna utgångspunkt är att EU över</w:t>
      </w:r>
      <w:r w:rsidR="0035213E">
        <w:t xml:space="preserve"> </w:t>
      </w:r>
      <w:r>
        <w:t>huvud</w:t>
      </w:r>
      <w:r w:rsidR="0035213E">
        <w:t xml:space="preserve"> </w:t>
      </w:r>
      <w:r>
        <w:t xml:space="preserve">taget inte borde reglera svensk politisk kommunikation om inte synnerligen starka skäl, </w:t>
      </w:r>
      <w:r w:rsidR="00383621">
        <w:t>så</w:t>
      </w:r>
      <w:r>
        <w:t>som att stävja terrorism, extremism eller liknande</w:t>
      </w:r>
      <w:r w:rsidR="0035213E">
        <w:t>,</w:t>
      </w:r>
      <w:r>
        <w:t xml:space="preserve"> föreligger. Vi anser således att den nu aktuella EU-förordningen är mycket olycklig. Eftersom förordningar till sin natur är tvingande är vi av uppfattningen att den </w:t>
      </w:r>
      <w:r w:rsidR="003C289F">
        <w:t xml:space="preserve">nya </w:t>
      </w:r>
      <w:r>
        <w:t>kompletterande lagen åtminstone ska ligga så nära en mini</w:t>
      </w:r>
      <w:r w:rsidR="00254BB8">
        <w:softHyphen/>
      </w:r>
      <w:r>
        <w:t>miimplementering som möjligt. Regeringens förslag synes gå längre än vad som är nöd</w:t>
      </w:r>
      <w:r w:rsidR="00254BB8">
        <w:softHyphen/>
      </w:r>
      <w:r>
        <w:t>vändigt och vi föreslår således att propositionen avslås och att regeringen återkommer till riksdagen med ett nytt förslag.</w:t>
      </w:r>
    </w:p>
    <w:p w:rsidRPr="00B94247" w:rsidR="00550D0E" w:rsidP="00254BB8" w:rsidRDefault="00550D0E" w14:paraId="26C29107" w14:textId="5654C895">
      <w:r>
        <w:t>Förslaget bör följa följande parametrar:</w:t>
      </w:r>
    </w:p>
    <w:p w:rsidR="00A47DB8" w:rsidP="00254BB8" w:rsidRDefault="00550D0E" w14:paraId="783C5F84" w14:textId="14DB1D3D">
      <w:pPr>
        <w:pStyle w:val="ListaGemener"/>
      </w:pPr>
      <w:r>
        <w:t xml:space="preserve">ingen </w:t>
      </w:r>
      <w:r w:rsidR="00A47DB8">
        <w:t>överimplement</w:t>
      </w:r>
      <w:r>
        <w:t>ering av</w:t>
      </w:r>
      <w:r w:rsidR="00A47DB8">
        <w:t xml:space="preserve"> förordningen (EU) 2024/900</w:t>
      </w:r>
    </w:p>
    <w:p w:rsidR="00A47DB8" w:rsidP="00254BB8" w:rsidRDefault="00550D0E" w14:paraId="3F294E87" w14:textId="3F3F66AE">
      <w:pPr>
        <w:pStyle w:val="ListaGemener"/>
      </w:pPr>
      <w:r>
        <w:t xml:space="preserve">ett </w:t>
      </w:r>
      <w:r w:rsidR="00A47DB8">
        <w:t>tydligt värna</w:t>
      </w:r>
      <w:r>
        <w:t>nde</w:t>
      </w:r>
      <w:r w:rsidR="00A47DB8">
        <w:t xml:space="preserve"> </w:t>
      </w:r>
      <w:r w:rsidR="00AD3F1D">
        <w:t xml:space="preserve">av </w:t>
      </w:r>
      <w:r w:rsidR="0035213E">
        <w:t>t</w:t>
      </w:r>
      <w:r w:rsidR="00A47DB8">
        <w:t>ryckfrihetsförordningen/</w:t>
      </w:r>
      <w:r w:rsidR="0035213E">
        <w:t>y</w:t>
      </w:r>
      <w:r w:rsidR="00A47DB8">
        <w:t>ttrandefrihetsgrundlagen i praktisk tillsyn (en uttrycklig avstå-regel vid konflikt)</w:t>
      </w:r>
    </w:p>
    <w:p w:rsidR="00A47DB8" w:rsidP="00254BB8" w:rsidRDefault="00550D0E" w14:paraId="2EB66963" w14:textId="181BF068">
      <w:pPr>
        <w:pStyle w:val="ListaGemener"/>
      </w:pPr>
      <w:r>
        <w:t xml:space="preserve">enkom </w:t>
      </w:r>
      <w:r w:rsidR="00A47DB8">
        <w:t>statiska hänvisningar</w:t>
      </w:r>
      <w:r w:rsidR="003C289F">
        <w:t xml:space="preserve"> till EU-rätten</w:t>
      </w:r>
      <w:r w:rsidR="00A47DB8">
        <w:t xml:space="preserve"> (med riksdagskontroll och åter</w:t>
      </w:r>
      <w:r w:rsidR="00254BB8">
        <w:softHyphen/>
      </w:r>
      <w:r w:rsidR="00A47DB8">
        <w:t>rapportering vid EU-ändringar)</w:t>
      </w:r>
    </w:p>
    <w:p w:rsidR="00A47DB8" w:rsidP="00254BB8" w:rsidRDefault="00A47DB8" w14:paraId="26F5B45D" w14:textId="0460891C">
      <w:pPr>
        <w:pStyle w:val="ListaGemener"/>
      </w:pPr>
      <w:r>
        <w:t>proportionalitet i sanktioner (varning följt av rättelse och därefter, vid behov, sanktionsavgift; särskilt skydd för små och medelstora företag/ideell sektor)</w:t>
      </w:r>
    </w:p>
    <w:p w:rsidR="00A47DB8" w:rsidP="00254BB8" w:rsidRDefault="00A47DB8" w14:paraId="318D9DF6" w14:textId="32339994">
      <w:pPr>
        <w:pStyle w:val="ListaGemener"/>
      </w:pPr>
      <w:r>
        <w:lastRenderedPageBreak/>
        <w:t>bevisregler och tidsfrister under valperioder</w:t>
      </w:r>
      <w:r w:rsidR="00550D0E">
        <w:t xml:space="preserve"> införs</w:t>
      </w:r>
      <w:r>
        <w:t xml:space="preserve"> (snabbspår i domstol och myndigheter).</w:t>
      </w:r>
    </w:p>
    <w:p w:rsidRPr="00254BB8" w:rsidR="00A47DB8" w:rsidP="00254BB8" w:rsidRDefault="00A47DB8" w14:paraId="7259A61A" w14:textId="2E04F83E">
      <w:pPr>
        <w:pStyle w:val="Rubrik1"/>
      </w:pPr>
      <w:r w:rsidRPr="00254BB8">
        <w:t>Inskränkt möjlighet till opinionsbildning – risk för förbud genom osäkerhet</w:t>
      </w:r>
    </w:p>
    <w:p w:rsidR="00A47DB8" w:rsidP="00254BB8" w:rsidRDefault="00A47DB8" w14:paraId="74461539" w14:textId="02E283FA">
      <w:pPr>
        <w:pStyle w:val="Normalutanindragellerluft"/>
      </w:pPr>
      <w:r>
        <w:t xml:space="preserve">Propositionen kompletterar EU-regler som inte bara gäller transparens utan även materiella begränsningar för politisk annonsering (bl.a. artikel 18: förbud mot profilering med känsliga uppgifter, krav på uttryckligt samtycke, förbud mot inriktning/leverans gentemot personer minst ett år under rösträttsåldern). Dessa begränsningar </w:t>
      </w:r>
      <w:r w:rsidRPr="001367AB">
        <w:t>kopplas i propositionen till sanktioner såsom förelägganden, viten och sanktionsavgifter. I kombination med dynamiska hänvisningar (som låter norm</w:t>
      </w:r>
      <w:r w:rsidR="00254BB8">
        <w:softHyphen/>
      </w:r>
      <w:r w:rsidRPr="001367AB">
        <w:t xml:space="preserve">innehållet skifta </w:t>
      </w:r>
      <w:r w:rsidRPr="001367AB" w:rsidR="00513F15">
        <w:t xml:space="preserve">genom beslut tagna i </w:t>
      </w:r>
      <w:r w:rsidRPr="001367AB">
        <w:t xml:space="preserve">EU utan </w:t>
      </w:r>
      <w:r w:rsidRPr="001367AB" w:rsidR="00550D0E">
        <w:t xml:space="preserve">att ett </w:t>
      </w:r>
      <w:r w:rsidRPr="001367AB">
        <w:t>nytt riksdagsbeslut</w:t>
      </w:r>
      <w:r w:rsidRPr="001367AB" w:rsidR="003C289F">
        <w:t xml:space="preserve"> behöver fattas</w:t>
      </w:r>
      <w:r w:rsidRPr="001367AB">
        <w:t>)</w:t>
      </w:r>
      <w:r w:rsidRPr="001367AB" w:rsidR="00550D0E">
        <w:t xml:space="preserve"> </w:t>
      </w:r>
      <w:r w:rsidRPr="001367AB">
        <w:t>skapa</w:t>
      </w:r>
      <w:r w:rsidRPr="001367AB" w:rsidR="003C289F">
        <w:t>s</w:t>
      </w:r>
      <w:r w:rsidRPr="001367AB">
        <w:t xml:space="preserve"> en</w:t>
      </w:r>
      <w:r>
        <w:t xml:space="preserve"> rättsosäker</w:t>
      </w:r>
      <w:r w:rsidR="00513F15">
        <w:t>het</w:t>
      </w:r>
      <w:r>
        <w:t xml:space="preserve"> där </w:t>
      </w:r>
      <w:r w:rsidR="00513F15">
        <w:t>olika aktörer</w:t>
      </w:r>
      <w:r>
        <w:t xml:space="preserve"> – särskilt små partier, ideella</w:t>
      </w:r>
      <w:r w:rsidR="00513F15">
        <w:t xml:space="preserve"> föreningar</w:t>
      </w:r>
      <w:r>
        <w:t>, lokala medier och enskilda opinionsbildare – riskerar att avstå från laglig annonsering</w:t>
      </w:r>
      <w:r w:rsidR="00513F15">
        <w:t xml:space="preserve"> av oro för att göra fel</w:t>
      </w:r>
      <w:r>
        <w:t>. Effekten</w:t>
      </w:r>
      <w:r w:rsidR="00513F15">
        <w:t xml:space="preserve"> av detta</w:t>
      </w:r>
      <w:r>
        <w:t xml:space="preserve"> blir att </w:t>
      </w:r>
      <w:r w:rsidR="00EA0881">
        <w:t>förutsättningarna</w:t>
      </w:r>
      <w:r w:rsidR="00513F15">
        <w:t xml:space="preserve"> </w:t>
      </w:r>
      <w:r>
        <w:t>för det demokratiska samtalet förändras</w:t>
      </w:r>
      <w:r w:rsidR="003C289F">
        <w:t xml:space="preserve"> i grunden</w:t>
      </w:r>
      <w:r>
        <w:t xml:space="preserve"> och</w:t>
      </w:r>
      <w:r w:rsidR="003C289F">
        <w:t xml:space="preserve"> att</w:t>
      </w:r>
      <w:r>
        <w:t xml:space="preserve"> opinionsbildning i praktiken begränsas</w:t>
      </w:r>
      <w:r w:rsidR="00513F15">
        <w:t xml:space="preserve"> på ett oacceptabelt sätt</w:t>
      </w:r>
      <w:r w:rsidR="0035213E">
        <w:t>, d</w:t>
      </w:r>
      <w:r w:rsidR="00513F15">
        <w:t xml:space="preserve">etta </w:t>
      </w:r>
      <w:r>
        <w:t>trots att innehålle</w:t>
      </w:r>
      <w:r w:rsidR="001367AB">
        <w:t>t</w:t>
      </w:r>
      <w:r>
        <w:t xml:space="preserve"> </w:t>
      </w:r>
      <w:r w:rsidR="00513F15">
        <w:t xml:space="preserve">sannolikt skulle </w:t>
      </w:r>
      <w:r w:rsidR="003C289F">
        <w:t xml:space="preserve">ha </w:t>
      </w:r>
      <w:r w:rsidR="00513F15">
        <w:t>var</w:t>
      </w:r>
      <w:r w:rsidR="003C289F">
        <w:t>it</w:t>
      </w:r>
      <w:r w:rsidR="00513F15">
        <w:t xml:space="preserve"> </w:t>
      </w:r>
      <w:r w:rsidR="00AD3F1D">
        <w:t>tillåtet</w:t>
      </w:r>
      <w:r>
        <w:t xml:space="preserve"> enligt </w:t>
      </w:r>
      <w:r w:rsidR="001367AB">
        <w:t>s</w:t>
      </w:r>
      <w:r w:rsidR="00513F15">
        <w:t>vensk grundlag</w:t>
      </w:r>
      <w:r>
        <w:t>.</w:t>
      </w:r>
    </w:p>
    <w:p w:rsidRPr="00254BB8" w:rsidR="00A47DB8" w:rsidP="00254BB8" w:rsidRDefault="00A47DB8" w14:paraId="3FA92D8F" w14:textId="265D6843">
      <w:pPr>
        <w:pStyle w:val="Rubrik1"/>
      </w:pPr>
      <w:r w:rsidRPr="00254BB8">
        <w:t>Grundlagssamspel och begreppsförväxling</w:t>
      </w:r>
    </w:p>
    <w:p w:rsidR="00B94247" w:rsidP="00254BB8" w:rsidRDefault="00A47DB8" w14:paraId="75197E8E" w14:textId="46EDB828">
      <w:pPr>
        <w:pStyle w:val="Normalutanindragellerluft"/>
      </w:pPr>
      <w:r>
        <w:t>Remissinstanser (bl.a. Tidningsutgivarna och TV4 Media) har varnat för begrepps</w:t>
      </w:r>
      <w:r w:rsidR="00254BB8">
        <w:softHyphen/>
      </w:r>
      <w:r>
        <w:t xml:space="preserve">förväxling mellan mediegrundlagarnas ”utgivare” och förordningens ”utgivare av politisk reklam”. </w:t>
      </w:r>
      <w:r w:rsidR="00EA0881">
        <w:t>Sverigedemokraterna är över</w:t>
      </w:r>
      <w:r w:rsidR="0035213E">
        <w:t xml:space="preserve"> </w:t>
      </w:r>
      <w:r w:rsidR="00EA0881">
        <w:t>huvud</w:t>
      </w:r>
      <w:r w:rsidR="0035213E">
        <w:t xml:space="preserve"> </w:t>
      </w:r>
      <w:r w:rsidR="00EA0881">
        <w:t>taget mycket kritiska till att börja tillämpa EU-rättsliga begrepp i en svensk kontext utan att dessa omformuleras till vedertagna svenska juridiska motsvarigheter</w:t>
      </w:r>
      <w:r w:rsidR="003C289F">
        <w:t>;</w:t>
      </w:r>
      <w:r w:rsidR="00B94247">
        <w:t xml:space="preserve"> detta är ett av många skäl till </w:t>
      </w:r>
      <w:r w:rsidR="0035213E">
        <w:t>att</w:t>
      </w:r>
      <w:r w:rsidR="00B94247">
        <w:t xml:space="preserve"> EU-förordningar är så problematiska</w:t>
      </w:r>
      <w:r w:rsidR="00EA0881">
        <w:t>. Det gör sig synnerligen</w:t>
      </w:r>
      <w:r w:rsidR="003C289F">
        <w:t xml:space="preserve"> gällande</w:t>
      </w:r>
      <w:r w:rsidR="00EA0881">
        <w:t xml:space="preserve"> när </w:t>
      </w:r>
      <w:r w:rsidR="00AD3F1D">
        <w:t xml:space="preserve">uttrycket </w:t>
      </w:r>
      <w:r w:rsidR="00EA0881">
        <w:t>är så lätt att förväxla med ett så väletablerat begrepp som utgivare</w:t>
      </w:r>
      <w:r w:rsidR="0035213E">
        <w:t>. D</w:t>
      </w:r>
      <w:r w:rsidR="00B94247">
        <w:t>etta är mycket olyckligt</w:t>
      </w:r>
      <w:r>
        <w:t xml:space="preserve">. </w:t>
      </w:r>
    </w:p>
    <w:p w:rsidR="00A47DB8" w:rsidP="00254BB8" w:rsidRDefault="00A47DB8" w14:paraId="00FA0549" w14:textId="6C295493">
      <w:r w:rsidRPr="001367AB">
        <w:t xml:space="preserve">Därtill bör svensk rätt </w:t>
      </w:r>
      <w:r w:rsidRPr="001367AB" w:rsidR="00EE288B">
        <w:t>tillföras</w:t>
      </w:r>
      <w:r w:rsidRPr="00383621" w:rsidR="00EE288B">
        <w:t xml:space="preserve"> </w:t>
      </w:r>
      <w:r w:rsidRPr="001367AB">
        <w:t xml:space="preserve">en uttrycklig avstå-regel: en bestämmelse som ålägger tillsynsmyndigheten att avstå från åtgärder (t.ex. förelägganden eller sanktioner) när ett ingripande riskerar att komma i konflikt med TF/YGL. En sådan regel </w:t>
      </w:r>
      <w:r w:rsidRPr="001367AB" w:rsidR="00EE288B">
        <w:t>skulle fungera</w:t>
      </w:r>
      <w:r w:rsidRPr="00383621" w:rsidR="00EE288B">
        <w:t xml:space="preserve"> </w:t>
      </w:r>
      <w:r w:rsidRPr="001367AB">
        <w:t xml:space="preserve">som en inbyggd spärr mot innehållsstyrning i grundlagsskyddade </w:t>
      </w:r>
      <w:r w:rsidRPr="001367AB" w:rsidR="00EE288B">
        <w:t>medier</w:t>
      </w:r>
      <w:r w:rsidRPr="00383621" w:rsidR="00EE288B">
        <w:t xml:space="preserve"> </w:t>
      </w:r>
      <w:r w:rsidRPr="001367AB">
        <w:t xml:space="preserve">och </w:t>
      </w:r>
      <w:r w:rsidRPr="001367AB" w:rsidR="00EE288B">
        <w:t xml:space="preserve">skydda </w:t>
      </w:r>
      <w:r w:rsidR="00EE288B">
        <w:t>mot otillbörliga myndighetsingripanden</w:t>
      </w:r>
      <w:r>
        <w:t>.</w:t>
      </w:r>
    </w:p>
    <w:p w:rsidRPr="00254BB8" w:rsidR="00A47DB8" w:rsidP="00254BB8" w:rsidRDefault="00A47DB8" w14:paraId="12A96D81" w14:textId="089E6ED6">
      <w:pPr>
        <w:pStyle w:val="Rubrik1"/>
      </w:pPr>
      <w:r w:rsidRPr="00254BB8">
        <w:t>Sanktioner och viten – behov av graderad stege</w:t>
      </w:r>
    </w:p>
    <w:p w:rsidR="00A47DB8" w:rsidP="00254BB8" w:rsidRDefault="00A47DB8" w14:paraId="08DAB93F" w14:textId="28BEA210">
      <w:pPr>
        <w:pStyle w:val="Normalutanindragellerluft"/>
      </w:pPr>
      <w:r w:rsidRPr="001367AB">
        <w:t xml:space="preserve">Propositionen öppnar för betydande sanktionsavgifter och viten. Utan lagfäst sanktionsstege: varning följt av rättelse och därefter, vid behov, sanktionsavgift, samt tydliga kriterier för försvårande/förmildrande omständigheter riskerar regelverket </w:t>
      </w:r>
      <w:r w:rsidR="0035213E">
        <w:t xml:space="preserve">att </w:t>
      </w:r>
      <w:r w:rsidRPr="001367AB">
        <w:t>få en mer restriktiv effekt än vad som är nödvändigt, då det riskerar att leda till över</w:t>
      </w:r>
      <w:r w:rsidR="00254BB8">
        <w:softHyphen/>
      </w:r>
      <w:r w:rsidRPr="001367AB">
        <w:t>efterlevnad och självcensur. Detta hämmar särskilt resurssvaga aktörer och minskar mångfalden i opinionsbildningen.</w:t>
      </w:r>
    </w:p>
    <w:p w:rsidRPr="00254BB8" w:rsidR="00A47DB8" w:rsidP="00254BB8" w:rsidRDefault="00A47DB8" w14:paraId="1A83C92A" w14:textId="77D00BDD">
      <w:pPr>
        <w:pStyle w:val="Rubrik1"/>
      </w:pPr>
      <w:r w:rsidRPr="00254BB8">
        <w:lastRenderedPageBreak/>
        <w:t>Marknadsläget – Meta och Google inför långtgående begränsningar</w:t>
      </w:r>
    </w:p>
    <w:p w:rsidR="00A47DB8" w:rsidP="00254BB8" w:rsidRDefault="00A47DB8" w14:paraId="4CC90DA0" w14:textId="3931510A">
      <w:pPr>
        <w:pStyle w:val="Normalutanindragellerluft"/>
      </w:pPr>
      <w:r w:rsidRPr="001367AB">
        <w:t xml:space="preserve">Sedan förordningen antogs har Meta meddelat att bolaget </w:t>
      </w:r>
      <w:r w:rsidR="0035213E">
        <w:t>fr.o.m.</w:t>
      </w:r>
      <w:r w:rsidRPr="001367AB">
        <w:t xml:space="preserve"> början av oktober 2025 stoppar all politisk</w:t>
      </w:r>
      <w:r w:rsidR="0035213E">
        <w:t xml:space="preserve"> annonsering samt</w:t>
      </w:r>
      <w:r w:rsidRPr="001367AB">
        <w:t xml:space="preserve"> val- och samhällsannonsering i EU, med hänvisning till ”betydande operativa utmaningar och juridiska oklarheter” under de nya reglerna för politisk reklam. Även Google har ändrat sina policy</w:t>
      </w:r>
      <w:r w:rsidR="0035213E">
        <w:t>er</w:t>
      </w:r>
      <w:r w:rsidRPr="001367AB">
        <w:t xml:space="preserve"> och pausar politiska annonser i EU med hänvisning till samma regelverk. Dessa beslut innebär ett </w:t>
      </w:r>
      <w:r w:rsidR="00B94247">
        <w:t>konkret och problematiskt</w:t>
      </w:r>
      <w:r w:rsidRPr="00383621" w:rsidR="00B94247">
        <w:t xml:space="preserve"> </w:t>
      </w:r>
      <w:r w:rsidRPr="001367AB">
        <w:t>bortfall av annonskanaler för laglig politisk kommunikation</w:t>
      </w:r>
      <w:r w:rsidR="00B94247">
        <w:t xml:space="preserve"> givet hur många som får sin information från dessa kanaler. Detta är närmast ett kvitto på den berättigade oro som finns om att en</w:t>
      </w:r>
      <w:r w:rsidRPr="00383621">
        <w:t xml:space="preserve"> överförsiktighet</w:t>
      </w:r>
      <w:r w:rsidR="00B94247">
        <w:t xml:space="preserve"> riskerar</w:t>
      </w:r>
      <w:r w:rsidR="0035213E">
        <w:t xml:space="preserve"> att</w:t>
      </w:r>
      <w:r w:rsidR="00B94247">
        <w:t xml:space="preserve"> infinna sig hos olika utgivare</w:t>
      </w:r>
      <w:r w:rsidRPr="001367AB">
        <w:t xml:space="preserve"> och därmed</w:t>
      </w:r>
      <w:r w:rsidR="00B94247">
        <w:t xml:space="preserve"> leda till faktiska</w:t>
      </w:r>
      <w:r w:rsidRPr="00383621">
        <w:t xml:space="preserve"> inskränkningar i opinionsbildningen</w:t>
      </w:r>
      <w:r w:rsidRPr="001367AB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C1EF64C65774D4F91F18008ED6CB6AC"/>
        </w:placeholder>
      </w:sdtPr>
      <w:sdtEndPr/>
      <w:sdtContent>
        <w:p w:rsidR="00513F15" w:rsidP="00370693" w:rsidRDefault="00513F15" w14:paraId="31D2615E" w14:textId="77777777"/>
        <w:p w:rsidR="00513F15" w:rsidP="00370693" w:rsidRDefault="00CD2C03" w14:paraId="3AFF7FF6" w14:textId="52A0AE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74634" w14:paraId="706DA86A" w14:textId="77777777">
        <w:trPr>
          <w:cantSplit/>
        </w:trPr>
        <w:tc>
          <w:tcPr>
            <w:tcW w:w="50" w:type="pct"/>
            <w:vAlign w:val="bottom"/>
          </w:tcPr>
          <w:p w:rsidR="00D74634" w:rsidRDefault="0035213E" w14:paraId="05437F6B" w14:textId="77777777">
            <w:pPr>
              <w:pStyle w:val="Underskrifter"/>
              <w:spacing w:after="0"/>
            </w:pPr>
            <w:r>
              <w:t>Michael Rubbestad (SD)</w:t>
            </w:r>
          </w:p>
        </w:tc>
        <w:tc>
          <w:tcPr>
            <w:tcW w:w="50" w:type="pct"/>
            <w:vAlign w:val="bottom"/>
          </w:tcPr>
          <w:p w:rsidR="00D74634" w:rsidRDefault="00D74634" w14:paraId="097BE0D9" w14:textId="77777777">
            <w:pPr>
              <w:pStyle w:val="Underskrifter"/>
              <w:spacing w:after="0"/>
            </w:pPr>
          </w:p>
        </w:tc>
      </w:tr>
      <w:tr w:rsidR="00D74634" w14:paraId="2986289C" w14:textId="77777777">
        <w:trPr>
          <w:cantSplit/>
        </w:trPr>
        <w:tc>
          <w:tcPr>
            <w:tcW w:w="50" w:type="pct"/>
            <w:vAlign w:val="bottom"/>
          </w:tcPr>
          <w:p w:rsidR="00D74634" w:rsidRDefault="0035213E" w14:paraId="39E2E491" w14:textId="77777777"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 w:rsidR="00D74634" w:rsidRDefault="0035213E" w14:paraId="50676478" w14:textId="77777777">
            <w:pPr>
              <w:pStyle w:val="Underskrifter"/>
              <w:spacing w:after="0"/>
            </w:pPr>
            <w:r>
              <w:t>Martin Westmont (SD)</w:t>
            </w:r>
          </w:p>
        </w:tc>
      </w:tr>
      <w:tr w:rsidR="00D74634" w14:paraId="2C60508A" w14:textId="77777777">
        <w:trPr>
          <w:cantSplit/>
        </w:trPr>
        <w:tc>
          <w:tcPr>
            <w:tcW w:w="50" w:type="pct"/>
            <w:vAlign w:val="bottom"/>
          </w:tcPr>
          <w:p w:rsidR="00D74634" w:rsidRDefault="0035213E" w14:paraId="1AD0BA6C" w14:textId="77777777">
            <w:pPr>
              <w:pStyle w:val="Underskrifter"/>
              <w:spacing w:after="0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 w:rsidR="00D74634" w:rsidRDefault="00D74634" w14:paraId="548C7B3A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081E435A" w14:textId="76DCCAEB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CE377" w14:textId="77777777" w:rsidR="00A47DB8" w:rsidRDefault="00A47DB8" w:rsidP="000C1CAD">
      <w:pPr>
        <w:spacing w:line="240" w:lineRule="auto"/>
      </w:pPr>
      <w:r>
        <w:separator/>
      </w:r>
    </w:p>
  </w:endnote>
  <w:endnote w:type="continuationSeparator" w:id="0">
    <w:p w14:paraId="75E40597" w14:textId="77777777" w:rsidR="00A47DB8" w:rsidRDefault="00A47D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ABC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2C0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5D67" w14:textId="13677620" w:rsidR="00262EA3" w:rsidRPr="00370693" w:rsidRDefault="00262EA3" w:rsidP="003706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CBAE" w14:textId="77777777" w:rsidR="00A47DB8" w:rsidRDefault="00A47DB8" w:rsidP="000C1CAD">
      <w:pPr>
        <w:spacing w:line="240" w:lineRule="auto"/>
      </w:pPr>
      <w:r>
        <w:separator/>
      </w:r>
    </w:p>
  </w:footnote>
  <w:footnote w:type="continuationSeparator" w:id="0">
    <w:p w14:paraId="7A307B5D" w14:textId="77777777" w:rsidR="00A47DB8" w:rsidRDefault="00A47D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200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147E618" wp14:editId="6E53092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F0B15D" w14:textId="29C8FCEB" w:rsidR="00262EA3" w:rsidRDefault="00CD2C0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A51A6D225B4721AEC68F2F83E46C43"/>
                              </w:placeholder>
                              <w:text/>
                            </w:sdtPr>
                            <w:sdtEndPr/>
                            <w:sdtContent>
                              <w:r w:rsidR="00A47DB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561B476479E4B22A0ACD3A4A163777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47E61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7F0B15D" w14:textId="29C8FCEB" w:rsidR="00262EA3" w:rsidRDefault="00B176F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A51A6D225B4721AEC68F2F83E46C43"/>
                        </w:placeholder>
                        <w:text/>
                      </w:sdtPr>
                      <w:sdtEndPr/>
                      <w:sdtContent>
                        <w:r w:rsidR="00A47DB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561B476479E4B22A0ACD3A4A163777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81B9F7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5F5B2" w14:textId="77777777" w:rsidR="00262EA3" w:rsidRDefault="00262EA3" w:rsidP="008563AC">
    <w:pPr>
      <w:jc w:val="right"/>
    </w:pPr>
  </w:p>
  <w:p w14:paraId="659F941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305711"/>
  <w:bookmarkStart w:id="7" w:name="_Hlk210305712"/>
  <w:p w14:paraId="2E232DCB" w14:textId="77777777" w:rsidR="00262EA3" w:rsidRDefault="00CD2C0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293D0E7" wp14:editId="7BC1E16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6A09526" w14:textId="2DCDF8FF" w:rsidR="00262EA3" w:rsidRDefault="00CD2C0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70693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47DB8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67B3CA8974F94C31B2672CAEB4558963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29868276" w14:textId="77777777" w:rsidR="00262EA3" w:rsidRPr="008227B3" w:rsidRDefault="00CD2C0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47B06D" w14:textId="1D62BE51" w:rsidR="00262EA3" w:rsidRPr="008227B3" w:rsidRDefault="00CD2C0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efaultPlaceholder_-1854013440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069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543E261CC6F249568478EC8633CE51FD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70693">
          <w:t>:1426</w:t>
        </w:r>
      </w:sdtContent>
    </w:sdt>
  </w:p>
  <w:p w14:paraId="61480AFB" w14:textId="44672BBE" w:rsidR="00262EA3" w:rsidRDefault="00CD2C0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FA51A6D225B4721AEC68F2F83E46C43"/>
        </w:placeholder>
        <w15:appearance w15:val="hidden"/>
        <w:text/>
      </w:sdtPr>
      <w:sdtEndPr/>
      <w:sdtContent>
        <w:r w:rsidR="00370693">
          <w:t>av Michael Rubbestad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561B476479E4B22A0ACD3A4A1637778"/>
      </w:placeholder>
      <w:text/>
    </w:sdtPr>
    <w:sdtEndPr/>
    <w:sdtContent>
      <w:p w14:paraId="23DA20AB" w14:textId="46540952" w:rsidR="00262EA3" w:rsidRDefault="00A47DB8" w:rsidP="00283E0F">
        <w:pPr>
          <w:pStyle w:val="FSHRub2"/>
        </w:pPr>
        <w:r>
          <w:t>med anledning av prop. 2025/26:4 Kompletterande bestämmelser till EU:s förordning om politisk reklam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223FFAA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294907"/>
    <w:multiLevelType w:val="hybridMultilevel"/>
    <w:tmpl w:val="85E2A5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1"/>
  </w:num>
  <w:num w:numId="31">
    <w:abstractNumId w:val="21"/>
  </w:num>
  <w:num w:numId="32">
    <w:abstractNumId w:val="23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 w:numId="41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47DB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7AB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BB8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13E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69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621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9F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1C2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3F15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0D0E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830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47DB8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3F1D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6F1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247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2C03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634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881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88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D649F6"/>
  <w15:chartTrackingRefBased/>
  <w15:docId w15:val="{DE3EFA61-F606-4ECE-ADD0-14B12C8B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CAA7950C5E4FE282C0880D0C3EE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2A5F26-468B-4120-9CB9-9BDA7BCA3B83}"/>
      </w:docPartPr>
      <w:docPartBody>
        <w:p w:rsidR="00ED3E6B" w:rsidRDefault="004A0ABA">
          <w:pPr>
            <w:pStyle w:val="CBCAA7950C5E4FE282C0880D0C3EE7A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F052061D18B42B09E721900307026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F3B4B2-4F29-48CE-8F2F-D92049CB967E}"/>
      </w:docPartPr>
      <w:docPartBody>
        <w:p w:rsidR="00ED3E6B" w:rsidRDefault="004A0ABA">
          <w:pPr>
            <w:pStyle w:val="3F052061D18B42B09E721900307026A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A51A6D225B4721AEC68F2F83E46C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1D52C-A28B-4B51-88E3-4E482A81E6DF}"/>
      </w:docPartPr>
      <w:docPartBody>
        <w:p w:rsidR="00ED3E6B" w:rsidRDefault="004A0ABA">
          <w:pPr>
            <w:pStyle w:val="5FA51A6D225B4721AEC68F2F83E46C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561B476479E4B22A0ACD3A4A1637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C968F-4955-472A-AF25-412D5B9DD788}"/>
      </w:docPartPr>
      <w:docPartBody>
        <w:p w:rsidR="00ED3E6B" w:rsidRDefault="002A31F0">
          <w:pPr>
            <w:pStyle w:val="F561B476479E4B22A0ACD3A4A1637778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A2F7E-F31A-4B39-B239-39C00E42A116}"/>
      </w:docPartPr>
      <w:docPartBody>
        <w:p w:rsidR="00ED3E6B" w:rsidRDefault="004A0ABA">
          <w:r w:rsidRPr="008F77E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1EF64C65774D4F91F18008ED6CB6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D71594-AFB7-4E71-B1EB-827F8D1A7A5C}"/>
      </w:docPartPr>
      <w:docPartBody>
        <w:p w:rsidR="002A31F0" w:rsidRDefault="002A31F0"/>
      </w:docPartBody>
    </w:docPart>
    <w:docPart>
      <w:docPartPr>
        <w:name w:val="67B3CA8974F94C31B2672CAEB4558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CF7B5-62FA-4239-BEAC-08D43CBA13E5}"/>
      </w:docPartPr>
      <w:docPartBody>
        <w:p w:rsidR="001C45F1" w:rsidRDefault="002A31F0">
          <w:r>
            <w:t xml:space="preserve"> </w:t>
          </w:r>
        </w:p>
      </w:docPartBody>
    </w:docPart>
    <w:docPart>
      <w:docPartPr>
        <w:name w:val="543E261CC6F249568478EC8633CE5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7F8EEA-B1F7-49FE-8FE2-125DC8275AE1}"/>
      </w:docPartPr>
      <w:docPartBody>
        <w:p w:rsidR="001C45F1" w:rsidRDefault="002A31F0">
          <w:r>
            <w:t>:1426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BA"/>
    <w:rsid w:val="001C45F1"/>
    <w:rsid w:val="002A31F0"/>
    <w:rsid w:val="004A0ABA"/>
    <w:rsid w:val="00ED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A0ABA"/>
    <w:rPr>
      <w:color w:val="F4B083" w:themeColor="accent2" w:themeTint="99"/>
    </w:rPr>
  </w:style>
  <w:style w:type="paragraph" w:customStyle="1" w:styleId="CBCAA7950C5E4FE282C0880D0C3EE7AC">
    <w:name w:val="CBCAA7950C5E4FE282C0880D0C3EE7AC"/>
  </w:style>
  <w:style w:type="paragraph" w:customStyle="1" w:styleId="3F052061D18B42B09E721900307026AB">
    <w:name w:val="3F052061D18B42B09E721900307026AB"/>
  </w:style>
  <w:style w:type="paragraph" w:customStyle="1" w:styleId="5FA51A6D225B4721AEC68F2F83E46C43">
    <w:name w:val="5FA51A6D225B4721AEC68F2F83E46C43"/>
  </w:style>
  <w:style w:type="paragraph" w:customStyle="1" w:styleId="F561B476479E4B22A0ACD3A4A1637778">
    <w:name w:val="F561B476479E4B22A0ACD3A4A16377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3D3A19-B2C3-4399-B917-E054C15E4D9D}"/>
</file>

<file path=customXml/itemProps2.xml><?xml version="1.0" encoding="utf-8"?>
<ds:datastoreItem xmlns:ds="http://schemas.openxmlformats.org/officeDocument/2006/customXml" ds:itemID="{5C04CF9D-9E61-460A-A08C-82AF3664F850}"/>
</file>

<file path=customXml/itemProps3.xml><?xml version="1.0" encoding="utf-8"?>
<ds:datastoreItem xmlns:ds="http://schemas.openxmlformats.org/officeDocument/2006/customXml" ds:itemID="{667CE4CE-8307-43ED-B2C2-DE8991C7D0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676</Words>
  <Characters>4401</Characters>
  <Application>Microsoft Office Word</Application>
  <DocSecurity>0</DocSecurity>
  <Lines>78</Lines>
  <Paragraphs>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2025 26 4 Kompletterande bestämmelser till EU s förordning om politisk reklam</vt:lpstr>
      <vt:lpstr>
      </vt:lpstr>
    </vt:vector>
  </TitlesOfParts>
  <Company>Sveriges riksdag</Company>
  <LinksUpToDate>false</LinksUpToDate>
  <CharactersWithSpaces>5050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