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223BF8">
              <w:rPr>
                <w:b/>
                <w:szCs w:val="24"/>
              </w:rPr>
              <w:t>3</w:t>
            </w:r>
            <w:r w:rsidR="004A3ADC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555C98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64295B">
              <w:rPr>
                <w:szCs w:val="24"/>
              </w:rPr>
              <w:t>1</w:t>
            </w:r>
            <w:r w:rsidR="00896E93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B4084A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F325CF">
              <w:rPr>
                <w:szCs w:val="24"/>
              </w:rPr>
              <w:t>11.40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555C98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F325CF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F325CF">
              <w:rPr>
                <w:snapToGrid w:val="0"/>
                <w:szCs w:val="24"/>
              </w:rPr>
              <w:t xml:space="preserve">: </w:t>
            </w:r>
            <w:r w:rsidR="00CD60D6" w:rsidRPr="00F325CF">
              <w:rPr>
                <w:snapToGrid w:val="0"/>
                <w:szCs w:val="24"/>
              </w:rPr>
              <w:t>Larry Söder (KD)</w:t>
            </w:r>
            <w:r w:rsidR="00FA15AF" w:rsidRPr="00F325CF">
              <w:rPr>
                <w:snapToGrid w:val="0"/>
                <w:szCs w:val="24"/>
              </w:rPr>
              <w:t>,</w:t>
            </w:r>
            <w:r w:rsidR="00710468" w:rsidRPr="00F325CF">
              <w:rPr>
                <w:snapToGrid w:val="0"/>
                <w:szCs w:val="24"/>
              </w:rPr>
              <w:t xml:space="preserve"> </w:t>
            </w:r>
            <w:r w:rsidR="000D5D7F" w:rsidRPr="00F325CF">
              <w:rPr>
                <w:snapToGrid w:val="0"/>
                <w:szCs w:val="24"/>
              </w:rPr>
              <w:t>Johan Löfstrand (S),</w:t>
            </w:r>
            <w:r w:rsidR="00F325CF" w:rsidRPr="00F325CF">
              <w:rPr>
                <w:snapToGrid w:val="0"/>
                <w:szCs w:val="24"/>
              </w:rPr>
              <w:t xml:space="preserve"> </w:t>
            </w:r>
            <w:r w:rsidR="00E6630C" w:rsidRPr="00F325CF">
              <w:rPr>
                <w:snapToGrid w:val="0"/>
                <w:szCs w:val="24"/>
              </w:rPr>
              <w:t>Carl-Oskar Bohlin</w:t>
            </w:r>
            <w:r w:rsidRPr="00F325CF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Lars Beckman (M), Sanne Lennström (S), </w:t>
            </w:r>
            <w:r w:rsidR="000D5D7F" w:rsidRPr="00F325CF">
              <w:rPr>
                <w:snapToGrid w:val="0"/>
                <w:szCs w:val="24"/>
              </w:rPr>
              <w:t xml:space="preserve">Joakim Järrebring (S), </w:t>
            </w:r>
            <w:r w:rsidR="00054112" w:rsidRPr="00F325CF">
              <w:rPr>
                <w:snapToGrid w:val="0"/>
                <w:szCs w:val="24"/>
              </w:rPr>
              <w:t xml:space="preserve">Robert Hannah (L), </w:t>
            </w:r>
            <w:r w:rsidRPr="00F325CF">
              <w:rPr>
                <w:snapToGrid w:val="0"/>
                <w:szCs w:val="24"/>
              </w:rPr>
              <w:t xml:space="preserve">Angelica Lundberg (SD), </w:t>
            </w:r>
            <w:r w:rsidR="00F73089" w:rsidRPr="00F325CF">
              <w:rPr>
                <w:snapToGrid w:val="0"/>
                <w:szCs w:val="24"/>
              </w:rPr>
              <w:t xml:space="preserve">David Josefsson (M), </w:t>
            </w:r>
            <w:r w:rsidRPr="00F325CF">
              <w:rPr>
                <w:snapToGrid w:val="0"/>
                <w:szCs w:val="24"/>
              </w:rPr>
              <w:t>Ola Möller (S),</w:t>
            </w:r>
            <w:r w:rsidR="008A6A3A" w:rsidRPr="00F325CF">
              <w:rPr>
                <w:snapToGrid w:val="0"/>
                <w:szCs w:val="24"/>
              </w:rPr>
              <w:t xml:space="preserve"> </w:t>
            </w:r>
            <w:r w:rsidR="008B3709" w:rsidRPr="00F325CF">
              <w:rPr>
                <w:snapToGrid w:val="0"/>
                <w:szCs w:val="24"/>
              </w:rPr>
              <w:t xml:space="preserve">Catarina Deremar (C), </w:t>
            </w:r>
            <w:r w:rsidR="008A6A3A" w:rsidRPr="00F325CF">
              <w:rPr>
                <w:snapToGrid w:val="0"/>
                <w:szCs w:val="24"/>
              </w:rPr>
              <w:t>Jon Thorbjörnson (V)</w:t>
            </w:r>
            <w:r w:rsidR="00E10B03" w:rsidRPr="00F325CF">
              <w:rPr>
                <w:snapToGrid w:val="0"/>
                <w:szCs w:val="24"/>
              </w:rPr>
              <w:t>, Malin Danielsson</w:t>
            </w:r>
            <w:r w:rsidR="00F73089" w:rsidRPr="00F325CF">
              <w:rPr>
                <w:snapToGrid w:val="0"/>
                <w:szCs w:val="24"/>
              </w:rPr>
              <w:t xml:space="preserve"> (L)</w:t>
            </w:r>
            <w:r w:rsidR="00F325CF" w:rsidRPr="00F325CF">
              <w:rPr>
                <w:snapToGrid w:val="0"/>
                <w:szCs w:val="24"/>
              </w:rPr>
              <w:t xml:space="preserve"> </w:t>
            </w:r>
            <w:r w:rsidR="00F73089" w:rsidRPr="00F325CF">
              <w:rPr>
                <w:snapToGrid w:val="0"/>
                <w:szCs w:val="24"/>
              </w:rPr>
              <w:t>och Johnny Skalin (SD).</w:t>
            </w:r>
          </w:p>
          <w:p w:rsidR="00054112" w:rsidRPr="00F325CF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DE7817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325CF">
              <w:rPr>
                <w:snapToGrid w:val="0"/>
                <w:szCs w:val="24"/>
              </w:rPr>
              <w:t>T</w:t>
            </w:r>
            <w:r w:rsidR="00F73089" w:rsidRPr="00F325CF">
              <w:rPr>
                <w:snapToGrid w:val="0"/>
                <w:szCs w:val="24"/>
              </w:rPr>
              <w:t>vå</w:t>
            </w:r>
            <w:r w:rsidRPr="00F325CF">
              <w:rPr>
                <w:snapToGrid w:val="0"/>
                <w:szCs w:val="24"/>
              </w:rPr>
              <w:t xml:space="preserve"> </w:t>
            </w:r>
            <w:r w:rsidR="00E6630C" w:rsidRPr="00F325CF">
              <w:rPr>
                <w:snapToGrid w:val="0"/>
                <w:szCs w:val="24"/>
              </w:rPr>
              <w:t>tjänstem</w:t>
            </w:r>
            <w:r w:rsidR="00E27850" w:rsidRPr="00F325CF">
              <w:rPr>
                <w:snapToGrid w:val="0"/>
                <w:szCs w:val="24"/>
              </w:rPr>
              <w:t>ä</w:t>
            </w:r>
            <w:r w:rsidR="00E6630C" w:rsidRPr="00F325CF">
              <w:rPr>
                <w:snapToGrid w:val="0"/>
                <w:szCs w:val="24"/>
              </w:rPr>
              <w:t>n fr</w:t>
            </w:r>
            <w:r w:rsidR="00E6630C" w:rsidRPr="009371A8">
              <w:rPr>
                <w:snapToGrid w:val="0"/>
                <w:szCs w:val="24"/>
              </w:rPr>
              <w:t xml:space="preserve">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4084A" w:rsidRPr="00BA38FB" w:rsidTr="00555C98">
        <w:tc>
          <w:tcPr>
            <w:tcW w:w="567" w:type="dxa"/>
          </w:tcPr>
          <w:p w:rsidR="00B4084A" w:rsidRPr="00BA38FB" w:rsidRDefault="00B4084A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4084A" w:rsidRDefault="00B4084A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EU-nämnden</w:t>
            </w:r>
          </w:p>
          <w:p w:rsidR="00B4084A" w:rsidRDefault="00B4084A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4084A" w:rsidRDefault="00865ED4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Ordföranden i riksdagens EU-nämnd,</w:t>
            </w:r>
            <w:r w:rsidRPr="001F1D0E">
              <w:rPr>
                <w:snapToGrid w:val="0"/>
                <w:szCs w:val="24"/>
              </w:rPr>
              <w:t xml:space="preserve"> </w:t>
            </w:r>
            <w:r w:rsidR="001F1D0E" w:rsidRPr="001F1D0E">
              <w:rPr>
                <w:snapToGrid w:val="0"/>
                <w:szCs w:val="24"/>
              </w:rPr>
              <w:t>Pyry Niemi (S)</w:t>
            </w:r>
            <w:r w:rsidR="001F1D0E">
              <w:rPr>
                <w:snapToGrid w:val="0"/>
                <w:szCs w:val="24"/>
              </w:rPr>
              <w:t xml:space="preserve">, </w:t>
            </w:r>
            <w:r w:rsidR="001F1D0E" w:rsidRPr="001F1D0E">
              <w:rPr>
                <w:snapToGrid w:val="0"/>
                <w:szCs w:val="24"/>
              </w:rPr>
              <w:t>informerade om arbetet i EU-nämnd</w:t>
            </w:r>
            <w:r w:rsidR="001F1D0E">
              <w:rPr>
                <w:snapToGrid w:val="0"/>
                <w:szCs w:val="24"/>
              </w:rPr>
              <w:t>en</w:t>
            </w:r>
            <w:r w:rsidR="001F1D0E" w:rsidRPr="001F1D0E">
              <w:rPr>
                <w:snapToGrid w:val="0"/>
                <w:szCs w:val="24"/>
              </w:rPr>
              <w:t>.</w:t>
            </w:r>
            <w:r w:rsidR="001F1D0E">
              <w:rPr>
                <w:snapToGrid w:val="0"/>
                <w:szCs w:val="24"/>
              </w:rPr>
              <w:t xml:space="preserve"> Pyry Niemi deltog på distans. </w:t>
            </w:r>
          </w:p>
          <w:p w:rsidR="001F1D0E" w:rsidRPr="00B4084A" w:rsidRDefault="001F1D0E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903C1A">
              <w:rPr>
                <w:snapToGrid w:val="0"/>
                <w:szCs w:val="24"/>
              </w:rPr>
              <w:t>3</w:t>
            </w:r>
            <w:r w:rsidR="00B4084A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3074DA" w:rsidRDefault="003074DA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för bekräftelse av föräldraskap, faderskapsundersökningar och för att åstadkomma könsneutral föräldraskapspresumtion (CU16)</w:t>
            </w:r>
          </w:p>
          <w:p w:rsidR="003074DA" w:rsidRDefault="003074DA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074DA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555C98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555C98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2020/21:176 och mo</w:t>
            </w:r>
            <w:r w:rsidR="00555C98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3074DA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74DA" w:rsidRDefault="0064295B" w:rsidP="003074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2020/21:CU16.</w:t>
            </w:r>
          </w:p>
          <w:p w:rsidR="0064295B" w:rsidRDefault="0064295B" w:rsidP="003074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4295B" w:rsidRPr="00452477" w:rsidRDefault="00BC6614" w:rsidP="003074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1F1D0E">
              <w:rPr>
                <w:bCs/>
                <w:szCs w:val="24"/>
              </w:rPr>
              <w:t xml:space="preserve">S-, </w:t>
            </w:r>
            <w:r w:rsidR="0064295B" w:rsidRPr="001F1D0E">
              <w:rPr>
                <w:bCs/>
                <w:szCs w:val="24"/>
              </w:rPr>
              <w:t xml:space="preserve">M-, SD-, </w:t>
            </w:r>
            <w:r w:rsidRPr="001F1D0E">
              <w:rPr>
                <w:bCs/>
                <w:szCs w:val="24"/>
              </w:rPr>
              <w:t xml:space="preserve">C-, V-, </w:t>
            </w:r>
            <w:r w:rsidR="0064295B" w:rsidRPr="001F1D0E">
              <w:rPr>
                <w:bCs/>
                <w:szCs w:val="24"/>
              </w:rPr>
              <w:t>KD-</w:t>
            </w:r>
            <w:r w:rsidRPr="001F1D0E">
              <w:rPr>
                <w:bCs/>
                <w:szCs w:val="24"/>
              </w:rPr>
              <w:t xml:space="preserve">, </w:t>
            </w:r>
            <w:r w:rsidR="0064295B" w:rsidRPr="001F1D0E">
              <w:rPr>
                <w:bCs/>
                <w:szCs w:val="24"/>
              </w:rPr>
              <w:t>L-</w:t>
            </w:r>
            <w:r w:rsidRPr="001F1D0E">
              <w:rPr>
                <w:bCs/>
                <w:szCs w:val="24"/>
              </w:rPr>
              <w:t xml:space="preserve"> och MP-</w:t>
            </w:r>
            <w:r w:rsidR="0064295B" w:rsidRPr="001F1D0E">
              <w:rPr>
                <w:bCs/>
                <w:szCs w:val="24"/>
              </w:rPr>
              <w:t xml:space="preserve">ledamöterna anmälde </w:t>
            </w:r>
            <w:proofErr w:type="spellStart"/>
            <w:r w:rsidR="0064295B" w:rsidRPr="001F1D0E">
              <w:rPr>
                <w:bCs/>
                <w:szCs w:val="24"/>
              </w:rPr>
              <w:t>reserva</w:t>
            </w:r>
            <w:r w:rsidRPr="001F1D0E">
              <w:rPr>
                <w:bCs/>
                <w:szCs w:val="24"/>
              </w:rPr>
              <w:t>-</w:t>
            </w:r>
            <w:r w:rsidR="0064295B" w:rsidRPr="001F1D0E">
              <w:rPr>
                <w:bCs/>
                <w:szCs w:val="24"/>
              </w:rPr>
              <w:t>tioner</w:t>
            </w:r>
            <w:proofErr w:type="spellEnd"/>
            <w:r w:rsidR="0064295B" w:rsidRPr="001F1D0E">
              <w:rPr>
                <w:bCs/>
                <w:szCs w:val="24"/>
              </w:rPr>
              <w:t>.</w:t>
            </w:r>
          </w:p>
          <w:p w:rsidR="0064295B" w:rsidRPr="00452477" w:rsidRDefault="0064295B" w:rsidP="003074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2F31DA" w:rsidRPr="00370C65" w:rsidRDefault="002F31DA" w:rsidP="00BC661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F325CF" w:rsidRDefault="00F325CF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295B" w:rsidRPr="00BA38FB" w:rsidTr="00555C98">
        <w:tc>
          <w:tcPr>
            <w:tcW w:w="567" w:type="dxa"/>
          </w:tcPr>
          <w:p w:rsidR="0064295B" w:rsidRDefault="0064295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F1D0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64295B" w:rsidRDefault="0064295B" w:rsidP="0064295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Löneutmätning och digitala ansökningar i utsökningsförfarandet (CU21)</w:t>
            </w:r>
          </w:p>
          <w:p w:rsidR="0064295B" w:rsidRDefault="0064295B" w:rsidP="0064295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4295B" w:rsidRDefault="0064295B" w:rsidP="0064295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2020/21:161 och mo</w:t>
            </w:r>
            <w:r w:rsidR="00452477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64295B" w:rsidRDefault="0064295B" w:rsidP="0064295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2020/21:CU21.</w:t>
            </w: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Pr="001F1D0E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F1D0E">
              <w:rPr>
                <w:bCs/>
                <w:szCs w:val="24"/>
              </w:rPr>
              <w:t xml:space="preserve">SD-ledamöterna anmälde </w:t>
            </w:r>
            <w:r w:rsidR="005B11FC" w:rsidRPr="001F1D0E">
              <w:rPr>
                <w:bCs/>
                <w:szCs w:val="24"/>
              </w:rPr>
              <w:t xml:space="preserve">en </w:t>
            </w:r>
            <w:r w:rsidRPr="001F1D0E">
              <w:rPr>
                <w:bCs/>
                <w:szCs w:val="24"/>
              </w:rPr>
              <w:t>reservation.</w:t>
            </w:r>
          </w:p>
          <w:p w:rsidR="0064295B" w:rsidRDefault="0064295B" w:rsidP="005B11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4295B" w:rsidRPr="00BA38FB" w:rsidTr="00555C98">
        <w:tc>
          <w:tcPr>
            <w:tcW w:w="567" w:type="dxa"/>
          </w:tcPr>
          <w:p w:rsidR="0064295B" w:rsidRDefault="0064295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E1AC2" w:rsidRPr="00C7011F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85C0F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 xml:space="preserve">rivat initiativrätt </w:t>
            </w:r>
            <w:r w:rsidRPr="00C7011F">
              <w:rPr>
                <w:b/>
                <w:szCs w:val="24"/>
              </w:rPr>
              <w:t>‒ planintressentens medverkan vid detaljplaneläggning</w:t>
            </w:r>
            <w:r w:rsidRPr="00C7011F">
              <w:rPr>
                <w:b/>
                <w:bCs/>
                <w:szCs w:val="24"/>
              </w:rPr>
              <w:t xml:space="preserve"> (CU22)</w:t>
            </w:r>
          </w:p>
          <w:p w:rsidR="000E1AC2" w:rsidRPr="00F85C0F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2020/21:131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2020/21:CU22.</w:t>
            </w: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Pr="001F1D0E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F1D0E">
              <w:rPr>
                <w:bCs/>
                <w:szCs w:val="24"/>
              </w:rPr>
              <w:t>M-, SD-</w:t>
            </w:r>
            <w:r w:rsidR="005B11FC" w:rsidRPr="001F1D0E">
              <w:rPr>
                <w:bCs/>
                <w:szCs w:val="24"/>
              </w:rPr>
              <w:t xml:space="preserve"> och </w:t>
            </w:r>
            <w:r w:rsidRPr="001F1D0E">
              <w:rPr>
                <w:bCs/>
                <w:szCs w:val="24"/>
              </w:rPr>
              <w:t>KD-ledamöterna anmälde reservationer.</w:t>
            </w:r>
          </w:p>
          <w:p w:rsidR="00452477" w:rsidRPr="001F1D0E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Pr="00153F46" w:rsidRDefault="005B11FC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F1D0E">
              <w:rPr>
                <w:bCs/>
                <w:szCs w:val="24"/>
              </w:rPr>
              <w:t>M-, C- och L</w:t>
            </w:r>
            <w:r w:rsidR="00452477" w:rsidRPr="001F1D0E">
              <w:rPr>
                <w:bCs/>
                <w:szCs w:val="24"/>
              </w:rPr>
              <w:t>-ledam</w:t>
            </w:r>
            <w:r w:rsidRPr="001F1D0E">
              <w:rPr>
                <w:bCs/>
                <w:szCs w:val="24"/>
              </w:rPr>
              <w:t>öterna</w:t>
            </w:r>
            <w:r w:rsidR="00452477" w:rsidRPr="001F1D0E">
              <w:rPr>
                <w:bCs/>
                <w:szCs w:val="24"/>
              </w:rPr>
              <w:t xml:space="preserve"> anmälde särskil</w:t>
            </w:r>
            <w:r w:rsidRPr="001F1D0E">
              <w:rPr>
                <w:bCs/>
                <w:szCs w:val="24"/>
              </w:rPr>
              <w:t>da</w:t>
            </w:r>
            <w:r w:rsidR="00452477" w:rsidRPr="001F1D0E">
              <w:rPr>
                <w:bCs/>
                <w:szCs w:val="24"/>
              </w:rPr>
              <w:t xml:space="preserve"> yttrande</w:t>
            </w:r>
            <w:r w:rsidRPr="001F1D0E">
              <w:rPr>
                <w:bCs/>
                <w:szCs w:val="24"/>
              </w:rPr>
              <w:t>n</w:t>
            </w:r>
            <w:r w:rsidR="00452477" w:rsidRPr="001F1D0E">
              <w:rPr>
                <w:bCs/>
                <w:szCs w:val="24"/>
              </w:rPr>
              <w:t>.</w:t>
            </w:r>
          </w:p>
          <w:p w:rsidR="00452477" w:rsidRDefault="00452477" w:rsidP="0045247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4295B" w:rsidRPr="00BA38FB" w:rsidTr="00555C98">
        <w:tc>
          <w:tcPr>
            <w:tcW w:w="567" w:type="dxa"/>
          </w:tcPr>
          <w:p w:rsidR="0064295B" w:rsidRDefault="000E1AC2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E1AC2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Klimatdeklaration för byggnader (CU23)</w:t>
            </w:r>
          </w:p>
          <w:p w:rsidR="000E1AC2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2020/21:144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2020/21:CU23.</w:t>
            </w: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Pr="001F1D0E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F1D0E">
              <w:rPr>
                <w:bCs/>
                <w:szCs w:val="24"/>
              </w:rPr>
              <w:t>M-</w:t>
            </w:r>
            <w:r w:rsidR="005B11FC" w:rsidRPr="001F1D0E">
              <w:rPr>
                <w:bCs/>
                <w:szCs w:val="24"/>
              </w:rPr>
              <w:t xml:space="preserve"> och</w:t>
            </w:r>
            <w:r w:rsidRPr="001F1D0E">
              <w:rPr>
                <w:bCs/>
                <w:szCs w:val="24"/>
              </w:rPr>
              <w:t xml:space="preserve"> SD-ledamöterna anmälde reservationer.</w:t>
            </w:r>
          </w:p>
          <w:p w:rsidR="0064295B" w:rsidRDefault="0064295B" w:rsidP="005B11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1171C" w:rsidRPr="00BA38FB" w:rsidTr="00555C98">
        <w:tc>
          <w:tcPr>
            <w:tcW w:w="567" w:type="dxa"/>
          </w:tcPr>
          <w:p w:rsidR="0011171C" w:rsidRDefault="0011171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11171C" w:rsidRDefault="0011171C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Genomförandet av MKB-direktivet i plan- och bygglagen (CU24)</w:t>
            </w:r>
          </w:p>
          <w:p w:rsidR="0011171C" w:rsidRDefault="0011171C" w:rsidP="0011171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1171C" w:rsidRPr="003776E7" w:rsidRDefault="0011171C" w:rsidP="0011171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2020/21:174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11171C" w:rsidRPr="001E6414" w:rsidRDefault="0011171C" w:rsidP="0011171C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2020/21:CU24.</w:t>
            </w:r>
          </w:p>
          <w:p w:rsidR="00452477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2477" w:rsidRPr="001F1D0E" w:rsidRDefault="00452477" w:rsidP="004524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F1D0E">
              <w:rPr>
                <w:bCs/>
                <w:szCs w:val="24"/>
              </w:rPr>
              <w:t>M-, SD-</w:t>
            </w:r>
            <w:r w:rsidR="005B11FC" w:rsidRPr="001F1D0E">
              <w:rPr>
                <w:bCs/>
                <w:szCs w:val="24"/>
              </w:rPr>
              <w:t xml:space="preserve"> och </w:t>
            </w:r>
            <w:r w:rsidRPr="001F1D0E">
              <w:rPr>
                <w:bCs/>
                <w:szCs w:val="24"/>
              </w:rPr>
              <w:t>KD-ledamöterna anmälde reservationer.</w:t>
            </w:r>
          </w:p>
          <w:p w:rsidR="0011171C" w:rsidRDefault="0011171C" w:rsidP="005B11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084A" w:rsidRPr="00BA38FB" w:rsidTr="00555C98">
        <w:tc>
          <w:tcPr>
            <w:tcW w:w="567" w:type="dxa"/>
          </w:tcPr>
          <w:p w:rsidR="00B4084A" w:rsidRDefault="00B4084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1D0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B4084A" w:rsidRDefault="00052F8C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Genomförandet av EU:s ramdirektiv för vatten (CU6y)</w:t>
            </w:r>
          </w:p>
          <w:p w:rsidR="00B4084A" w:rsidRDefault="00B4084A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512CA" w:rsidRPr="00C927C2" w:rsidRDefault="005512CA" w:rsidP="005512CA">
            <w:pPr>
              <w:rPr>
                <w:bCs/>
                <w:szCs w:val="24"/>
              </w:rPr>
            </w:pPr>
            <w:r>
              <w:t>Utskottet fortsatte behandlingen av</w:t>
            </w:r>
            <w:r w:rsidR="00052F8C">
              <w:t xml:space="preserve"> frågan om</w:t>
            </w:r>
            <w:r>
              <w:t xml:space="preserve"> yttrande till miljö- och jordbruksutskottet i ett ärende om ett förslag till </w:t>
            </w:r>
            <w:r w:rsidRPr="00506EDA">
              <w:rPr>
                <w:bCs/>
                <w:szCs w:val="24"/>
              </w:rPr>
              <w:t xml:space="preserve">utskottsinitiativ </w:t>
            </w:r>
            <w:r>
              <w:rPr>
                <w:bCs/>
                <w:szCs w:val="24"/>
              </w:rPr>
              <w:t xml:space="preserve">i </w:t>
            </w:r>
            <w:r w:rsidRPr="00C927C2">
              <w:rPr>
                <w:bCs/>
                <w:szCs w:val="24"/>
              </w:rPr>
              <w:t>miljö- och jordbruksutskottet.</w:t>
            </w:r>
            <w:r w:rsidR="005B4572">
              <w:rPr>
                <w:bCs/>
                <w:szCs w:val="24"/>
              </w:rPr>
              <w:t xml:space="preserve"> </w:t>
            </w:r>
          </w:p>
          <w:p w:rsidR="005512CA" w:rsidRPr="00C927C2" w:rsidRDefault="005512CA" w:rsidP="005512CA">
            <w:pPr>
              <w:rPr>
                <w:szCs w:val="24"/>
              </w:rPr>
            </w:pPr>
          </w:p>
          <w:p w:rsidR="005512CA" w:rsidRDefault="005512CA" w:rsidP="005512CA">
            <w:pPr>
              <w:rPr>
                <w:szCs w:val="24"/>
              </w:rPr>
            </w:pPr>
            <w:r>
              <w:rPr>
                <w:szCs w:val="24"/>
              </w:rPr>
              <w:t>Utskottet justerade yttrande 2020/21:CU6y</w:t>
            </w:r>
            <w:r w:rsidRPr="00C927C2">
              <w:rPr>
                <w:szCs w:val="24"/>
              </w:rPr>
              <w:t>.</w:t>
            </w:r>
          </w:p>
          <w:p w:rsidR="005512CA" w:rsidRDefault="005512CA" w:rsidP="005512CA">
            <w:pPr>
              <w:rPr>
                <w:szCs w:val="24"/>
              </w:rPr>
            </w:pPr>
          </w:p>
          <w:p w:rsidR="005512CA" w:rsidRPr="001F1D0E" w:rsidRDefault="00F325CF" w:rsidP="005512CA">
            <w:pPr>
              <w:rPr>
                <w:szCs w:val="24"/>
              </w:rPr>
            </w:pPr>
            <w:r w:rsidRPr="001F1D0E">
              <w:rPr>
                <w:szCs w:val="24"/>
              </w:rPr>
              <w:t>S</w:t>
            </w:r>
            <w:r w:rsidR="005512CA" w:rsidRPr="001F1D0E">
              <w:rPr>
                <w:szCs w:val="24"/>
              </w:rPr>
              <w:t xml:space="preserve">-, </w:t>
            </w:r>
            <w:r w:rsidRPr="001F1D0E">
              <w:rPr>
                <w:szCs w:val="24"/>
              </w:rPr>
              <w:t>V-, L- och MP-ledamöterna anmälde en avvikande mening.</w:t>
            </w:r>
          </w:p>
          <w:p w:rsidR="00F325CF" w:rsidRPr="001F1D0E" w:rsidRDefault="00F325CF" w:rsidP="005512CA">
            <w:pPr>
              <w:rPr>
                <w:szCs w:val="24"/>
              </w:rPr>
            </w:pPr>
          </w:p>
          <w:p w:rsidR="00F325CF" w:rsidRPr="00C927C2" w:rsidRDefault="00F325CF" w:rsidP="005512CA">
            <w:pPr>
              <w:rPr>
                <w:szCs w:val="24"/>
              </w:rPr>
            </w:pPr>
            <w:r w:rsidRPr="001F1D0E">
              <w:rPr>
                <w:szCs w:val="24"/>
              </w:rPr>
              <w:t>S-, V-, L- och MP-ledamöterna anmälde särskilda yttranden.</w:t>
            </w:r>
          </w:p>
          <w:p w:rsidR="001F1D0E" w:rsidRDefault="001F1D0E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1F1D0E" w:rsidRDefault="001F1D0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1F1D0E" w:rsidRPr="00BA38FB" w:rsidTr="00A60C77">
        <w:trPr>
          <w:gridBefore w:val="1"/>
          <w:wBefore w:w="1275" w:type="dxa"/>
        </w:trPr>
        <w:tc>
          <w:tcPr>
            <w:tcW w:w="567" w:type="dxa"/>
          </w:tcPr>
          <w:p w:rsidR="001F1D0E" w:rsidRDefault="001F1D0E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10</w:t>
            </w:r>
          </w:p>
        </w:tc>
        <w:tc>
          <w:tcPr>
            <w:tcW w:w="6947" w:type="dxa"/>
          </w:tcPr>
          <w:p w:rsidR="001F1D0E" w:rsidRDefault="001F1D0E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direktiv om företagens hållbarhetsrapportering </w:t>
            </w:r>
          </w:p>
          <w:p w:rsidR="001F1D0E" w:rsidRPr="001F1D0E" w:rsidRDefault="001F1D0E" w:rsidP="0011171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F1D0E" w:rsidRDefault="001F1D0E" w:rsidP="001F1D0E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inledde subsidiaritetsprövningen av kommissionens förslag </w:t>
            </w:r>
            <w:proofErr w:type="gramStart"/>
            <w:r>
              <w:rPr>
                <w:szCs w:val="24"/>
              </w:rPr>
              <w:t>COM(</w:t>
            </w:r>
            <w:proofErr w:type="gramEnd"/>
            <w:r>
              <w:rPr>
                <w:szCs w:val="24"/>
              </w:rPr>
              <w:t>2021) 189.</w:t>
            </w:r>
          </w:p>
          <w:p w:rsidR="001F1D0E" w:rsidRDefault="001F1D0E" w:rsidP="001F1D0E">
            <w:pPr>
              <w:widowControl/>
              <w:textAlignment w:val="center"/>
              <w:rPr>
                <w:szCs w:val="24"/>
              </w:rPr>
            </w:pPr>
          </w:p>
          <w:p w:rsidR="001F1D0E" w:rsidRPr="001F1D0E" w:rsidRDefault="001F1D0E" w:rsidP="001F1D0E">
            <w:pPr>
              <w:widowControl/>
              <w:textAlignment w:val="center"/>
              <w:rPr>
                <w:bCs/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1F1D0E" w:rsidRDefault="001F1D0E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A60C77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4084A">
              <w:rPr>
                <w:b/>
                <w:snapToGrid w:val="0"/>
                <w:szCs w:val="24"/>
              </w:rPr>
              <w:t>1</w:t>
            </w:r>
            <w:r w:rsidR="001F1D0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555C98">
              <w:rPr>
                <w:bCs/>
                <w:szCs w:val="24"/>
              </w:rPr>
              <w:t>1</w:t>
            </w:r>
            <w:r w:rsidR="00452477">
              <w:rPr>
                <w:bCs/>
                <w:szCs w:val="24"/>
              </w:rPr>
              <w:t>7</w:t>
            </w:r>
            <w:r w:rsidR="00555C98">
              <w:rPr>
                <w:bCs/>
                <w:szCs w:val="24"/>
              </w:rPr>
              <w:t xml:space="preserve"> juni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903C1A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903C1A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  <w:tr w:rsidR="00745FE9" w:rsidRPr="00BA38FB" w:rsidTr="00A60C77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60C77" w:rsidRDefault="00A60C7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B4084A">
              <w:rPr>
                <w:szCs w:val="24"/>
              </w:rPr>
              <w:t>17 juni</w:t>
            </w:r>
            <w:r w:rsidR="005D13AD" w:rsidRPr="005D13AD">
              <w:rPr>
                <w:szCs w:val="24"/>
              </w:rPr>
              <w:t xml:space="preserve">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555C9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F325CF"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D67D67">
              <w:rPr>
                <w:sz w:val="22"/>
                <w:szCs w:val="22"/>
              </w:rPr>
              <w:t>3</w:t>
            </w:r>
            <w:r w:rsidR="00C82C27">
              <w:rPr>
                <w:sz w:val="22"/>
                <w:szCs w:val="22"/>
              </w:rPr>
              <w:t>6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014A4E" w:rsidRPr="00014A4E">
              <w:rPr>
                <w:sz w:val="20"/>
              </w:rPr>
              <w:t>2–11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D65AD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0E5535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40CC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5B4572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53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53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53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53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5B4572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5535" w:rsidRDefault="000E5535" w:rsidP="000E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P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5535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E5535" w:rsidRPr="00DC7373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C7373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E5535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E5535" w:rsidRDefault="000E5535" w:rsidP="000E55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CD7" w:rsidRDefault="00771CD7" w:rsidP="00AD6647">
      <w:r>
        <w:separator/>
      </w:r>
    </w:p>
  </w:endnote>
  <w:endnote w:type="continuationSeparator" w:id="0">
    <w:p w:rsidR="00771CD7" w:rsidRDefault="00771CD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CD7" w:rsidRDefault="00771CD7" w:rsidP="00AD6647">
      <w:r>
        <w:separator/>
      </w:r>
    </w:p>
  </w:footnote>
  <w:footnote w:type="continuationSeparator" w:id="0">
    <w:p w:rsidR="00771CD7" w:rsidRDefault="00771CD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4A4E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2F8C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C6A"/>
    <w:rsid w:val="000D35E7"/>
    <w:rsid w:val="000D4A15"/>
    <w:rsid w:val="000D5D7F"/>
    <w:rsid w:val="000D6C51"/>
    <w:rsid w:val="000E021E"/>
    <w:rsid w:val="000E1AC2"/>
    <w:rsid w:val="000E2E7D"/>
    <w:rsid w:val="000E4362"/>
    <w:rsid w:val="000E5535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1D0E"/>
    <w:rsid w:val="001F23F5"/>
    <w:rsid w:val="001F42E1"/>
    <w:rsid w:val="001F4EB9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12CA"/>
    <w:rsid w:val="005522C5"/>
    <w:rsid w:val="00554C06"/>
    <w:rsid w:val="00555707"/>
    <w:rsid w:val="00555C98"/>
    <w:rsid w:val="00561E19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11FC"/>
    <w:rsid w:val="005B4572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82EDC"/>
    <w:rsid w:val="0068476B"/>
    <w:rsid w:val="00687478"/>
    <w:rsid w:val="00690B63"/>
    <w:rsid w:val="00697CE9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1CD7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65ED4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0C77"/>
    <w:rsid w:val="00A61290"/>
    <w:rsid w:val="00A61C93"/>
    <w:rsid w:val="00A61CBD"/>
    <w:rsid w:val="00A700CC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C7F9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58EF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084A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C6614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2C27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5ADF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C7373"/>
    <w:rsid w:val="00DD0161"/>
    <w:rsid w:val="00DD3014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25CF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3089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EE6F-B3A2-428F-A5F0-9BA86EA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4209</Characters>
  <Application>Microsoft Office Word</Application>
  <DocSecurity>0</DocSecurity>
  <Lines>1052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2021-06-15T12:54:00Z</cp:lastPrinted>
  <dcterms:created xsi:type="dcterms:W3CDTF">2021-06-21T09:17:00Z</dcterms:created>
  <dcterms:modified xsi:type="dcterms:W3CDTF">2021-06-21T09:20:00Z</dcterms:modified>
</cp:coreProperties>
</file>