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88F2D6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B10617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B7A09A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67437C">
              <w:t>2</w:t>
            </w:r>
            <w:r w:rsidR="00B10617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23D1972" w:rsidR="00141DA2" w:rsidRPr="0012669A" w:rsidRDefault="00044F5A" w:rsidP="008C57B9">
            <w:r>
              <w:t>1</w:t>
            </w:r>
            <w:r w:rsidR="00B10617">
              <w:t>1</w:t>
            </w:r>
            <w:r w:rsidR="006A30F1">
              <w:t>.00</w:t>
            </w:r>
            <w:r w:rsidR="0073639C">
              <w:t>–</w:t>
            </w:r>
            <w:r w:rsidR="00814CD5">
              <w:t>12.25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7DAAF8F2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B10617">
              <w:t>7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B10617" w:rsidRPr="0012669A" w14:paraId="005BEE59" w14:textId="77777777" w:rsidTr="00B83053">
        <w:trPr>
          <w:trHeight w:val="567"/>
        </w:trPr>
        <w:tc>
          <w:tcPr>
            <w:tcW w:w="567" w:type="dxa"/>
          </w:tcPr>
          <w:p w14:paraId="1D40294E" w14:textId="12CE3C7C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17D5613" w14:textId="4FFAA319" w:rsidR="00B10617" w:rsidRPr="003D5258" w:rsidRDefault="00B10617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Import av rysk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>Verkställande direktör Åsa Pettersson och expert Carl Berglöf, Energiföretagen Sverige, verkställande direktör Jessica Alenius,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Drivkraft Sverige, verkställande direktör Hans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Kreisel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och kommunikationschef Saila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Horttanainen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Nordion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Energi AB och verkställande direktör Maria Malmkvist och avdelningschef marknad och kommunikation Anna Wallentin,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Energigas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Sverige, </w:t>
            </w:r>
            <w:r w:rsidRPr="00B10617">
              <w:rPr>
                <w:rFonts w:eastAsiaTheme="minorHAnsi"/>
                <w:color w:val="000000"/>
                <w:lang w:eastAsia="en-US"/>
              </w:rPr>
              <w:t xml:space="preserve">lämnade information och svarade på frågor om </w:t>
            </w:r>
            <w:r>
              <w:rPr>
                <w:rFonts w:eastAsiaTheme="minorHAnsi"/>
                <w:color w:val="000000"/>
                <w:lang w:eastAsia="en-US"/>
              </w:rPr>
              <w:t>import av rysk energi.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10617" w:rsidRPr="0012669A" w14:paraId="28207200" w14:textId="77777777" w:rsidTr="00B83053">
        <w:trPr>
          <w:trHeight w:val="567"/>
        </w:trPr>
        <w:tc>
          <w:tcPr>
            <w:tcW w:w="567" w:type="dxa"/>
          </w:tcPr>
          <w:p w14:paraId="4420623A" w14:textId="6EA0A3B8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FC22C3C" w14:textId="3DE262CB" w:rsid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Ett år</w:t>
            </w:r>
            <w:r w:rsidR="00814CD5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förlängd giltighetstids för undersökningstillstånd (NU25)</w:t>
            </w:r>
          </w:p>
          <w:p w14:paraId="5727E984" w14:textId="30F4DBD7" w:rsid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 xml:space="preserve">fortsatte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behandl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 xml:space="preserve">ingen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proposition 2021/22:201 om e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tt år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 xml:space="preserve"> förlängd giltighetstids för undersökningstillstånd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96523F0" w14:textId="31364033" w:rsidR="00B10617" w:rsidRDefault="00B10617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B10617" w:rsidRPr="0012669A" w14:paraId="01D8E417" w14:textId="77777777" w:rsidTr="00B83053">
        <w:trPr>
          <w:trHeight w:val="567"/>
        </w:trPr>
        <w:tc>
          <w:tcPr>
            <w:tcW w:w="567" w:type="dxa"/>
          </w:tcPr>
          <w:p w14:paraId="4FFCB459" w14:textId="7B26F276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AAF40B7" w14:textId="77777777" w:rsid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  <w:t xml:space="preserve">Tidigt kommunalt ställningstagande till vindkraft </w:t>
            </w:r>
          </w:p>
          <w:p w14:paraId="2FA94577" w14:textId="11C9F8D0" w:rsidR="00B10617" w:rsidRP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Cs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 xml:space="preserve">Utskottet behandlade fråga om yttrande till </w:t>
            </w:r>
            <w:r>
              <w:rPr>
                <w:rFonts w:eastAsiaTheme="minorHAnsi"/>
                <w:color w:val="000000"/>
                <w:lang w:eastAsia="en-US"/>
              </w:rPr>
              <w:t xml:space="preserve">miljö- och jordbruksutskottet 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över </w:t>
            </w:r>
            <w:r>
              <w:rPr>
                <w:rFonts w:eastAsiaTheme="minorHAnsi"/>
                <w:color w:val="000000"/>
                <w:lang w:eastAsia="en-US"/>
              </w:rPr>
              <w:t>proposition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 2021/22:</w:t>
            </w:r>
            <w:r>
              <w:rPr>
                <w:rFonts w:eastAsiaTheme="minorHAnsi"/>
                <w:color w:val="000000"/>
                <w:lang w:eastAsia="en-US"/>
              </w:rPr>
              <w:t xml:space="preserve">210 </w:t>
            </w:r>
            <w:r w:rsidR="00814CD5">
              <w:rPr>
                <w:rFonts w:eastAsiaTheme="minorHAnsi"/>
                <w:color w:val="000000"/>
                <w:lang w:eastAsia="en-US"/>
              </w:rPr>
              <w:t xml:space="preserve">om </w:t>
            </w:r>
            <w:r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>t</w:t>
            </w:r>
            <w:r w:rsidRPr="00B10617"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 xml:space="preserve">idigt kommunalt ställningstagande till vindkraft </w:t>
            </w:r>
            <w:r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>och motioner.</w:t>
            </w:r>
          </w:p>
          <w:p w14:paraId="32BE59E2" w14:textId="77777777" w:rsidR="00B10617" w:rsidRDefault="00B10617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>Utskottet beslutade att avge yttrande.</w:t>
            </w:r>
          </w:p>
          <w:p w14:paraId="4B8B02E6" w14:textId="77777777" w:rsidR="00B10617" w:rsidRDefault="00B10617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2C9F99B8" w14:textId="42A1648F" w:rsidR="00B10617" w:rsidRPr="00B10617" w:rsidRDefault="00B10617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253C007D" w:rsidR="00345871" w:rsidRDefault="00814CD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BC520BB" w14:textId="77777777" w:rsidR="008D5685" w:rsidRDefault="00B10617" w:rsidP="00890B4F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Rapport om innovationskritiska metaller och mineral – en forskningsöversikt</w:t>
            </w:r>
          </w:p>
          <w:p w14:paraId="7E4524A0" w14:textId="34928D38" w:rsidR="00814CD5" w:rsidRDefault="00814CD5" w:rsidP="00814CD5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 w:rsidRPr="00814CD5">
              <w:rPr>
                <w:rFonts w:eastAsiaTheme="minorHAnsi"/>
                <w:bCs/>
                <w:color w:val="000000"/>
                <w:lang w:eastAsia="en-US"/>
              </w:rPr>
              <w:t>Utskottet beslutade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dels att </w:t>
            </w:r>
            <w:r w:rsidRPr="00814CD5">
              <w:rPr>
                <w:rFonts w:eastAsiaTheme="minorHAnsi"/>
                <w:bCs/>
                <w:color w:val="000000"/>
                <w:lang w:eastAsia="en-US"/>
              </w:rPr>
              <w:t xml:space="preserve">publicera </w:t>
            </w:r>
            <w:r w:rsidR="00C776FC">
              <w:rPr>
                <w:rFonts w:eastAsiaTheme="minorHAnsi"/>
                <w:bCs/>
                <w:color w:val="000000"/>
                <w:lang w:eastAsia="en-US"/>
              </w:rPr>
              <w:t>forskningsöversikten</w:t>
            </w:r>
            <w:r w:rsidRPr="00814CD5">
              <w:rPr>
                <w:rFonts w:eastAsiaTheme="minorHAnsi"/>
                <w:bCs/>
                <w:color w:val="000000"/>
                <w:lang w:eastAsia="en-US"/>
              </w:rPr>
              <w:t xml:space="preserve"> om innovationskritiska metaller och mineral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dels att anordna ett seminarium om </w:t>
            </w:r>
            <w:r w:rsidRPr="00814CD5">
              <w:rPr>
                <w:rFonts w:eastAsiaTheme="minorHAnsi"/>
                <w:bCs/>
                <w:color w:val="000000"/>
                <w:lang w:eastAsia="en-US"/>
              </w:rPr>
              <w:t xml:space="preserve">innovationskritiska metaller 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mineral den 10 maj 2022.</w:t>
            </w:r>
          </w:p>
          <w:p w14:paraId="7026D11D" w14:textId="2C381332" w:rsidR="00814CD5" w:rsidRPr="008733C2" w:rsidRDefault="00814CD5" w:rsidP="00814CD5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14CD5" w:rsidRPr="0012669A" w14:paraId="195F2419" w14:textId="77777777" w:rsidTr="00B83053">
        <w:trPr>
          <w:trHeight w:val="567"/>
        </w:trPr>
        <w:tc>
          <w:tcPr>
            <w:tcW w:w="567" w:type="dxa"/>
          </w:tcPr>
          <w:p w14:paraId="161829F5" w14:textId="443B361A" w:rsidR="00814CD5" w:rsidRDefault="00814CD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4CD5">
              <w:rPr>
                <w:b/>
                <w:snapToGrid w:val="0"/>
              </w:rPr>
              <w:lastRenderedPageBreak/>
              <w:t xml:space="preserve">§ 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99DD6D" w14:textId="77777777" w:rsidR="00814CD5" w:rsidRDefault="00814CD5" w:rsidP="00890B4F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interparlamentariska konferenser</w:t>
            </w:r>
          </w:p>
          <w:p w14:paraId="380E5852" w14:textId="5B60C1A4" w:rsidR="00814CD5" w:rsidRPr="00814CD5" w:rsidRDefault="00814CD5" w:rsidP="00890B4F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 w:rsidRPr="00814CD5">
              <w:rPr>
                <w:rFonts w:eastAsiaTheme="minorHAnsi"/>
                <w:bCs/>
                <w:color w:val="000000"/>
                <w:lang w:eastAsia="en-US"/>
              </w:rPr>
              <w:t xml:space="preserve">Dagordningspunkten </w:t>
            </w:r>
            <w:r w:rsidR="00C776FC">
              <w:rPr>
                <w:rFonts w:eastAsiaTheme="minorHAnsi"/>
                <w:bCs/>
                <w:color w:val="000000"/>
                <w:lang w:eastAsia="en-US"/>
              </w:rPr>
              <w:t>bordlades</w:t>
            </w:r>
            <w:bookmarkStart w:id="0" w:name="_GoBack"/>
            <w:bookmarkEnd w:id="0"/>
            <w:r w:rsidRPr="00814CD5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3636B60B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814CD5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6C13DC6B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44F5A" w:rsidRPr="003D5258">
              <w:rPr>
                <w:bCs/>
                <w:snapToGrid w:val="0"/>
              </w:rPr>
              <w:t>t</w:t>
            </w:r>
            <w:r w:rsidR="00B10617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90B4F">
              <w:rPr>
                <w:rFonts w:eastAsiaTheme="minorHAnsi"/>
                <w:color w:val="000000"/>
                <w:lang w:eastAsia="en-US"/>
              </w:rPr>
              <w:t>2</w:t>
            </w:r>
            <w:r w:rsidR="00B10617">
              <w:rPr>
                <w:rFonts w:eastAsiaTheme="minorHAnsi"/>
                <w:color w:val="000000"/>
                <w:lang w:eastAsia="en-US"/>
              </w:rPr>
              <w:t>8</w:t>
            </w:r>
            <w:r w:rsidR="00D15646" w:rsidRPr="003D5258"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890B4F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7777777" w:rsidR="00B55D49" w:rsidRPr="003D5258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9FB3A5B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8FC196E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90B4F">
              <w:t>2</w:t>
            </w:r>
            <w:r w:rsidR="00B10617">
              <w:t>8</w:t>
            </w:r>
            <w:r w:rsidR="00D15646">
              <w:t xml:space="preserve"> april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6EB1D306" w:rsidR="00454AB8" w:rsidRPr="00355D1B" w:rsidRDefault="00913178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44FFCF79" w14:textId="7F31426F" w:rsidR="007E5E7C" w:rsidRDefault="007E5E7C" w:rsidP="0073639C">
      <w:r>
        <w:br/>
      </w:r>
    </w:p>
    <w:p w14:paraId="1FCE8AC5" w14:textId="77777777" w:rsidR="007E5E7C" w:rsidRDefault="007E5E7C">
      <w:r>
        <w:br w:type="page"/>
      </w:r>
    </w:p>
    <w:p w14:paraId="3593B91C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7C9136F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B1061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2D4550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814CD5">
              <w:rPr>
                <w:rFonts w:ascii="Times New Roman" w:hAnsi="Times New Roman"/>
                <w:sz w:val="20"/>
                <w:szCs w:val="20"/>
              </w:rPr>
              <w:t>–7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968E456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1E54B059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3774FE8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56CF69FA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AD9AB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6E2173B5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6EE28C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460E96F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30E90B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4E7F268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299A56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25997A5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14B6AA1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BA7171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5467D14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08C3D0C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11B68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6C3932E4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6BBA377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96251BB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83971B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60C09B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53A7C3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BE66B57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6DC865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51B0E4D6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51ABCE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521D946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83ECB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0A47C5E1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3D4194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E7EFDEF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B6F429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8E0B8AD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098F68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1019B29F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4B925F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4E63535" w:rsidR="00935D95" w:rsidRPr="0012669A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08A3A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12669A" w14:paraId="3C4FE2F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8733C2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3C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4E941BFA" w:rsidR="008733C2" w:rsidRPr="00880DF6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</w:tr>
      <w:tr w:rsidR="00814CD5" w:rsidRPr="00814CD5" w14:paraId="436E3718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0D5E3DCD" w14:textId="5782225E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Hanif Bali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759193" w14:textId="366D47D1" w:rsidR="00814CD5" w:rsidRPr="00814CD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5EA5C6" w14:textId="77777777" w:rsidR="00814CD5" w:rsidRPr="00814CD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0A49A9" w14:textId="77777777" w:rsidR="00814CD5" w:rsidRPr="00814CD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B8C319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6214AC1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DC28D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5D7F68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ED66A4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1875B5A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C840E5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6E69AE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FD925E9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900C20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2DEF1B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3AC397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CD5" w:rsidRPr="0012669A" w14:paraId="051E1D5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562B9B70" w14:textId="450D6636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4CD5">
              <w:rPr>
                <w:rFonts w:ascii="Times New Roman" w:hAnsi="Times New Roman"/>
                <w:sz w:val="20"/>
                <w:szCs w:val="20"/>
                <w:lang w:val="en-US"/>
              </w:rPr>
              <w:t>Rikard Larsson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F70275" w14:textId="5D173738" w:rsidR="00814CD5" w:rsidRPr="00880DF6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263C7C" w14:textId="77777777" w:rsidR="00814CD5" w:rsidRPr="0012669A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EB5629" w14:textId="77777777" w:rsidR="00814CD5" w:rsidRPr="0012669A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55390F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C7AF04E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61C3EA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A5D149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5A98DD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A72ABB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A1F169B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5B32DDF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5F39DA1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DF2E641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A78315E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00AB067" w14:textId="77777777" w:rsidR="00814CD5" w:rsidRPr="0012669A" w:rsidRDefault="00814CD5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75FB1177" w14:textId="02F0F7AC" w:rsidR="008733C2" w:rsidRDefault="008733C2"/>
    <w:sectPr w:rsidR="008733C2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F8F86" w14:textId="77777777" w:rsidR="00B30D75" w:rsidRDefault="00B30D75" w:rsidP="002130F1">
      <w:r>
        <w:separator/>
      </w:r>
    </w:p>
  </w:endnote>
  <w:endnote w:type="continuationSeparator" w:id="0">
    <w:p w14:paraId="2D673EBE" w14:textId="77777777" w:rsidR="00B30D75" w:rsidRDefault="00B30D7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2BC66" w14:textId="77777777" w:rsidR="00B30D75" w:rsidRDefault="00B30D75" w:rsidP="002130F1">
      <w:r>
        <w:separator/>
      </w:r>
    </w:p>
  </w:footnote>
  <w:footnote w:type="continuationSeparator" w:id="0">
    <w:p w14:paraId="4518B581" w14:textId="77777777" w:rsidR="00B30D75" w:rsidRDefault="00B30D7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5"/>
  </w:num>
  <w:num w:numId="9">
    <w:abstractNumId w:val="13"/>
  </w:num>
  <w:num w:numId="10">
    <w:abstractNumId w:val="23"/>
  </w:num>
  <w:num w:numId="11">
    <w:abstractNumId w:val="34"/>
  </w:num>
  <w:num w:numId="12">
    <w:abstractNumId w:val="29"/>
  </w:num>
  <w:num w:numId="13">
    <w:abstractNumId w:val="36"/>
  </w:num>
  <w:num w:numId="14">
    <w:abstractNumId w:val="5"/>
  </w:num>
  <w:num w:numId="15">
    <w:abstractNumId w:val="35"/>
  </w:num>
  <w:num w:numId="16">
    <w:abstractNumId w:val="17"/>
  </w:num>
  <w:num w:numId="17">
    <w:abstractNumId w:val="26"/>
  </w:num>
  <w:num w:numId="18">
    <w:abstractNumId w:val="31"/>
  </w:num>
  <w:num w:numId="19">
    <w:abstractNumId w:val="21"/>
  </w:num>
  <w:num w:numId="20">
    <w:abstractNumId w:val="0"/>
  </w:num>
  <w:num w:numId="21">
    <w:abstractNumId w:val="8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22"/>
  </w:num>
  <w:num w:numId="27">
    <w:abstractNumId w:val="30"/>
  </w:num>
  <w:num w:numId="28">
    <w:abstractNumId w:val="10"/>
  </w:num>
  <w:num w:numId="29">
    <w:abstractNumId w:val="16"/>
  </w:num>
  <w:num w:numId="30">
    <w:abstractNumId w:val="32"/>
  </w:num>
  <w:num w:numId="31">
    <w:abstractNumId w:val="33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DB9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6DD3-16DE-45AE-AFFB-60664048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3449</Characters>
  <Application>Microsoft Office Word</Application>
  <DocSecurity>0</DocSecurity>
  <Lines>1724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2022-04-26T12:25:00Z</cp:lastPrinted>
  <dcterms:created xsi:type="dcterms:W3CDTF">2022-04-26T12:25:00Z</dcterms:created>
  <dcterms:modified xsi:type="dcterms:W3CDTF">2022-04-26T12:25:00Z</dcterms:modified>
</cp:coreProperties>
</file>