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6B809-89F1-4B95-9E2A-CE7A9FD5CAF8}"/>
</file>

<file path=customXml/itemProps2.xml><?xml version="1.0" encoding="utf-8"?>
<ds:datastoreItem xmlns:ds="http://schemas.openxmlformats.org/officeDocument/2006/customXml" ds:itemID="{A62D8564-EE2B-4694-A282-A9316076D963}"/>
</file>

<file path=customXml/itemProps3.xml><?xml version="1.0" encoding="utf-8"?>
<ds:datastoreItem xmlns:ds="http://schemas.openxmlformats.org/officeDocument/2006/customXml" ds:itemID="{73C21E1E-C753-49A4-BA67-F4C377BCC6A7}"/>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