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47FB4">
        <w:tblPrEx>
          <w:tblCellMar>
            <w:top w:w="0" w:type="dxa"/>
            <w:bottom w:w="0" w:type="dxa"/>
          </w:tblCellMar>
        </w:tblPrEx>
        <w:trPr>
          <w:cantSplit/>
          <w:trHeight w:hRule="exact" w:val="1260"/>
        </w:trPr>
        <w:tc>
          <w:tcPr>
            <w:tcW w:w="6024" w:type="dxa"/>
            <w:gridSpan w:val="2"/>
            <w:vMerge w:val="restart"/>
          </w:tcPr>
          <w:p w:rsidR="00012792" w:rsidRPr="00547FB4" w:rsidRDefault="00012792">
            <w:pPr>
              <w:pStyle w:val="HuvudRubrik"/>
            </w:pPr>
            <w:bookmarkStart w:id="0" w:name="BetänkandeRubrik"/>
            <w:bookmarkEnd w:id="0"/>
            <w:r w:rsidRPr="00547FB4">
              <w:t>Konstitutionsutskottets betänkande</w:t>
            </w:r>
            <w:r w:rsidR="00547FB4" w:rsidRPr="00547FB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80986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12792" w:rsidRPr="00547FB4" w:rsidRDefault="00012792">
                                  <w:pPr>
                                    <w:pStyle w:val="Logo"/>
                                  </w:pPr>
                                  <w:r w:rsidRPr="00547FB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52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12792" w:rsidRPr="00547FB4" w:rsidRDefault="00012792">
                            <w:pPr>
                              <w:pStyle w:val="Logo"/>
                            </w:pPr>
                            <w:r w:rsidRPr="00547FB4">
                              <w:object w:dxaOrig="840" w:dyaOrig="1545">
                                <v:shape id="_x0000_i1025" type="#_x0000_t75" style="width:90.45pt;height:77.15pt" fillcolor="window">
                                  <v:imagedata r:id="rId7" o:title="" cropright="-75835f"/>
                                </v:shape>
                                <o:OLEObject Type="Embed" ProgID="Word.Picture.8" ShapeID="_x0000_i1025" DrawAspect="Content" ObjectID="_1827344526" r:id="rId9"/>
                              </w:object>
                            </w:r>
                          </w:p>
                        </w:txbxContent>
                      </v:textbox>
                      <w10:wrap anchorx="page" anchory="page"/>
                    </v:shape>
                  </w:pict>
                </mc:Fallback>
              </mc:AlternateContent>
            </w:r>
          </w:p>
          <w:p w:rsidR="00012792" w:rsidRPr="00547FB4" w:rsidRDefault="00012792">
            <w:pPr>
              <w:pStyle w:val="HuvudRubrikRad2"/>
            </w:pPr>
            <w:bookmarkStart w:id="17" w:name="BetänkandeNr"/>
            <w:bookmarkEnd w:id="17"/>
            <w:r w:rsidRPr="00547FB4">
              <w:t>1999/2000:KU18</w:t>
            </w:r>
          </w:p>
          <w:p w:rsidR="00012792" w:rsidRPr="00547FB4" w:rsidRDefault="00012792">
            <w:pPr>
              <w:pStyle w:val="BetnkandeRubrik"/>
            </w:pPr>
            <w:bookmarkStart w:id="18" w:name="Huvudrubrik"/>
            <w:bookmarkEnd w:id="18"/>
            <w:r w:rsidRPr="00547FB4">
              <w:t>Helgdagar, ordnar och flaggor</w:t>
            </w:r>
          </w:p>
        </w:tc>
        <w:tc>
          <w:tcPr>
            <w:tcW w:w="1559" w:type="dxa"/>
            <w:tcBorders>
              <w:bottom w:val="nil"/>
            </w:tcBorders>
          </w:tcPr>
          <w:p w:rsidR="00012792" w:rsidRPr="00547FB4" w:rsidRDefault="00012792">
            <w:pPr>
              <w:spacing w:before="0" w:line="230" w:lineRule="auto"/>
              <w:rPr>
                <w:sz w:val="24"/>
              </w:rPr>
            </w:pPr>
          </w:p>
        </w:tc>
      </w:tr>
      <w:tr w:rsidR="00000000" w:rsidRPr="00547FB4">
        <w:tblPrEx>
          <w:tblCellMar>
            <w:top w:w="0" w:type="dxa"/>
            <w:bottom w:w="0" w:type="dxa"/>
          </w:tblCellMar>
        </w:tblPrEx>
        <w:trPr>
          <w:cantSplit/>
          <w:trHeight w:hRule="exact" w:val="240"/>
        </w:trPr>
        <w:tc>
          <w:tcPr>
            <w:tcW w:w="6024" w:type="dxa"/>
            <w:gridSpan w:val="2"/>
            <w:vMerge/>
            <w:tcBorders>
              <w:top w:val="nil"/>
              <w:bottom w:val="nil"/>
            </w:tcBorders>
          </w:tcPr>
          <w:p w:rsidR="00012792" w:rsidRPr="00547FB4" w:rsidRDefault="00012792">
            <w:pPr>
              <w:spacing w:before="40" w:after="900" w:line="280" w:lineRule="exact"/>
              <w:jc w:val="left"/>
              <w:rPr>
                <w:sz w:val="28"/>
              </w:rPr>
            </w:pPr>
          </w:p>
        </w:tc>
        <w:tc>
          <w:tcPr>
            <w:tcW w:w="1559" w:type="dxa"/>
          </w:tcPr>
          <w:p w:rsidR="00012792" w:rsidRPr="00547FB4" w:rsidRDefault="00012792">
            <w:pPr>
              <w:pStyle w:val="rtal"/>
            </w:pPr>
            <w:r w:rsidRPr="00547FB4">
              <w:t>1999/2000</w:t>
            </w:r>
          </w:p>
        </w:tc>
      </w:tr>
      <w:tr w:rsidR="00000000" w:rsidRPr="00547FB4">
        <w:tblPrEx>
          <w:tblCellMar>
            <w:top w:w="0" w:type="dxa"/>
            <w:bottom w:w="0" w:type="dxa"/>
          </w:tblCellMar>
        </w:tblPrEx>
        <w:trPr>
          <w:cantSplit/>
          <w:trHeight w:val="560"/>
        </w:trPr>
        <w:tc>
          <w:tcPr>
            <w:tcW w:w="6024" w:type="dxa"/>
            <w:gridSpan w:val="2"/>
            <w:vMerge/>
            <w:tcBorders>
              <w:top w:val="nil"/>
              <w:bottom w:val="single" w:sz="6" w:space="0" w:color="auto"/>
            </w:tcBorders>
          </w:tcPr>
          <w:p w:rsidR="00012792" w:rsidRPr="00547FB4" w:rsidRDefault="00012792">
            <w:pPr>
              <w:spacing w:before="40" w:after="900" w:line="280" w:lineRule="exact"/>
              <w:jc w:val="left"/>
              <w:rPr>
                <w:sz w:val="28"/>
              </w:rPr>
            </w:pPr>
          </w:p>
        </w:tc>
        <w:tc>
          <w:tcPr>
            <w:tcW w:w="1559" w:type="dxa"/>
            <w:tcBorders>
              <w:bottom w:val="single" w:sz="6" w:space="0" w:color="auto"/>
            </w:tcBorders>
          </w:tcPr>
          <w:p w:rsidR="00012792" w:rsidRPr="00547FB4" w:rsidRDefault="00012792">
            <w:pPr>
              <w:pStyle w:val="rtal"/>
            </w:pPr>
            <w:r w:rsidRPr="00547FB4">
              <w:t>KU18</w:t>
            </w:r>
          </w:p>
        </w:tc>
      </w:tr>
      <w:tr w:rsidR="00000000" w:rsidRPr="00547FB4">
        <w:tblPrEx>
          <w:tblCellMar>
            <w:top w:w="0" w:type="dxa"/>
            <w:bottom w:w="0" w:type="dxa"/>
          </w:tblCellMar>
        </w:tblPrEx>
        <w:trPr>
          <w:cantSplit/>
          <w:trHeight w:hRule="exact" w:val="660"/>
        </w:trPr>
        <w:tc>
          <w:tcPr>
            <w:tcW w:w="3012" w:type="dxa"/>
          </w:tcPr>
          <w:p w:rsidR="00012792" w:rsidRPr="00547FB4" w:rsidRDefault="00012792">
            <w:pPr>
              <w:pStyle w:val="StatusSida1"/>
            </w:pPr>
          </w:p>
        </w:tc>
        <w:tc>
          <w:tcPr>
            <w:tcW w:w="3012" w:type="dxa"/>
          </w:tcPr>
          <w:p w:rsidR="00012792" w:rsidRPr="00547FB4" w:rsidRDefault="00012792">
            <w:pPr>
              <w:pStyle w:val="UtskriftsdatumSida1"/>
              <w:rPr>
                <w:b/>
                <w:sz w:val="28"/>
              </w:rPr>
            </w:pPr>
          </w:p>
        </w:tc>
        <w:tc>
          <w:tcPr>
            <w:tcW w:w="1559" w:type="dxa"/>
          </w:tcPr>
          <w:p w:rsidR="00012792" w:rsidRPr="00547FB4" w:rsidRDefault="00012792"/>
        </w:tc>
      </w:tr>
    </w:tbl>
    <w:p w:rsidR="00012792" w:rsidRPr="00547FB4" w:rsidRDefault="00012792">
      <w:pPr>
        <w:pStyle w:val="Rubrik1"/>
        <w:spacing w:before="0"/>
      </w:pPr>
      <w:bookmarkStart w:id="19" w:name="_Toc479495196"/>
      <w:r w:rsidRPr="00547FB4">
        <w:t>Sammanfattning</w:t>
      </w:r>
      <w:bookmarkEnd w:id="19"/>
    </w:p>
    <w:p w:rsidR="00012792" w:rsidRPr="00547FB4" w:rsidRDefault="00012792">
      <w:bookmarkStart w:id="20" w:name="Textstart"/>
      <w:bookmarkEnd w:id="20"/>
      <w:r w:rsidRPr="00547FB4">
        <w:t>I betänkandet behandlar utskottet ett antal motioner från allmänna motionst</w:t>
      </w:r>
      <w:r w:rsidRPr="00547FB4">
        <w:t>i</w:t>
      </w:r>
      <w:r w:rsidRPr="00547FB4">
        <w:t>den 1998 och 1999 om helgdagar, ordensväsendet samt om flaggor och flaggning. Utskottet avstyrker samtliga motioner. Fyra reservationer har lämnats.</w:t>
      </w:r>
    </w:p>
    <w:p w:rsidR="00012792" w:rsidRPr="00547FB4" w:rsidRDefault="00012792">
      <w:pPr>
        <w:pStyle w:val="Rubrik1"/>
        <w:spacing w:before="123"/>
      </w:pPr>
      <w:bookmarkStart w:id="21" w:name="_Toc479495197"/>
      <w:r w:rsidRPr="00547FB4">
        <w:t>Motionerna</w:t>
      </w:r>
      <w:bookmarkEnd w:id="21"/>
    </w:p>
    <w:p w:rsidR="00012792" w:rsidRPr="00547FB4" w:rsidRDefault="00012792">
      <w:r w:rsidRPr="00547FB4">
        <w:t>1998/99:K202 av Ulla Hoffmann och Kenneth Kvist (v) vari yrkas att rik</w:t>
      </w:r>
      <w:r w:rsidRPr="00547FB4">
        <w:t>s</w:t>
      </w:r>
      <w:r w:rsidRPr="00547FB4">
        <w:t>dagen hos regeringen begär förslag till sådan ändring i lagen om allmänna helgdagar som innebär att den 8 mars blir allmän helgdag.</w:t>
      </w:r>
    </w:p>
    <w:p w:rsidR="00012792" w:rsidRPr="00547FB4" w:rsidRDefault="00012792">
      <w:r w:rsidRPr="00547FB4">
        <w:t>1998/99:K215 av Bertil Persson (m) vari yrkas</w:t>
      </w:r>
    </w:p>
    <w:p w:rsidR="00012792" w:rsidRPr="00547FB4" w:rsidRDefault="00012792">
      <w:pPr>
        <w:pStyle w:val="Normaltindrag"/>
      </w:pPr>
      <w:r w:rsidRPr="00547FB4">
        <w:t>1. att riksdagen beslutar att använda EU-flaggan i anslutning till riksdag</w:t>
      </w:r>
      <w:r w:rsidRPr="00547FB4">
        <w:t>s</w:t>
      </w:r>
      <w:r w:rsidRPr="00547FB4">
        <w:t>byggnaderna i enlighet med vad som anförts i motionen,</w:t>
      </w:r>
    </w:p>
    <w:p w:rsidR="00012792" w:rsidRPr="00547FB4" w:rsidRDefault="00012792">
      <w:r w:rsidRPr="00547FB4">
        <w:t>1998/99:K218 av Lars Björkman och Elizabeth Nyström (m) vari yrkas att riksdagen som sin mening ger regeringen till känna vad i motionen anförts om stärkandet av den svenska nationalismen.</w:t>
      </w:r>
    </w:p>
    <w:p w:rsidR="00012792" w:rsidRPr="00547FB4" w:rsidRDefault="00012792">
      <w:r w:rsidRPr="00547FB4">
        <w:t>1998/99:K246 av Per Unckel m.fl. (m) vari yrkas att riksdagen hos regerin</w:t>
      </w:r>
      <w:r w:rsidRPr="00547FB4">
        <w:t>g</w:t>
      </w:r>
      <w:r w:rsidRPr="00547FB4">
        <w:t>en begär förslag till ändring i lagen om allmänna helgdagar (1989:253) i enlighet med vad som anförts i motionen.</w:t>
      </w:r>
    </w:p>
    <w:p w:rsidR="00012792" w:rsidRPr="00547FB4" w:rsidRDefault="00012792">
      <w:r w:rsidRPr="00547FB4">
        <w:t>1999/2000:K208 av Marietta de Pourbaix-Lundin (m) vari yrkas att riksd</w:t>
      </w:r>
      <w:r w:rsidRPr="00547FB4">
        <w:t>a</w:t>
      </w:r>
      <w:r w:rsidRPr="00547FB4">
        <w:t>gen beslutar om sådant flaggarrangemang i plenisalen att den svenska fla</w:t>
      </w:r>
      <w:r w:rsidRPr="00547FB4">
        <w:t>g</w:t>
      </w:r>
      <w:r w:rsidRPr="00547FB4">
        <w:t>gan placeras i anslutning till talarstolen i enlighet med vad som anförts i motionen.</w:t>
      </w:r>
    </w:p>
    <w:p w:rsidR="00012792" w:rsidRPr="00547FB4" w:rsidRDefault="00012792">
      <w:r w:rsidRPr="00547FB4">
        <w:t>1999/2000:K240 av Ingvar Svensson m.fl. (kd) vari yrkas</w:t>
      </w:r>
    </w:p>
    <w:p w:rsidR="00012792" w:rsidRPr="00547FB4" w:rsidRDefault="00012792">
      <w:pPr>
        <w:pStyle w:val="Normaltindrag"/>
      </w:pPr>
      <w:r w:rsidRPr="00547FB4">
        <w:t>1. att riksdagen som sin mening ger regeringen till känna vad i motionen anförts om att göra nationaldagen den 6 juni till en allmän helgdag,</w:t>
      </w:r>
    </w:p>
    <w:p w:rsidR="00012792" w:rsidRPr="00547FB4" w:rsidRDefault="00012792">
      <w:pPr>
        <w:pStyle w:val="Normaltindrag"/>
      </w:pPr>
      <w:r w:rsidRPr="00547FB4">
        <w:t>2. att riksdagen som sin mening ger regeringen till känna vad i motionen anförts om att frågan om vilken dag som skall ersätta den nya helgdagen utreds ytterligare.</w:t>
      </w:r>
    </w:p>
    <w:p w:rsidR="00012792" w:rsidRPr="00547FB4" w:rsidRDefault="00012792">
      <w:r w:rsidRPr="00547FB4">
        <w:t>1999/2000:K241 av Inger Davidson (kd) vari yrkas</w:t>
      </w:r>
    </w:p>
    <w:p w:rsidR="00012792" w:rsidRPr="00547FB4" w:rsidRDefault="00012792">
      <w:pPr>
        <w:pStyle w:val="Normaltindrag"/>
      </w:pPr>
      <w:r w:rsidRPr="00547FB4">
        <w:t>1. att riksdagen som sin mening ger regeringen till känna vad i motionen anförts om att ordensreformen från 1974 skall upphävas,</w:t>
      </w:r>
    </w:p>
    <w:p w:rsidR="00012792" w:rsidRPr="00547FB4" w:rsidRDefault="00012792">
      <w:pPr>
        <w:pStyle w:val="Normaltindrag"/>
      </w:pPr>
      <w:r w:rsidRPr="00547FB4">
        <w:lastRenderedPageBreak/>
        <w:t>2. att riksdagen som sin mening ger regeringen till känna vad i motionen anförts om att en översyn av hela det statliga belöningssystemet bör geno</w:t>
      </w:r>
      <w:r w:rsidRPr="00547FB4">
        <w:t>m</w:t>
      </w:r>
      <w:r w:rsidRPr="00547FB4">
        <w:t>föras.</w:t>
      </w:r>
    </w:p>
    <w:p w:rsidR="00012792" w:rsidRPr="00547FB4" w:rsidRDefault="00012792">
      <w:r w:rsidRPr="00547FB4">
        <w:t>1999/2000:K243 av Cristina Husmark Pehrsson m.fl. (m) vari yrkas att rik</w:t>
      </w:r>
      <w:r w:rsidRPr="00547FB4">
        <w:t>s</w:t>
      </w:r>
      <w:r w:rsidRPr="00547FB4">
        <w:t>dagen som sin mening ger regeringen till känna vad i motionen anförts om behovet av en översyn av hela det officiella belöningssystemet och därmed också ordnar och medaljer.</w:t>
      </w:r>
    </w:p>
    <w:p w:rsidR="00012792" w:rsidRPr="00547FB4" w:rsidRDefault="00012792">
      <w:r w:rsidRPr="00547FB4">
        <w:t>1999/2000:K270 av Ulla Hoffmann och Kenneth Kvist (v) vari yrkas att riksdagen uppdrar åt riksdagens förvaltningsstyrelse att omförhandla öve</w:t>
      </w:r>
      <w:r w:rsidRPr="00547FB4">
        <w:t>r</w:t>
      </w:r>
      <w:r w:rsidRPr="00547FB4">
        <w:t>enskommelsen om ordningsföljden mellan slottet, riksdagen och Regering</w:t>
      </w:r>
      <w:r w:rsidRPr="00547FB4">
        <w:t>s</w:t>
      </w:r>
      <w:r w:rsidRPr="00547FB4">
        <w:t>kansliet när det gäller flagghissning.</w:t>
      </w:r>
    </w:p>
    <w:p w:rsidR="00012792" w:rsidRPr="00547FB4" w:rsidRDefault="00012792">
      <w:r w:rsidRPr="00547FB4">
        <w:t>1999/2000:K275 av Lars Tobisson (m) vari yrkas</w:t>
      </w:r>
    </w:p>
    <w:p w:rsidR="00012792" w:rsidRPr="00547FB4" w:rsidRDefault="00012792">
      <w:pPr>
        <w:pStyle w:val="Normaltindrag"/>
      </w:pPr>
      <w:r w:rsidRPr="00547FB4">
        <w:t>1. att riksdagen som sin mening ger regeringen till känna vad i motionen anförts om ökad användning av Europaflaggan och EU-symbolen i offentliga sammanhang,</w:t>
      </w:r>
    </w:p>
    <w:p w:rsidR="00012792" w:rsidRPr="00547FB4" w:rsidRDefault="00012792">
      <w:r w:rsidRPr="00547FB4">
        <w:t>1999/2000:K278 av Magnus Jacobsson (kd) vari yrkas att riksdagen som sin mening ger regeringen till känna vad i motionen anförts om nationaldagsf</w:t>
      </w:r>
      <w:r w:rsidRPr="00547FB4">
        <w:t>i</w:t>
      </w:r>
      <w:r w:rsidRPr="00547FB4">
        <w:t>rande.</w:t>
      </w:r>
    </w:p>
    <w:p w:rsidR="00012792" w:rsidRPr="00547FB4" w:rsidRDefault="00012792">
      <w:r w:rsidRPr="00547FB4">
        <w:t>1999/2000:K284 av Amanda Agestav och Magnus Jacobsson (kd) vari yrkas att riksdagen hos regeringen begär förslag till ett reformerat offentligt bel</w:t>
      </w:r>
      <w:r w:rsidRPr="00547FB4">
        <w:t>ö</w:t>
      </w:r>
      <w:r w:rsidRPr="00547FB4">
        <w:t>ningssystem.</w:t>
      </w:r>
    </w:p>
    <w:p w:rsidR="00012792" w:rsidRPr="00547FB4" w:rsidRDefault="00012792">
      <w:r w:rsidRPr="00547FB4">
        <w:t>1999/2000:K294 av Helena Bargholtz (fp) vari yrkas att riksdagen som sin mening ger talmanskonferensen till känna vad i motionen anförts om att placera en EU-flagga i riksdagens plenisal.</w:t>
      </w:r>
    </w:p>
    <w:p w:rsidR="00012792" w:rsidRPr="00547FB4" w:rsidRDefault="00012792">
      <w:pPr>
        <w:pStyle w:val="Rubrik1"/>
      </w:pPr>
      <w:bookmarkStart w:id="22" w:name="_Toc479495198"/>
      <w:r w:rsidRPr="00547FB4">
        <w:t>Utskottet</w:t>
      </w:r>
      <w:bookmarkEnd w:id="22"/>
    </w:p>
    <w:p w:rsidR="00012792" w:rsidRPr="00547FB4" w:rsidRDefault="00012792">
      <w:pPr>
        <w:pStyle w:val="Rubrik2"/>
        <w:spacing w:before="123"/>
      </w:pPr>
      <w:bookmarkStart w:id="23" w:name="_Toc479495199"/>
      <w:r w:rsidRPr="00547FB4">
        <w:t>Helgdagar</w:t>
      </w:r>
      <w:bookmarkEnd w:id="23"/>
    </w:p>
    <w:p w:rsidR="00012792" w:rsidRPr="00547FB4" w:rsidRDefault="00012792">
      <w:pPr>
        <w:pStyle w:val="Rubrik3"/>
        <w:spacing w:before="123"/>
      </w:pPr>
      <w:bookmarkStart w:id="24" w:name="_Toc479495200"/>
      <w:r w:rsidRPr="00547FB4">
        <w:t>Motioner</w:t>
      </w:r>
      <w:bookmarkEnd w:id="24"/>
    </w:p>
    <w:p w:rsidR="00012792" w:rsidRPr="00547FB4" w:rsidRDefault="00012792">
      <w:r w:rsidRPr="00547FB4">
        <w:t>I motion 1998/99:K202 av Ulla Hoffman (v) och Kenneth Kvist (v) begärs förslag till sådan ändring i lagen om allmänna helgdagar som innebär att den 8 mars blir allmän helgdag.</w:t>
      </w:r>
    </w:p>
    <w:p w:rsidR="00012792" w:rsidRPr="00547FB4" w:rsidRDefault="00012792">
      <w:pPr>
        <w:pStyle w:val="Normaltindrag"/>
      </w:pPr>
      <w:r w:rsidRPr="00547FB4">
        <w:t>Motionärerna framhåller att FN 1980 proklamerade den 8 mars som inte</w:t>
      </w:r>
      <w:r w:rsidRPr="00547FB4">
        <w:t>r</w:t>
      </w:r>
      <w:r w:rsidRPr="00547FB4">
        <w:t>nationell kvinnodag. Det innebär att år 2000 har 8 mars i tjugo år haft offic</w:t>
      </w:r>
      <w:r w:rsidRPr="00547FB4">
        <w:t>i</w:t>
      </w:r>
      <w:r w:rsidRPr="00547FB4">
        <w:t>ell status som den dag då kvinnor världen över samlas och gör manifestati</w:t>
      </w:r>
      <w:r w:rsidRPr="00547FB4">
        <w:t>o</w:t>
      </w:r>
      <w:r w:rsidRPr="00547FB4">
        <w:t>ner. Många kvinnor är dock förhindrade att delta i de demonstrationer, man</w:t>
      </w:r>
      <w:r w:rsidRPr="00547FB4">
        <w:t>i</w:t>
      </w:r>
      <w:r w:rsidRPr="00547FB4">
        <w:t>festationer, möten, föreläsningar, seminarier eller konferenser som anordnas på den internationella kvinnodagen därför att den oftast infaller på en arbet</w:t>
      </w:r>
      <w:r w:rsidRPr="00547FB4">
        <w:t>s</w:t>
      </w:r>
      <w:r w:rsidRPr="00547FB4">
        <w:t>dag. 15 andra länder har redan beslutat att göra 8 mars till helgdag, och m</w:t>
      </w:r>
      <w:r w:rsidRPr="00547FB4">
        <w:t>o</w:t>
      </w:r>
      <w:r w:rsidRPr="00547FB4">
        <w:t>tionärerna anser att Sverige bör vara ytterligare ett</w:t>
      </w:r>
      <w:r w:rsidRPr="00547FB4">
        <w:t xml:space="preserve"> land bland dessa. Ett beslut om att 8 mars skall vara helgdag skulle enligt motionärerna vara en viktig markering av Sverige som ett land som strävar efter jämställdhet.</w:t>
      </w:r>
    </w:p>
    <w:p w:rsidR="00012792" w:rsidRPr="00547FB4" w:rsidRDefault="00012792">
      <w:r w:rsidRPr="00547FB4">
        <w:t>I motion 1998/99:K246 av Per Unckel m.fl. (m) hemställs att riksdagen hos regeringen begär förslag till ändring i lagen om allmänna helgdagar (1989:253) i enlighet med vad som anförts i motionen.</w:t>
      </w:r>
    </w:p>
    <w:p w:rsidR="00012792" w:rsidRPr="00547FB4" w:rsidRDefault="00012792">
      <w:pPr>
        <w:pStyle w:val="Normaltindrag"/>
      </w:pPr>
      <w:r w:rsidRPr="00547FB4">
        <w:t>I motionen anförs sammanfattningsvis följande.</w:t>
      </w:r>
    </w:p>
    <w:p w:rsidR="00012792" w:rsidRPr="00547FB4" w:rsidRDefault="00012792">
      <w:pPr>
        <w:pStyle w:val="Normaltindrag"/>
      </w:pPr>
      <w:r w:rsidRPr="00547FB4">
        <w:t>Vi lever i en alltmer internationaliserad värld. För Sveriges del har detta främst tydliggjorts genom medlemskapet i Europeiska unionen. Internati</w:t>
      </w:r>
      <w:r w:rsidRPr="00547FB4">
        <w:t>o</w:t>
      </w:r>
      <w:r w:rsidRPr="00547FB4">
        <w:t>naliseringen syftar till ökat samarbete över nationsgränserna. För oss finns dock ingen motsättning mellan att eftersträva samarbete och att värna vårt nationella kulturarv. Ett nationaldagsfirande som är upplagt på lämpligt sätt kan motverka rasism och främlingsfientlighet. Av kostnadsskäl bör en annan arbetsfri dag upphöra när den 6 juni blir helgdag. Av skäl som redovisats av Nationaldagsutredningen bör annandag pingst därför upphöra som arbetsfri dag.</w:t>
      </w:r>
    </w:p>
    <w:p w:rsidR="00012792" w:rsidRPr="00547FB4" w:rsidRDefault="00012792">
      <w:r w:rsidRPr="00547FB4">
        <w:t>Enligt motion 1999/2000:K240 av Ingvar Svensson m.f</w:t>
      </w:r>
      <w:r w:rsidRPr="00547FB4">
        <w:t>l. (kd) bör riksdagen som sin mening ge regeringen till känna vad i motionen anförts om att göra nationaldagen den 6 juni till en allmän helgdag (yrkande 1). Det är enligt motionen en självklarhet att alla skall kunna fira denna dag. Frågan om vi</w:t>
      </w:r>
      <w:r w:rsidRPr="00547FB4">
        <w:t>l</w:t>
      </w:r>
      <w:r w:rsidRPr="00547FB4">
        <w:t>ken dag som skall ersätta den nya helgdagen bör utredas ytterligare. Detta bör riksdagen ge regeringen till känna (yrkande 2).</w:t>
      </w:r>
    </w:p>
    <w:p w:rsidR="00012792" w:rsidRPr="00547FB4" w:rsidRDefault="00012792">
      <w:r w:rsidRPr="00547FB4">
        <w:t>I motion 1999/2000:K278 av Magnus Jacobsson (kd) föreslås att riksdagen som sin mening ger regeringen till känna vad i motionen anförts om</w:t>
      </w:r>
      <w:r w:rsidRPr="00547FB4">
        <w:t xml:space="preserve"> nati</w:t>
      </w:r>
      <w:r w:rsidRPr="00547FB4">
        <w:t>o</w:t>
      </w:r>
      <w:r w:rsidRPr="00547FB4">
        <w:t>naldagsfirande. Enligt motionären är det viktigt att vi använder de nationella symboler som finns på ett sådant sätt att alla som bor i Sverige känner sig delaktiga i den fortsatta uppbyggnaden av det svenska samhället. Det vore därför bra om man använde exempelvis nationaldagen som en dag då man pekar på både dels det gamla, dels det nya Sverige som håller på att växa fram. Motionären anser det önskvärt att nationaldagen blir en allmän helgdag där vi kan fira vår gemensamma nation, men också en dag d</w:t>
      </w:r>
      <w:r w:rsidRPr="00547FB4">
        <w:t>å man exempe</w:t>
      </w:r>
      <w:r w:rsidRPr="00547FB4">
        <w:t>l</w:t>
      </w:r>
      <w:r w:rsidRPr="00547FB4">
        <w:t>vis i olika kommuner kan hälsa nya kommuninvånare välkomna.</w:t>
      </w:r>
    </w:p>
    <w:p w:rsidR="00012792" w:rsidRPr="00547FB4" w:rsidRDefault="00012792">
      <w:pPr>
        <w:pStyle w:val="Rubrik3"/>
      </w:pPr>
      <w:bookmarkStart w:id="25" w:name="_Toc479495201"/>
      <w:r w:rsidRPr="00547FB4">
        <w:t>Gällande ordning</w:t>
      </w:r>
      <w:bookmarkEnd w:id="25"/>
    </w:p>
    <w:p w:rsidR="00012792" w:rsidRPr="00547FB4" w:rsidRDefault="00012792">
      <w:r w:rsidRPr="00547FB4">
        <w:t>Enligt 1 § lagen (1989:253) om allmänna helgdagar avses med allmän hel</w:t>
      </w:r>
      <w:r w:rsidRPr="00547FB4">
        <w:t>g</w:t>
      </w:r>
      <w:r w:rsidRPr="00547FB4">
        <w:t>dag söndagar, däribland påskdagen och pingstdagen, samt nyårsdagen, tre</w:t>
      </w:r>
      <w:r w:rsidRPr="00547FB4">
        <w:t>t</w:t>
      </w:r>
      <w:r w:rsidRPr="00547FB4">
        <w:t>tondedag jul, första maj, juldagen och annandag jul, även när de inte infaller på en söndag, vidare långfredagen, annandag påsk, Kristi himmelsfärdsdag, annandag pingst, midsommardagen och alla helgons dag. Lagen trädde i kraft den 1 januari 1990.</w:t>
      </w:r>
    </w:p>
    <w:p w:rsidR="00012792" w:rsidRPr="00547FB4" w:rsidRDefault="00012792">
      <w:pPr>
        <w:pStyle w:val="Normaltindrag"/>
      </w:pPr>
      <w:r w:rsidRPr="00547FB4">
        <w:t>I förarbetena (prop. 1988/89:114 s. 5) konstateras att flera funktioner är knutna till helgdagsbegreppet genom föreskrifter i olika författningar. Det gäller framför allt föreskrifter som reg</w:t>
      </w:r>
      <w:r w:rsidRPr="00547FB4">
        <w:t>lerar när åtgärder skall vidtas och hur tiden skall beräknas när en förfallodag e.d. infaller på en söndag eller annan allmän helgdag. Som exempel nämns vidare att enligt 9 § semesterlagen (1977:480) gäller bl.a. att helgdagar normalt inte räknas som semesterdagar. Vidare framhålls i propositionen att vad som är allmän helgdag är av stor rättslig och samhällsekonomisk betydelse.</w:t>
      </w:r>
    </w:p>
    <w:p w:rsidR="00012792" w:rsidRPr="00547FB4" w:rsidRDefault="00012792">
      <w:pPr>
        <w:pStyle w:val="Rubrik3"/>
      </w:pPr>
      <w:bookmarkStart w:id="26" w:name="_Toc479495202"/>
      <w:r w:rsidRPr="00547FB4">
        <w:t>Tidigare behandling</w:t>
      </w:r>
      <w:bookmarkEnd w:id="26"/>
    </w:p>
    <w:p w:rsidR="00012792" w:rsidRPr="00547FB4" w:rsidRDefault="00012792">
      <w:r w:rsidRPr="00547FB4">
        <w:t>Med anledning av propositionen om allmänna helgdagar väcktes motioner med förslag om att nationaldagen skulle bli helgdag. Vid sin behandling av propositionen jämte motioner hänvisade utskottet (bet. 1988/89:KU29) till ett tidigare uttalande om att de gällande formerna för firandet av nationald</w:t>
      </w:r>
      <w:r w:rsidRPr="00547FB4">
        <w:t>a</w:t>
      </w:r>
      <w:r w:rsidRPr="00547FB4">
        <w:t>gen/svenska flaggans dag gav tillräckligt utrymme för att markera nationa</w:t>
      </w:r>
      <w:r w:rsidRPr="00547FB4">
        <w:t>l</w:t>
      </w:r>
      <w:r w:rsidRPr="00547FB4">
        <w:t>dagens betydelse i det svenska samhället.</w:t>
      </w:r>
    </w:p>
    <w:p w:rsidR="00012792" w:rsidRPr="00547FB4" w:rsidRDefault="00012792">
      <w:pPr>
        <w:pStyle w:val="Normaltindrag"/>
      </w:pPr>
      <w:r w:rsidRPr="00547FB4">
        <w:t>Frågan om nationaldagen som allmän helgdag har därefter behandlats av utskottet vid flera tillfällen. Vid riksmötet 1991/92 ansåg utskottet (bet. 1991/92:KU9), som var medvetet om att införande av ytterligare en helgdag bl.a. hade ekonomiska aspekter, att frågan på lämpligt sätt borde bli föremål för utredning.</w:t>
      </w:r>
    </w:p>
    <w:p w:rsidR="00012792" w:rsidRPr="00547FB4" w:rsidRDefault="00012792">
      <w:pPr>
        <w:pStyle w:val="Normaltindrag"/>
      </w:pPr>
      <w:r w:rsidRPr="00547FB4">
        <w:t>Regeringen tillsatte i september 1993 en utredning med syfte att utreda förutsättningarna för att göra nationaldagen den 6 juni till helgdag. Enligt direktiven (dir. 1993:104) var det av vikt att utredningen särskilt studerade de ekonomiska konsekvenserna som inrättandet av en ny helgdag skulle få, såväl för den offentliga sektorn som för näringslivet och övriga delar av samhället. I utredarens uppdrag låg också att undersöka konsekvenserna, ekonomiska och andra, av att inrätta nationaldagen som helgdag på</w:t>
      </w:r>
      <w:r w:rsidRPr="00547FB4">
        <w:t xml:space="preserve"> bekos</w:t>
      </w:r>
      <w:r w:rsidRPr="00547FB4">
        <w:t>t</w:t>
      </w:r>
      <w:r w:rsidRPr="00547FB4">
        <w:t xml:space="preserve">nad av någon nu existerande allmän helgdag. </w:t>
      </w:r>
    </w:p>
    <w:p w:rsidR="00012792" w:rsidRPr="00547FB4" w:rsidRDefault="00012792">
      <w:pPr>
        <w:pStyle w:val="Normaltindrag"/>
      </w:pPr>
      <w:r w:rsidRPr="00547FB4">
        <w:t>Utredaren föreslog i sitt betänkande (SOU 1994:58) att nationaldagen den 6 juni blir allmän helgdag samtidigt som annandag pingst upphör att vara helgdag. Utredaren hade kommit fram till denna slutsats dels genom att studera de ekonomiska konsekvenserna av ytterligare en helgdag, dels g</w:t>
      </w:r>
      <w:r w:rsidRPr="00547FB4">
        <w:t>e</w:t>
      </w:r>
      <w:r w:rsidRPr="00547FB4">
        <w:t>nom att beakta folkliga och kyrkliga traditioner. Sammanfattningsvis angav utredaren att om man införde nationaldagen som en helgdag, utan att ändra något annat, skulle det medföra ett årligt inkomstbortfall inom tillver</w:t>
      </w:r>
      <w:r w:rsidRPr="00547FB4">
        <w:t>k</w:t>
      </w:r>
      <w:r w:rsidRPr="00547FB4">
        <w:t>ningsindu</w:t>
      </w:r>
      <w:r w:rsidRPr="00547FB4">
        <w:softHyphen/>
        <w:t>strin på omkring 0,3 % i genomsnitt. Bruttonationalprodukten skulle minska med mellan 0,2 och 0,3 %, dvs. mellan tre och fyra miljarder kronor baserat på 1992 års produktion. Utredaren anförde att det inte kunde anses rimligt att i dagens ekonomiska läge införa ytterligare en hel</w:t>
      </w:r>
      <w:r w:rsidRPr="00547FB4">
        <w:t>gdag. Om nationaldagen skall bli helgdag borde en befintlig helgdag tas bort eller fly</w:t>
      </w:r>
      <w:r w:rsidRPr="00547FB4">
        <w:t>t</w:t>
      </w:r>
      <w:r w:rsidRPr="00547FB4">
        <w:t>tas. Som möjliga alternativ i utredningen diskuterades att första maj, tretto</w:t>
      </w:r>
      <w:r w:rsidRPr="00547FB4">
        <w:t>n</w:t>
      </w:r>
      <w:r w:rsidRPr="00547FB4">
        <w:t>dedag jul, Kristi himmelsfärdsdag eller annandag pingst upphörde att vara helgdag. I valet mellan de aktuella helgdagarna fann utredaren, med bea</w:t>
      </w:r>
      <w:r w:rsidRPr="00547FB4">
        <w:t>k</w:t>
      </w:r>
      <w:r w:rsidRPr="00547FB4">
        <w:t>tande av ekonomiska, teologiska och sociala aspekter, att annandag pingst var den helgdag som framstod som minst olämplig att ta bort.</w:t>
      </w:r>
    </w:p>
    <w:p w:rsidR="00012792" w:rsidRPr="00547FB4" w:rsidRDefault="00012792">
      <w:pPr>
        <w:pStyle w:val="Normaltindrag"/>
      </w:pPr>
      <w:r w:rsidRPr="00547FB4">
        <w:t>I budgetpropositionen 1994/95:100 bil. 3 s. 14 angav regeringen at</w:t>
      </w:r>
      <w:r w:rsidRPr="00547FB4">
        <w:t>t tanken att göra nationaldagen till helgdag inte borde fullföljas.</w:t>
      </w:r>
    </w:p>
    <w:p w:rsidR="00012792" w:rsidRPr="00547FB4" w:rsidRDefault="00012792">
      <w:pPr>
        <w:pStyle w:val="Normaltindrag"/>
      </w:pPr>
      <w:r w:rsidRPr="00547FB4">
        <w:t>Konstitutionsutskottet behandlade i betänkande 1995/96:KU11 motioner om nationaldagen som helgdag. Enligt utskottets mening gav de gällande formerna för firande av nationaldagen och svenska flaggans dag den 6 juni tillräckligt utrymme för att markera denna dags betydelse i det svenska sa</w:t>
      </w:r>
      <w:r w:rsidRPr="00547FB4">
        <w:t>m</w:t>
      </w:r>
      <w:r w:rsidRPr="00547FB4">
        <w:t>hället. Motionerna avslogs. Detta ställningstagande vidhölls vid behandlin</w:t>
      </w:r>
      <w:r w:rsidRPr="00547FB4">
        <w:t>g</w:t>
      </w:r>
      <w:r w:rsidRPr="00547FB4">
        <w:t>en av motioner i ämnet under 1997/98 års riksmöte (1997/98:KU9 s. 5–6).</w:t>
      </w:r>
    </w:p>
    <w:p w:rsidR="00012792" w:rsidRPr="00547FB4" w:rsidRDefault="00012792">
      <w:pPr>
        <w:pStyle w:val="Rubrik3"/>
        <w:spacing w:before="123"/>
      </w:pPr>
      <w:bookmarkStart w:id="27" w:name="_Toc403900681"/>
      <w:bookmarkStart w:id="28" w:name="_Toc479495203"/>
      <w:r w:rsidRPr="00547FB4">
        <w:t>Utskottets bedömning</w:t>
      </w:r>
      <w:bookmarkEnd w:id="27"/>
      <w:bookmarkEnd w:id="28"/>
    </w:p>
    <w:p w:rsidR="00012792" w:rsidRPr="00547FB4" w:rsidRDefault="00012792">
      <w:r w:rsidRPr="00547FB4">
        <w:t>Utskottet vidhåller sin tidigare bedömning att de gällande formerna för fira</w:t>
      </w:r>
      <w:r w:rsidRPr="00547FB4">
        <w:t>n</w:t>
      </w:r>
      <w:r w:rsidRPr="00547FB4">
        <w:t>de av nationaldagen och svenska flaggans dag den 6 juni ger tillräckligt utrymme för att markera denna dags betydelse i det svenska samhället. M</w:t>
      </w:r>
      <w:r w:rsidRPr="00547FB4">
        <w:t>o</w:t>
      </w:r>
      <w:r w:rsidRPr="00547FB4">
        <w:t>tionerna K246 (m), 1999/2000:K240 (kd) och K278 (kd) avstyrks.</w:t>
      </w:r>
    </w:p>
    <w:p w:rsidR="00012792" w:rsidRPr="00547FB4" w:rsidRDefault="00012792">
      <w:pPr>
        <w:pStyle w:val="Normaltindrag"/>
      </w:pPr>
      <w:r w:rsidRPr="00547FB4">
        <w:t>Även förslaget i motion 1998/99:K202 (v) att göra den internationella kvinnodagen till allmän helgdag avstyrks.</w:t>
      </w:r>
    </w:p>
    <w:p w:rsidR="00012792" w:rsidRPr="00547FB4" w:rsidRDefault="00012792">
      <w:pPr>
        <w:pStyle w:val="Rubrik2"/>
      </w:pPr>
      <w:bookmarkStart w:id="29" w:name="_Toc479495204"/>
      <w:r w:rsidRPr="00547FB4">
        <w:t>Ordensväsendet</w:t>
      </w:r>
      <w:bookmarkEnd w:id="29"/>
    </w:p>
    <w:p w:rsidR="00012792" w:rsidRPr="00547FB4" w:rsidRDefault="00012792">
      <w:pPr>
        <w:pStyle w:val="Rubrik3"/>
        <w:spacing w:before="123"/>
      </w:pPr>
      <w:bookmarkStart w:id="30" w:name="_Toc479495205"/>
      <w:r w:rsidRPr="00547FB4">
        <w:t>Motioner</w:t>
      </w:r>
      <w:bookmarkEnd w:id="30"/>
    </w:p>
    <w:p w:rsidR="00012792" w:rsidRPr="00547FB4" w:rsidRDefault="00012792">
      <w:r w:rsidRPr="00547FB4">
        <w:t>I motion 1999/2000:K241 av Inger Davidson (kd) hemställs att riksdagen som sin mening ger regeringen till känna vad i motionen anförts om att o</w:t>
      </w:r>
      <w:r w:rsidRPr="00547FB4">
        <w:t>r</w:t>
      </w:r>
      <w:r w:rsidRPr="00547FB4">
        <w:t>densreformen från 1974 skall upphävas (yrkande 1). Vidare bör riksdagen som sin mening ge regeringen till känna vad i motionen anförts om att en översyn av hela det statliga belöningssystemet bör genomföras (yrkande 2).</w:t>
      </w:r>
    </w:p>
    <w:p w:rsidR="00012792" w:rsidRPr="00547FB4" w:rsidRDefault="00012792">
      <w:pPr>
        <w:pStyle w:val="Normaltindrag"/>
      </w:pPr>
      <w:r w:rsidRPr="00547FB4">
        <w:t xml:space="preserve">Motionären erinrar om att sedan den 1 januari 1975 delas inte längre ut några riddarordnar till svenska medborgare. Endast utländska medborgare har möjlighet att komma i fråga. Detta bör enligt motionären ändras. Ett framgångsrikt arbete som haft stor betydelse för många människors liv och </w:t>
      </w:r>
      <w:r w:rsidRPr="00547FB4">
        <w:t>kanske för hela samhället förtjänar uppskattning. Att alla inte kan komma ifråga borde inte vara en tillräcklig anledning att helt och hållet avstå från att belöna och uppmuntra välförtjänta svenska medborgare inom olika samhäll</w:t>
      </w:r>
      <w:r w:rsidRPr="00547FB4">
        <w:t>s</w:t>
      </w:r>
      <w:r w:rsidRPr="00547FB4">
        <w:t>sektorer.</w:t>
      </w:r>
    </w:p>
    <w:p w:rsidR="00012792" w:rsidRPr="00547FB4" w:rsidRDefault="00012792">
      <w:pPr>
        <w:pStyle w:val="Normaltindrag"/>
      </w:pPr>
      <w:r w:rsidRPr="00547FB4">
        <w:t>Ordensreformen från 1974 bör enligt motionärens mening upphävas. Det innebär följande:</w:t>
      </w:r>
    </w:p>
    <w:p w:rsidR="00012792" w:rsidRPr="00547FB4" w:rsidRDefault="00012792">
      <w:pPr>
        <w:numPr>
          <w:ilvl w:val="0"/>
          <w:numId w:val="9"/>
        </w:numPr>
        <w:tabs>
          <w:tab w:val="clear" w:pos="360"/>
          <w:tab w:val="num" w:pos="142"/>
        </w:tabs>
        <w:ind w:left="113" w:hanging="113"/>
      </w:pPr>
      <w:r w:rsidRPr="00547FB4">
        <w:t>Serafimerorden och Nordstjärneorden med Nordstjärnemedaljen utdelas till svenska medborgare,</w:t>
      </w:r>
    </w:p>
    <w:p w:rsidR="00012792" w:rsidRPr="00547FB4" w:rsidRDefault="00012792">
      <w:pPr>
        <w:numPr>
          <w:ilvl w:val="0"/>
          <w:numId w:val="9"/>
        </w:numPr>
        <w:tabs>
          <w:tab w:val="clear" w:pos="360"/>
          <w:tab w:val="num" w:pos="142"/>
        </w:tabs>
        <w:spacing w:before="0"/>
        <w:ind w:left="113" w:hanging="113"/>
      </w:pPr>
      <w:r w:rsidRPr="00547FB4">
        <w:t>Svärdsorden och Vasaorden öppnas (har vilat sedan 1975),</w:t>
      </w:r>
    </w:p>
    <w:p w:rsidR="00012792" w:rsidRPr="00547FB4" w:rsidRDefault="00012792">
      <w:pPr>
        <w:numPr>
          <w:ilvl w:val="0"/>
          <w:numId w:val="9"/>
        </w:numPr>
        <w:tabs>
          <w:tab w:val="clear" w:pos="360"/>
          <w:tab w:val="num" w:pos="142"/>
        </w:tabs>
        <w:spacing w:before="0"/>
        <w:ind w:left="113" w:hanging="113"/>
      </w:pPr>
      <w:r w:rsidRPr="00547FB4">
        <w:t>Svärds- och Vasatecknet utdelas (har vilat sedan 1975).</w:t>
      </w:r>
    </w:p>
    <w:p w:rsidR="00012792" w:rsidRPr="00547FB4" w:rsidRDefault="00012792">
      <w:r w:rsidRPr="00547FB4">
        <w:t>I motion 1999/2000:K243 av Cristina Husmark Pehrsson m.fl. (m) hemställs att riksdagen som sin mening ger regeringen till känna vad i motionen a</w:t>
      </w:r>
      <w:r w:rsidRPr="00547FB4">
        <w:t>n</w:t>
      </w:r>
      <w:r w:rsidRPr="00547FB4">
        <w:t>förts om behovet av en översyn av hela det officiella belöningssystemet och därmed också ordnar och medaljer.</w:t>
      </w:r>
    </w:p>
    <w:p w:rsidR="00012792" w:rsidRPr="00547FB4" w:rsidRDefault="00012792">
      <w:pPr>
        <w:pStyle w:val="Normaltindrag"/>
      </w:pPr>
      <w:r w:rsidRPr="00547FB4">
        <w:t>Enligt motionen behöver det göras en översyn av det officiella belöning</w:t>
      </w:r>
      <w:r w:rsidRPr="00547FB4">
        <w:t>s</w:t>
      </w:r>
      <w:r w:rsidRPr="00547FB4">
        <w:t>systemet. Utgångspunkten för en sådan översyn bör vara att belöningssy</w:t>
      </w:r>
      <w:r w:rsidRPr="00547FB4">
        <w:t>s</w:t>
      </w:r>
      <w:r w:rsidRPr="00547FB4">
        <w:t>temet skall vara präglat av vår tids demokratiska samhällssyn. Det får därför inte utesluta vissa samhällssektorer, personer eller personalkategorier eller enbart ta hänsyn till tjänsteställning och ålder. Det bör i stället framför allt syfta till att komplettera befintliga system genom att göra det möjligt för det allmänna att officiellt belöna och uppmuntra var och en som gjort en up</w:t>
      </w:r>
      <w:r w:rsidRPr="00547FB4">
        <w:t>p</w:t>
      </w:r>
      <w:r w:rsidRPr="00547FB4">
        <w:t>skattad insats.</w:t>
      </w:r>
    </w:p>
    <w:p w:rsidR="00012792" w:rsidRPr="00547FB4" w:rsidRDefault="00012792">
      <w:pPr>
        <w:pStyle w:val="Normaltindrag"/>
      </w:pPr>
      <w:r w:rsidRPr="00547FB4">
        <w:t>Erfarenheterna under de snart tjugo</w:t>
      </w:r>
      <w:r w:rsidRPr="00547FB4">
        <w:t>fem år som gått sedan belöningssy</w:t>
      </w:r>
      <w:r w:rsidRPr="00547FB4">
        <w:t>s</w:t>
      </w:r>
      <w:r w:rsidRPr="00547FB4">
        <w:t>temet förändrades är enligt motionen att det finns ett stort behov av att bel</w:t>
      </w:r>
      <w:r w:rsidRPr="00547FB4">
        <w:t>ö</w:t>
      </w:r>
      <w:r w:rsidRPr="00547FB4">
        <w:t>na personer för medborgerliga insatser. Regeringens medalj Illis Quorum används i ökad utsträckning som belöning för insatser på skilda samhällso</w:t>
      </w:r>
      <w:r w:rsidRPr="00547FB4">
        <w:t>m</w:t>
      </w:r>
      <w:r w:rsidRPr="00547FB4">
        <w:t>råden och delas ut på initiativ av enskilda statsråd utan att följa någon öve</w:t>
      </w:r>
      <w:r w:rsidRPr="00547FB4">
        <w:t>r</w:t>
      </w:r>
      <w:r w:rsidRPr="00547FB4">
        <w:t>gripande plan. Någon lämplig belöningsform för särskilda kategorier som gjort berömvärda insatser vid internationella fredsbevarande eller humanitära insatser finns inte heller</w:t>
      </w:r>
      <w:r w:rsidRPr="00547FB4">
        <w:t xml:space="preserve"> enligt motionen.</w:t>
      </w:r>
    </w:p>
    <w:p w:rsidR="00012792" w:rsidRPr="00547FB4" w:rsidRDefault="00012792">
      <w:pPr>
        <w:pStyle w:val="Normaltindrag"/>
      </w:pPr>
      <w:r w:rsidRPr="00547FB4">
        <w:t>Motionärerna anser att det finns ett behov av att belöna vilket syns inte minst i utnyttjandet av H.M. Konungens medalj och den medalj som utdelas av regeringen. Samtidigt har nya medaljer instiftats av bl.a. utrikesförval</w:t>
      </w:r>
      <w:r w:rsidRPr="00547FB4">
        <w:t>t</w:t>
      </w:r>
      <w:r w:rsidRPr="00547FB4">
        <w:t>ningen och  försvarsmakten.</w:t>
      </w:r>
    </w:p>
    <w:p w:rsidR="00012792" w:rsidRPr="00547FB4" w:rsidRDefault="00012792">
      <w:pPr>
        <w:pStyle w:val="Normaltindrag"/>
      </w:pPr>
      <w:r w:rsidRPr="00547FB4">
        <w:t>Det svenska officiella belöningssystemet kan enligt motionen således up</w:t>
      </w:r>
      <w:r w:rsidRPr="00547FB4">
        <w:t>p</w:t>
      </w:r>
      <w:r w:rsidRPr="00547FB4">
        <w:t>fattas som otillräckligt och oöverskådligt, och det är också otidsenligt genom att det inte likställer svenska och utländska medborgare.</w:t>
      </w:r>
    </w:p>
    <w:p w:rsidR="00012792" w:rsidRPr="00547FB4" w:rsidRDefault="00012792">
      <w:r w:rsidRPr="00547FB4">
        <w:t>I motion 1999/2000:K284 av Amanda Agestav (kd) och Magnus Jacobsson (kd) hemställs att riksdagen hos regeringen begär förslag till ett reformerat offentligt belöningssystem.</w:t>
      </w:r>
    </w:p>
    <w:p w:rsidR="00012792" w:rsidRPr="00547FB4" w:rsidRDefault="00012792">
      <w:pPr>
        <w:pStyle w:val="Normaltindrag"/>
      </w:pPr>
      <w:r w:rsidRPr="00547FB4">
        <w:t>Motionärerna framhåller att ordnar i alla tider har varit ett sätt för en stat att belöna sina medborgare för viktiga och betydelsefulla insatser. Från bö</w:t>
      </w:r>
      <w:r w:rsidRPr="00547FB4">
        <w:t>r</w:t>
      </w:r>
      <w:r w:rsidRPr="00547FB4">
        <w:t>jan fungerade ordnar som en furstes sätt att visa uppskattning och var ofta förknippade med särskilda förmåner. I modern tid har dock ordnar endast inneburit att en enskild medborgare erhållit bevis för statens tacksamhet. Det finns många medborgare i vårt land som gör förtjänstfulla insatser för riket. Att ge dem ett offentligt erkännande är viktigt.</w:t>
      </w:r>
    </w:p>
    <w:p w:rsidR="00012792" w:rsidRPr="00547FB4" w:rsidRDefault="00012792">
      <w:pPr>
        <w:pStyle w:val="Normaltindrag"/>
      </w:pPr>
      <w:r w:rsidRPr="00547FB4">
        <w:t>I Sverige togs möjligheten för rikets statschef att utdela ordnar bort i och med den nya grundlagen 1974. Den socialdemokratiska majoriteten ansåg att ordens</w:t>
      </w:r>
      <w:r w:rsidRPr="00547FB4">
        <w:t>väsendet var ett förlegat och odemokratiskt belöningssystem som tillhörde det förgångna. Det märkliga i detta sammanhang var dock att u</w:t>
      </w:r>
      <w:r w:rsidRPr="00547FB4">
        <w:t>t</w:t>
      </w:r>
      <w:r w:rsidRPr="00547FB4">
        <w:t>ländska medborgare inte ansågs omfattas av de socialistiska jämlikhetsstr</w:t>
      </w:r>
      <w:r w:rsidRPr="00547FB4">
        <w:t>ä</w:t>
      </w:r>
      <w:r w:rsidRPr="00547FB4">
        <w:t>vandena. Ordnar delas nämligen fortfarande ut till medborgare i andra lä</w:t>
      </w:r>
      <w:r w:rsidRPr="00547FB4">
        <w:t>n</w:t>
      </w:r>
      <w:r w:rsidRPr="00547FB4">
        <w:t>der. Den andra underligheten är att de tidigare ordnarna ersattes av ett m</w:t>
      </w:r>
      <w:r w:rsidRPr="00547FB4">
        <w:t>e</w:t>
      </w:r>
      <w:r w:rsidRPr="00547FB4">
        <w:t>daljsystem. Förtjänta svenska medborgare får i dag av konungen medaljer av olika slag.</w:t>
      </w:r>
    </w:p>
    <w:p w:rsidR="00012792" w:rsidRPr="00547FB4" w:rsidRDefault="00012792">
      <w:pPr>
        <w:pStyle w:val="Normaltindrag"/>
      </w:pPr>
      <w:r w:rsidRPr="00547FB4">
        <w:t>Enligt motionen kompletterar ordnarna och medaljerna varandra men h</w:t>
      </w:r>
      <w:r w:rsidRPr="00547FB4">
        <w:t>ar olika uppgifter att fylla i ett integrerat offentligt belöningssystem. Behovet för statsmakten att visa uppskattning finns således kvar, samtidigt som fo</w:t>
      </w:r>
      <w:r w:rsidRPr="00547FB4">
        <w:t>r</w:t>
      </w:r>
      <w:r w:rsidRPr="00547FB4">
        <w:t>merna för detta är minst sagt torftiga.</w:t>
      </w:r>
    </w:p>
    <w:p w:rsidR="00012792" w:rsidRPr="00547FB4" w:rsidRDefault="00012792">
      <w:pPr>
        <w:pStyle w:val="Normaltindrag"/>
      </w:pPr>
      <w:r w:rsidRPr="00547FB4">
        <w:t>Motionärerna anser att vi nu bör ta steget helt ut och återigen förläna även svenska medborgare de kungliga ordnarna. I dag finns i princip endast två kungliga ordnar kvar. Det är den förnämsta av dem alla, Serafimerorden, som i princip endast tilldelas medlemmar av kungliga familjer och prom</w:t>
      </w:r>
      <w:r w:rsidRPr="00547FB4">
        <w:t>i</w:t>
      </w:r>
      <w:r w:rsidRPr="00547FB4">
        <w:t>nenta statschefer. Den andra är Nordstjärneorden, som delas ut i ”parti och minut” på svenska statsbesök och vid statsbesök i riket. De två andra ordna</w:t>
      </w:r>
      <w:r w:rsidRPr="00547FB4">
        <w:t>r</w:t>
      </w:r>
      <w:r w:rsidRPr="00547FB4">
        <w:t>na, den välkända Vasaorden och den mindre kända Svärdsorden, som i pri</w:t>
      </w:r>
      <w:r w:rsidRPr="00547FB4">
        <w:t>n</w:t>
      </w:r>
      <w:r w:rsidRPr="00547FB4">
        <w:t>cip endast gavs till officerare, avskaffades helt 1975. Dessa ordnar bör enligt motionen återupprättas.</w:t>
      </w:r>
    </w:p>
    <w:p w:rsidR="00012792" w:rsidRPr="00547FB4" w:rsidRDefault="00012792">
      <w:pPr>
        <w:pStyle w:val="Normaltindrag"/>
      </w:pPr>
      <w:r w:rsidRPr="00547FB4">
        <w:t>Enligt motionen bör en översyn göras med anlitande av  historisk expertis. Därefter bör ett förslag framläggas till ett återinförande av ett offentligt bel</w:t>
      </w:r>
      <w:r w:rsidRPr="00547FB4">
        <w:t>ö</w:t>
      </w:r>
      <w:r w:rsidRPr="00547FB4">
        <w:t>ningssystem, som också bör avse svenska medborgare.</w:t>
      </w:r>
    </w:p>
    <w:p w:rsidR="00012792" w:rsidRPr="00547FB4" w:rsidRDefault="00012792">
      <w:pPr>
        <w:pStyle w:val="Rubrik3"/>
        <w:spacing w:before="123"/>
      </w:pPr>
      <w:bookmarkStart w:id="31" w:name="_Toc479495206"/>
      <w:r w:rsidRPr="00547FB4">
        <w:t>Gällande ordning</w:t>
      </w:r>
      <w:bookmarkEnd w:id="31"/>
    </w:p>
    <w:p w:rsidR="00012792" w:rsidRPr="00547FB4" w:rsidRDefault="00012792">
      <w:r w:rsidRPr="00547FB4">
        <w:t>Det svenska ordensväsendet reformerades år 1975. Då upphörde möjligheten att tilldela svenska medborgare ordensutmärkelse (se prop. 1973:91, KU27). Av Kungl. Maj:ts ordenskungörelse (1974:768) framgår att utländsk stat</w:t>
      </w:r>
      <w:r w:rsidRPr="00547FB4">
        <w:t>s</w:t>
      </w:r>
      <w:r w:rsidRPr="00547FB4">
        <w:t>chef eller därmed jämställd kan tilldelas utmärkelse inom Kungl. Seraf</w:t>
      </w:r>
      <w:r w:rsidRPr="00547FB4">
        <w:t>i</w:t>
      </w:r>
      <w:r w:rsidRPr="00547FB4">
        <w:t>merorden och att utländsk medborgare eller statslös bosatt utom riket kan tilldelas utmärkelse inom Kungl. Nordstjärneorden på grund av personliga insatser för Sverige eller för svenskt intresse.</w:t>
      </w:r>
    </w:p>
    <w:p w:rsidR="00012792" w:rsidRPr="00547FB4" w:rsidRDefault="00012792">
      <w:pPr>
        <w:pStyle w:val="Normaltindrag"/>
      </w:pPr>
      <w:r w:rsidRPr="00547FB4">
        <w:t>Det finns fyra svenska riddarordnar, nämligen Serafimer-, Svärds-, Nordstjärne- och Vasaordnarna. Som sammanfattande beteckning brukar användas Kungl. Maj:ts orden. Serafimerorden består av endast en klass och var tidigare avsedd som belöning ”</w:t>
      </w:r>
      <w:r w:rsidRPr="00547FB4">
        <w:t>för dem, vilka genom sina tjänster till Konung och fädernesland gjort sig högst förtjänta och således blivit värdiga att bekläda rikets högsta ämbeten”. Serafimerorden kan ges till utländsk statschef eller därmed jämställd. Tidigare gällde att de svenska Serafimerri</w:t>
      </w:r>
      <w:r w:rsidRPr="00547FB4">
        <w:t>d</w:t>
      </w:r>
      <w:r w:rsidRPr="00547FB4">
        <w:t>darnas antal inte fick överstiga 32. Inom denna orden finns alltsedan til</w:t>
      </w:r>
      <w:r w:rsidRPr="00547FB4">
        <w:t>l</w:t>
      </w:r>
      <w:r w:rsidRPr="00547FB4">
        <w:t>komsten en Serafimermedalj, tidigare avsedd att förlänas ”personer som gjort sig synnerligen förtjänta genom verksam vård om fattiga”.</w:t>
      </w:r>
    </w:p>
    <w:p w:rsidR="00012792" w:rsidRPr="00547FB4" w:rsidRDefault="00012792">
      <w:pPr>
        <w:pStyle w:val="Normaltindrag"/>
      </w:pPr>
      <w:r w:rsidRPr="00547FB4">
        <w:t>Svärdsorden utdelas inte längre. Den</w:t>
      </w:r>
      <w:r w:rsidRPr="00547FB4">
        <w:t xml:space="preserve"> var avsedd som en belöning ”för gagnande och långvarig verksamhet” inom krigsmakten. Inom Svärdsorden finns fem grader, ett Svärdstecken för underofficer och en Svärdsmedalj för ”manskap”.</w:t>
      </w:r>
    </w:p>
    <w:p w:rsidR="00012792" w:rsidRPr="00547FB4" w:rsidRDefault="00012792">
      <w:pPr>
        <w:pStyle w:val="Normaltindrag"/>
      </w:pPr>
      <w:r w:rsidRPr="00547FB4">
        <w:t>Nordstjärneorden var tidigare avsedd som belöning ”för medborgerliga förtjänster, för ämbets- eller tjänstemannagärning, för vetenskaper, vittra, lärda och nyttiga arbeten samt för nya och gagneliga inrättningar”. Den kan numera förlänas utländsk medborgare på grund av personliga insatser för Sverige eller för svenskt in</w:t>
      </w:r>
      <w:r w:rsidRPr="00547FB4">
        <w:t>tresse. Inom Nordstjärneorden finns fem grader.</w:t>
      </w:r>
    </w:p>
    <w:p w:rsidR="00012792" w:rsidRPr="00547FB4" w:rsidRDefault="00012792">
      <w:pPr>
        <w:pStyle w:val="Normaltindrag"/>
      </w:pPr>
      <w:r w:rsidRPr="00547FB4">
        <w:t>Vasaorden slutligen var avsedd som belöning ”för förtjänster om jordbruk, bergshantering, konst, handel, industri, hantverk och undervisning, för nytt</w:t>
      </w:r>
      <w:r w:rsidRPr="00547FB4">
        <w:t>i</w:t>
      </w:r>
      <w:r w:rsidRPr="00547FB4">
        <w:t>ga skrifter i dessa ämnen samt för väl förrättade allmänna värv och uppdrag”. Inom Vasaorden fanns fem grader samt ett Vasatecken och en Vasamedalj. I likhet med Svärdsorden utdelas inte längre Vasaorden.</w:t>
      </w:r>
    </w:p>
    <w:p w:rsidR="00012792" w:rsidRPr="00547FB4" w:rsidRDefault="00012792">
      <w:pPr>
        <w:pStyle w:val="Normaltindrag"/>
      </w:pPr>
      <w:r w:rsidRPr="00547FB4">
        <w:t>Antalet innehavare av Svärds-, Nordstjärne- och Vasaordnarna, som är svenska medborgare, var 1992 omkring 15 000. Nordstjärneorden delas årligen ut till 200–300 utländska medborgare.</w:t>
      </w:r>
    </w:p>
    <w:p w:rsidR="00012792" w:rsidRPr="00547FB4" w:rsidRDefault="00012792">
      <w:pPr>
        <w:pStyle w:val="Normaltindrag"/>
      </w:pPr>
      <w:r w:rsidRPr="00547FB4">
        <w:t>För närvarande gäller följande i fråga om medaljer: H.M. Konungen delar ut fem medaljer. Serafimermedaljen delas ut till personer som genom hum</w:t>
      </w:r>
      <w:r w:rsidRPr="00547FB4">
        <w:t>a</w:t>
      </w:r>
      <w:r w:rsidRPr="00547FB4">
        <w:t>nitär eller allmänt samhällsgagnande gärning gjort sig synnerligen förtjänta. Denna medalj, som förekommer i en storlek, utdelas mycket sparsamt. H.M. Konungens medalj utdelas som särskild utmärkelse för framstående insatser inom Sverige eller inom hovet för lång och trogen tjänst. Denna medalj finns i flera storlekar och med olika bandfärg. Litteris et Artibus, som finns i fö</w:t>
      </w:r>
      <w:r w:rsidRPr="00547FB4">
        <w:t>r</w:t>
      </w:r>
      <w:r w:rsidRPr="00547FB4">
        <w:t>gyllt silver i en storlek, förlänas för litterära och konstnärliga förtjänster till i genomsnitt 4–6 personer om året. Prins Eugen-</w:t>
      </w:r>
      <w:r w:rsidRPr="00547FB4">
        <w:t>medaljen, som finns i en storlek i förgyllt silver, tilldelas konstnärer och enligt bestämmelserna får högst tre medaljer om året tillfalla svenskar och högst en medalj om året medborgare i vart och ett av de nordiska länderna. Prins Carl-medaljen, i en storlek i förgyllt silver, utdelas till högst en person om året för särskilt ga</w:t>
      </w:r>
      <w:r w:rsidRPr="00547FB4">
        <w:t>g</w:t>
      </w:r>
      <w:r w:rsidRPr="00547FB4">
        <w:t>nande nationell eller internationell humanitär verksamhet. – Medaljärendena han</w:t>
      </w:r>
      <w:r w:rsidRPr="00547FB4">
        <w:t>d</w:t>
      </w:r>
      <w:r w:rsidRPr="00547FB4">
        <w:t>has av Riksmarskalkämbetet.</w:t>
      </w:r>
    </w:p>
    <w:p w:rsidR="00012792" w:rsidRPr="00547FB4" w:rsidRDefault="00012792">
      <w:pPr>
        <w:pStyle w:val="Normaltindrag"/>
      </w:pPr>
      <w:r w:rsidRPr="00547FB4">
        <w:t>De statliga medaljer som kommer i fråga är bl.a. utmärkelsen För nit o</w:t>
      </w:r>
      <w:r w:rsidRPr="00547FB4">
        <w:t>ch redlighet i rikets tjänst, som enligt huvudregeln tilldelas den som varit a</w:t>
      </w:r>
      <w:r w:rsidRPr="00547FB4">
        <w:t>n</w:t>
      </w:r>
      <w:r w:rsidRPr="00547FB4">
        <w:t>ställd i staten minst 30 år. Utmärkelsen kan efter den anställdes önskan ges som konstglas, medalj eller ur; alla med inskription. Medaljen Illis Quorum meruere labores har kommit att förlänas som erkänsla för personliga insatser för kulturella, vetenskapliga och andra allmännyttiga ändamål. Medaljen förekommer i guld i fyra storlekar och förlänas endast ett fåtal personer varje år. Medaljen För medborgerlig förtjänst var under e</w:t>
      </w:r>
      <w:r w:rsidRPr="00547FB4">
        <w:t>n tid främst avsedd för kommunala förtroendemän men har också delats ut som belöning för mer allmänna samhällsinsatser. Denna medalj förekommer i guld i fyra storlekar och i silver i en storlek. Även denna medalj har endast delats ut till ett fåtal personer om året. Vidare utdelas medaljen För berömliga gärningar till pe</w:t>
      </w:r>
      <w:r w:rsidRPr="00547FB4">
        <w:t>r</w:t>
      </w:r>
      <w:r w:rsidRPr="00547FB4">
        <w:t>soner som genom rådighet och stort personligt mod räddar livet på en männ</w:t>
      </w:r>
      <w:r w:rsidRPr="00547FB4">
        <w:t>i</w:t>
      </w:r>
      <w:r w:rsidRPr="00547FB4">
        <w:t>ska i livsfara. Den finns i guld i två storlekar och i silver i en storlek. Sedan 1944 har den delats ut vid 18 til</w:t>
      </w:r>
      <w:r w:rsidRPr="00547FB4">
        <w:t>lfällen. Slutligen skall nämnas medaljen För omsorgsfull renvård som förlänas företrädare för renskötseln och har delats ut två gånger under 1980-talet. Den förekommer i guld i en storlek och i silver i en storlek.</w:t>
      </w:r>
    </w:p>
    <w:p w:rsidR="00012792" w:rsidRPr="00547FB4" w:rsidRDefault="00012792">
      <w:pPr>
        <w:pStyle w:val="Rubrik3"/>
      </w:pPr>
      <w:bookmarkStart w:id="32" w:name="_Toc479495207"/>
      <w:r w:rsidRPr="00547FB4">
        <w:t>Tidigare behandling</w:t>
      </w:r>
      <w:bookmarkEnd w:id="32"/>
    </w:p>
    <w:p w:rsidR="00012792" w:rsidRPr="00547FB4" w:rsidRDefault="00012792">
      <w:r w:rsidRPr="00547FB4">
        <w:t>Riksdagen har sedan år 1986 återkommande avslagit motioner om ett refo</w:t>
      </w:r>
      <w:r w:rsidRPr="00547FB4">
        <w:t>r</w:t>
      </w:r>
      <w:r w:rsidRPr="00547FB4">
        <w:t>merat ordens- och medaljväsende samt vissa andra frågor rörande det offen</w:t>
      </w:r>
      <w:r w:rsidRPr="00547FB4">
        <w:t>t</w:t>
      </w:r>
      <w:r w:rsidRPr="00547FB4">
        <w:t>liga belöningssystemet. Vid utskottets behandling under riksmötet 1992/93 av motioner med bl.a. samma syfte som de nu aktuella, lämnade utskottet (bet. 1992/93:KU7) en ingående redovisning för det nuvarande ordensväse</w:t>
      </w:r>
      <w:r w:rsidRPr="00547FB4">
        <w:t>n</w:t>
      </w:r>
      <w:r w:rsidRPr="00547FB4">
        <w:t>det och den reformering härav som skedde år 1975. I betänkandet redogjo</w:t>
      </w:r>
      <w:r w:rsidRPr="00547FB4">
        <w:t>r</w:t>
      </w:r>
      <w:r w:rsidRPr="00547FB4">
        <w:t>des också för riksdagens tidigare ställningstaganden i frågan. Utskottet eri</w:t>
      </w:r>
      <w:r w:rsidRPr="00547FB4">
        <w:t>n</w:t>
      </w:r>
      <w:r w:rsidRPr="00547FB4">
        <w:t>rade om att 1975 års reformering av det svenska belöningssystemet före</w:t>
      </w:r>
      <w:r w:rsidRPr="00547FB4">
        <w:t>gicks av ett grundligt beredningsarbete och att konstitutionsutskottet (bet. 1973:KU27) framhöll att det belöningssystem som då tillämpades återspe</w:t>
      </w:r>
      <w:r w:rsidRPr="00547FB4">
        <w:t>g</w:t>
      </w:r>
      <w:r w:rsidRPr="00547FB4">
        <w:t>lade en gången tids samhällssyn genom att ge uttryck för värderingar av samhällsinsatser enbart med hänsyn till tjänsteställning. Vidare framhölls att ordnarna inte kunde anses fylla sin uppgift när det gällde att belöna viktiga samhällsinsatser. Reformen stöddes också av de personalorganisationer som företrädde det övervägande antalet statsanställda. Det argume</w:t>
      </w:r>
      <w:r w:rsidRPr="00547FB4">
        <w:t>nt som låg till grund för reformen hade enligt utskottets mening fortfarande viss tyngd. Mot denna bakgrund borde enligt utskottet en översyn av det offentliga bel</w:t>
      </w:r>
      <w:r w:rsidRPr="00547FB4">
        <w:t>ö</w:t>
      </w:r>
      <w:r w:rsidRPr="00547FB4">
        <w:t>ningssystemet avvaktas intill dess det tydligare visats att ett mer utvecklat belöningssystem skulle kunna fylla sin uppgift. Mot bakgrund av det anförda avstyrkte utskottet motionerna.</w:t>
      </w:r>
    </w:p>
    <w:p w:rsidR="00012792" w:rsidRPr="00547FB4" w:rsidRDefault="00012792">
      <w:pPr>
        <w:pStyle w:val="Normaltindrag"/>
      </w:pPr>
      <w:r w:rsidRPr="00547FB4">
        <w:t>Detta ställningstagande har sedan upprepats vid utskottets behandling av denna fråga under 1990-talet (se 1993/94:KU4, 1994/95:KU16, 1997/98:KU9).</w:t>
      </w:r>
    </w:p>
    <w:p w:rsidR="00012792" w:rsidRPr="00547FB4" w:rsidRDefault="00012792">
      <w:pPr>
        <w:pStyle w:val="Rubrik3"/>
        <w:spacing w:before="123"/>
      </w:pPr>
      <w:bookmarkStart w:id="33" w:name="_Toc479495208"/>
      <w:r w:rsidRPr="00547FB4">
        <w:t>Utskottets bedömning</w:t>
      </w:r>
      <w:bookmarkEnd w:id="33"/>
    </w:p>
    <w:p w:rsidR="00012792" w:rsidRPr="00547FB4" w:rsidRDefault="00012792">
      <w:r w:rsidRPr="00547FB4">
        <w:t>Utskottet vill framhålla att de argument som bar upp 1975 års reform alltjämt har giltighet. Motionerna 1999/2000:K241 (kd), K243 (m) och K284 (kd) avstyrks av utskottet.</w:t>
      </w:r>
    </w:p>
    <w:p w:rsidR="00012792" w:rsidRPr="00547FB4" w:rsidRDefault="00012792">
      <w:pPr>
        <w:pStyle w:val="Rubrik2"/>
      </w:pPr>
      <w:bookmarkStart w:id="34" w:name="_Toc479495209"/>
      <w:r w:rsidRPr="00547FB4">
        <w:t>Flaggor och flaggning</w:t>
      </w:r>
      <w:bookmarkEnd w:id="34"/>
    </w:p>
    <w:p w:rsidR="00012792" w:rsidRPr="00547FB4" w:rsidRDefault="00012792">
      <w:pPr>
        <w:pStyle w:val="Rubrik3"/>
        <w:spacing w:before="123"/>
      </w:pPr>
      <w:bookmarkStart w:id="35" w:name="_Toc479495210"/>
      <w:r w:rsidRPr="00547FB4">
        <w:t>Motioner</w:t>
      </w:r>
      <w:bookmarkEnd w:id="35"/>
    </w:p>
    <w:p w:rsidR="00012792" w:rsidRPr="00547FB4" w:rsidRDefault="00012792">
      <w:r w:rsidRPr="00547FB4">
        <w:t>I motion 1998/99:K215 av Bertil Persson (m) föreslås att riksdagen beslutar att använda EU-flaggan i anslutning till riksdagsbyggnaderna i enlighet med vad som anförts i motionen (yrkande 1).</w:t>
      </w:r>
    </w:p>
    <w:p w:rsidR="00012792" w:rsidRPr="00547FB4" w:rsidRDefault="00012792">
      <w:pPr>
        <w:pStyle w:val="Normaltindrag"/>
      </w:pPr>
      <w:r w:rsidRPr="00547FB4">
        <w:t>Enligt motionären finns det all anledning att på olika sätt öka medvete</w:t>
      </w:r>
      <w:r w:rsidRPr="00547FB4">
        <w:t>n</w:t>
      </w:r>
      <w:r w:rsidRPr="00547FB4">
        <w:t>heten om och stoltheten över vårt medlemskap i EU. Ett sätt är att riksdagen i anslutning till riksdagsbyggnaderna även använder EU-flaggan.</w:t>
      </w:r>
    </w:p>
    <w:p w:rsidR="00012792" w:rsidRPr="00547FB4" w:rsidRDefault="00012792">
      <w:r w:rsidRPr="00547FB4">
        <w:t>I motion 1998/99:K218 av Lars Björkman (m) och Elizabeth Nyström (m) hemställs att riksdagen som sin mening ger regeringen till känna vad i m</w:t>
      </w:r>
      <w:r w:rsidRPr="00547FB4">
        <w:t>o</w:t>
      </w:r>
      <w:r w:rsidRPr="00547FB4">
        <w:t>tionen anförts om stärkandet av den svenska nationalismen.</w:t>
      </w:r>
    </w:p>
    <w:p w:rsidR="00012792" w:rsidRPr="00547FB4" w:rsidRDefault="00012792">
      <w:pPr>
        <w:pStyle w:val="Normaltindrag"/>
      </w:pPr>
      <w:r w:rsidRPr="00547FB4">
        <w:t>Det fortsatta arbetet att stärka nationalismen kan och bör enligt motion</w:t>
      </w:r>
      <w:r w:rsidRPr="00547FB4">
        <w:t>ä</w:t>
      </w:r>
      <w:r w:rsidRPr="00547FB4">
        <w:t>rerna inledas i Sveriges riksdag. En möjlig väg är att förse riksdagens tala</w:t>
      </w:r>
      <w:r w:rsidRPr="00547FB4">
        <w:t>r</w:t>
      </w:r>
      <w:r w:rsidRPr="00547FB4">
        <w:t>stol med en inskription, SVERIGES RIKSDAG, och samtidigt placera en svensk flagga så att den naturligt inramar talaren och samtidigt hamnar inom TV-kamerornas fokus när sändningar från kammaren pågår.</w:t>
      </w:r>
    </w:p>
    <w:p w:rsidR="00012792" w:rsidRPr="00547FB4" w:rsidRDefault="00012792">
      <w:r w:rsidRPr="00547FB4">
        <w:t>I motion 1999/2000:K208 av Marietta de Pourbaix-Lundin (m) hemställs att riksdagen beslutar om sådant flaggarrangemang i plenisalen att den svenska flaggan placeras i anslutning till talarstolen i enlighet med vad som anförts i motio</w:t>
      </w:r>
      <w:r w:rsidRPr="00547FB4">
        <w:t>nen.</w:t>
      </w:r>
    </w:p>
    <w:p w:rsidR="00012792" w:rsidRPr="00547FB4" w:rsidRDefault="00012792">
      <w:pPr>
        <w:pStyle w:val="Normaltindrag"/>
      </w:pPr>
      <w:r w:rsidRPr="00547FB4">
        <w:t>Motionären framhåller att kammarens talarstol är ett ofta förekommande inslag i medierna då debatter och viktiga samhällsfrågor från Sveriges rik</w:t>
      </w:r>
      <w:r w:rsidRPr="00547FB4">
        <w:t>s</w:t>
      </w:r>
      <w:r w:rsidRPr="00547FB4">
        <w:t>dag skall refereras. Sveriges riksdag har numera en svensk flagga uppe i ett  hörn långt borta från talarstolen. Det vore enligt motionären en fördel om man varje gång ett inslag från kammarens talarstol visades direkt kunde se att det var från Sveriges riksdag. Motionären föreslår därför att det vid ka</w:t>
      </w:r>
      <w:r w:rsidRPr="00547FB4">
        <w:t>m</w:t>
      </w:r>
      <w:r w:rsidRPr="00547FB4">
        <w:t xml:space="preserve">marens talarstol sätts upp en svensk flagga. </w:t>
      </w:r>
    </w:p>
    <w:p w:rsidR="00012792" w:rsidRPr="00547FB4" w:rsidRDefault="00012792">
      <w:r w:rsidRPr="00547FB4">
        <w:t>I motion 1999/2000:K270 av Ulla Hoffmann (v) och Kenneth Kvist (v) hemställs att riksdagen uppdrar åt riksdagens förvaltningsstyrelse att omfö</w:t>
      </w:r>
      <w:r w:rsidRPr="00547FB4">
        <w:t>r</w:t>
      </w:r>
      <w:r w:rsidRPr="00547FB4">
        <w:t>handla överenskommelsen om ordningsföljden mellan slottet, riksdagen och Regeringskansliet när det gäller flagghissning.</w:t>
      </w:r>
    </w:p>
    <w:p w:rsidR="00012792" w:rsidRPr="00547FB4" w:rsidRDefault="00012792">
      <w:pPr>
        <w:pStyle w:val="Normaltindrag"/>
      </w:pPr>
      <w:r w:rsidRPr="00547FB4">
        <w:t>I ett statsskick där riksdagen sägs vara folkets främsta företrädare bör e</w:t>
      </w:r>
      <w:r w:rsidRPr="00547FB4">
        <w:t>n</w:t>
      </w:r>
      <w:r w:rsidRPr="00547FB4">
        <w:t>ligt motionärernas mening riksdagen leda flaggningen. Motionärerna fra</w:t>
      </w:r>
      <w:r w:rsidRPr="00547FB4">
        <w:t>m</w:t>
      </w:r>
      <w:r w:rsidRPr="00547FB4">
        <w:t>håller att enligt en gammal muntlig överenskommelse hissas emellertid vid allmänna flaggdagar slottets flagga först, sedan riksdagens och därefter R</w:t>
      </w:r>
      <w:r w:rsidRPr="00547FB4">
        <w:t>e</w:t>
      </w:r>
      <w:r w:rsidRPr="00547FB4">
        <w:t>geringskansliets. Enligt motionärernas mening bör ordningsföljden vara: riksdagens flagga, den av riksdagen utsedda regeringens flagga och – med visad respekt för demokratins seger och institutioner – först därefter den i statsförvaltnin</w:t>
      </w:r>
      <w:r w:rsidRPr="00547FB4">
        <w:t>g</w:t>
      </w:r>
      <w:r w:rsidRPr="00547FB4">
        <w:t>en feodala relikens – hovets – flagga.</w:t>
      </w:r>
    </w:p>
    <w:p w:rsidR="00012792" w:rsidRPr="00547FB4" w:rsidRDefault="00012792">
      <w:r w:rsidRPr="00547FB4">
        <w:t>I motion 1999/</w:t>
      </w:r>
      <w:r w:rsidRPr="00547FB4">
        <w:t>2000:K275 av Lars Tobisson (m) hemställs om ökad använ</w:t>
      </w:r>
      <w:r w:rsidRPr="00547FB4">
        <w:t>d</w:t>
      </w:r>
      <w:r w:rsidRPr="00547FB4">
        <w:t>ning av Europaflaggan och EU-symbolen i offentliga sammanhang (yrka</w:t>
      </w:r>
      <w:r w:rsidRPr="00547FB4">
        <w:t>n</w:t>
      </w:r>
      <w:r w:rsidRPr="00547FB4">
        <w:t>de 1).</w:t>
      </w:r>
    </w:p>
    <w:p w:rsidR="00012792" w:rsidRPr="00547FB4" w:rsidRDefault="00012792">
      <w:pPr>
        <w:pStyle w:val="Normaltindrag"/>
      </w:pPr>
      <w:r w:rsidRPr="00547FB4">
        <w:t>Motionären framhåller att Europaflaggan med tolv gula stjärnor på blå botten blev symbol för Europarådet 1955. Sedan 1986 fyller den samma roll för det samarbete som nu bedrivs inom EU. Flaggning och annat utnyttjande av symbolen får enligt motionären ses som uttryck för den samhörighet som växer sig allt starkare mellan medborgarna i europeiska länder.</w:t>
      </w:r>
    </w:p>
    <w:p w:rsidR="00012792" w:rsidRPr="00547FB4" w:rsidRDefault="00012792">
      <w:pPr>
        <w:pStyle w:val="Normaltindrag"/>
      </w:pPr>
      <w:r w:rsidRPr="00547FB4">
        <w:t>Samhörighet kan enligt motionären naturligtvis inte beordras fram genom politiska beslut eller lagstiftning. Ytterst måste den känslan växa fram hos människorna själva, och det är de som väljer att ge uttryck för sin tillhörighet till en större grupp – det kan ske genom t.ex. ett klubbmärke, en partinål eller en flagga.</w:t>
      </w:r>
    </w:p>
    <w:p w:rsidR="00012792" w:rsidRPr="00547FB4" w:rsidRDefault="00012792">
      <w:pPr>
        <w:pStyle w:val="Normaltindrag"/>
      </w:pPr>
      <w:r w:rsidRPr="00547FB4">
        <w:t>Motionären anser det därför naturligt om staten går före med gott exempel och låter berörda myndigheter flagga på offentliga byggnader med både den svenska flaggan och Europaflaggan. Likaledes finns det skäl att, när EU är med och finansierar ett projekt, göra detta tydligt genom angivande av sy</w:t>
      </w:r>
      <w:r w:rsidRPr="00547FB4">
        <w:t>m</w:t>
      </w:r>
      <w:r w:rsidRPr="00547FB4">
        <w:t>bolen.</w:t>
      </w:r>
    </w:p>
    <w:p w:rsidR="00012792" w:rsidRPr="00547FB4" w:rsidRDefault="00012792">
      <w:r w:rsidRPr="00547FB4">
        <w:t>I motion 1999/2000:K294 av Helena Bargholtz (fp) hemställs att riksdagen som sin mening ger talmanskonferensen till känna vad i motionen anförts om att placera en EU-flagga i riksdagens plenisal. Enligt motionären bör EU:s flagga finnas i plenisalen för att markera den stora och viktiga betydelsen av Sveriges medlemskap i unionen.</w:t>
      </w:r>
    </w:p>
    <w:p w:rsidR="00012792" w:rsidRPr="00547FB4" w:rsidRDefault="00012792">
      <w:pPr>
        <w:pStyle w:val="Rubrik3"/>
      </w:pPr>
      <w:bookmarkStart w:id="36" w:name="_Toc479495211"/>
      <w:r w:rsidRPr="00547FB4">
        <w:t>Gällande regler</w:t>
      </w:r>
      <w:bookmarkEnd w:id="36"/>
      <w:r w:rsidRPr="00547FB4">
        <w:t xml:space="preserve"> </w:t>
      </w:r>
    </w:p>
    <w:p w:rsidR="00012792" w:rsidRPr="00547FB4" w:rsidRDefault="00012792">
      <w:pPr>
        <w:rPr>
          <w:color w:val="000000"/>
        </w:rPr>
      </w:pPr>
      <w:r w:rsidRPr="00547FB4">
        <w:rPr>
          <w:color w:val="000000"/>
        </w:rPr>
        <w:t>Från riksdagens EU-upplysning har inhämtats följande.</w:t>
      </w:r>
    </w:p>
    <w:p w:rsidR="00012792" w:rsidRPr="00547FB4" w:rsidRDefault="00012792">
      <w:pPr>
        <w:pStyle w:val="Rubrik4"/>
        <w:spacing w:before="123"/>
      </w:pPr>
      <w:bookmarkStart w:id="37" w:name="_Toc479495212"/>
      <w:r w:rsidRPr="00547FB4">
        <w:t>Användning av Europaflaggan</w:t>
      </w:r>
      <w:bookmarkEnd w:id="37"/>
    </w:p>
    <w:p w:rsidR="00012792" w:rsidRPr="00547FB4" w:rsidRDefault="00012792">
      <w:pPr>
        <w:rPr>
          <w:color w:val="000000"/>
        </w:rPr>
      </w:pPr>
      <w:r w:rsidRPr="00547FB4">
        <w:rPr>
          <w:color w:val="000000"/>
        </w:rPr>
        <w:t>Det finns inga särskilda EU-regler som styr användningen av Europaflaggan utan flaggan kan användas inom ramen för de eventuella begränsningar som nationell lagstiftning uppställer.</w:t>
      </w:r>
    </w:p>
    <w:p w:rsidR="00012792" w:rsidRPr="00547FB4" w:rsidRDefault="00012792">
      <w:pPr>
        <w:pStyle w:val="Normaltindrag"/>
      </w:pPr>
      <w:r w:rsidRPr="00547FB4">
        <w:t>Det finns ingen svensk lagstiftning som reglerar användningen av Europ</w:t>
      </w:r>
      <w:r w:rsidRPr="00547FB4">
        <w:t>a</w:t>
      </w:r>
      <w:r w:rsidRPr="00547FB4">
        <w:t xml:space="preserve">flaggan. Riksdagen och regeringen flaggar med Europaflaggan vid </w:t>
      </w:r>
      <w:r w:rsidRPr="00547FB4">
        <w:rPr>
          <w:i/>
        </w:rPr>
        <w:t>officiella</w:t>
      </w:r>
      <w:r w:rsidRPr="00547FB4">
        <w:t xml:space="preserve"> besök från någon av EU:s institutioner. </w:t>
      </w:r>
    </w:p>
    <w:p w:rsidR="00012792" w:rsidRPr="00547FB4" w:rsidRDefault="00012792">
      <w:pPr>
        <w:pStyle w:val="Rubrik4"/>
        <w:spacing w:before="123"/>
      </w:pPr>
      <w:bookmarkStart w:id="38" w:name="_Toc479495213"/>
      <w:r w:rsidRPr="00547FB4">
        <w:t>Användning av EU-symbolen i offentliga sammanhang</w:t>
      </w:r>
      <w:bookmarkEnd w:id="38"/>
    </w:p>
    <w:p w:rsidR="00012792" w:rsidRPr="00547FB4" w:rsidRDefault="00012792">
      <w:pPr>
        <w:rPr>
          <w:color w:val="000000"/>
        </w:rPr>
      </w:pPr>
      <w:r w:rsidRPr="00547FB4">
        <w:rPr>
          <w:color w:val="000000"/>
        </w:rPr>
        <w:t>Enligt kommissionens beslut av den 31 maj 1994 om de informations- och publicitetsåtgärder som skall genomföras av medlemsstaterna i fråga om stöd från strukturfonderna och Fonden för fiskets utveckling (FFU) slås fast att bidragsmottagare på olika sätt är skyldiga att informera om att finansiellt stöd erhållits från g</w:t>
      </w:r>
      <w:r w:rsidRPr="00547FB4">
        <w:rPr>
          <w:color w:val="000000"/>
        </w:rPr>
        <w:t>e</w:t>
      </w:r>
      <w:r w:rsidRPr="00547FB4">
        <w:rPr>
          <w:color w:val="000000"/>
        </w:rPr>
        <w:t>menskapen.</w:t>
      </w:r>
    </w:p>
    <w:p w:rsidR="00012792" w:rsidRPr="00547FB4" w:rsidRDefault="00012792">
      <w:pPr>
        <w:pStyle w:val="Normaltindrag"/>
      </w:pPr>
      <w:r w:rsidRPr="00547FB4">
        <w:t>I beslutet hänvisas till rådets förordning (EEG) nr 4253/88 i vilken det a</w:t>
      </w:r>
      <w:r w:rsidRPr="00547FB4">
        <w:t>n</w:t>
      </w:r>
      <w:r w:rsidRPr="00547FB4">
        <w:t>ges (artikel 32.2) att det organ som ansvarar för genomförandet av en åtgärd som finansieras med stöd från gemenskapen skall säkerställa att lämplig publicitet ges åt åtgärden i syfte att uppmärksamma potentiella stödmottagare och branschorganisationer på de tillfällen som erbjuds genom åtgärden och göra allmänheten medveten om den roll som gemenskapen har i samband med åtgärden.</w:t>
      </w:r>
    </w:p>
    <w:p w:rsidR="00012792" w:rsidRPr="00547FB4" w:rsidRDefault="00012792">
      <w:pPr>
        <w:pStyle w:val="Normaltindrag"/>
      </w:pPr>
      <w:r w:rsidRPr="00547FB4">
        <w:t>Informationskravet omfattar åtgärder som får stöd från Europeiska regi</w:t>
      </w:r>
      <w:r w:rsidRPr="00547FB4">
        <w:t>o</w:t>
      </w:r>
      <w:r w:rsidRPr="00547FB4">
        <w:t>nala utvecklingsfonden, Europeiska socialfonden, utvecklingssektionen vid Europeiska utvecklings- och garantifonden för jordbruket eller Fonden för fiskets utveckling.</w:t>
      </w:r>
    </w:p>
    <w:p w:rsidR="00012792" w:rsidRPr="00547FB4" w:rsidRDefault="00012792">
      <w:pPr>
        <w:pStyle w:val="Normaltindrag"/>
      </w:pPr>
      <w:r w:rsidRPr="00547FB4">
        <w:t>Det är de nationella, regionala och lokala myndigheter som ansvarar för genomförandet av gemenskapens olika stödformer som ansvarar för public</w:t>
      </w:r>
      <w:r w:rsidRPr="00547FB4">
        <w:t>i</w:t>
      </w:r>
      <w:r w:rsidRPr="00547FB4">
        <w:t>teten. För investeringar i infrastruktur som når över ett visst gränsvärde krävs att skyltar sätts upp på de aktuella platserna. För andra typer av investeringar samt för delfinansierade utbildnings- och sysselsättningsåtgärder krävs ”åtgärder för att göra potentiella stödmottagare och allmänheten medvetna om gemenskapsstödet”. Det anges inte närmare hur dessa skall utformas, men det sker i praktiken i regel med skyltning och genom att projektanordn</w:t>
      </w:r>
      <w:r w:rsidRPr="00547FB4">
        <w:t>a</w:t>
      </w:r>
      <w:r w:rsidRPr="00547FB4">
        <w:t>re använder EU:s logotyp på affischer, broschyrer, videof</w:t>
      </w:r>
      <w:r w:rsidRPr="00547FB4">
        <w:t xml:space="preserve">ilmer och liknande, som har med projekten att göra. Då det i projektsamarbetet utvecklas en konkret produkt (t.ex. ett skriftligt arbete) finns det i de flesta fall krav på att det på produkten tydligt anges att den har utvecklats med EU-stöd. </w:t>
      </w:r>
    </w:p>
    <w:p w:rsidR="00012792" w:rsidRPr="00547FB4" w:rsidRDefault="00012792">
      <w:pPr>
        <w:pStyle w:val="Normaltindrag"/>
      </w:pPr>
      <w:r w:rsidRPr="00547FB4">
        <w:t>De behöriga myndigheterna skall också på andra sätt informera både m</w:t>
      </w:r>
      <w:r w:rsidRPr="00547FB4">
        <w:t>e</w:t>
      </w:r>
      <w:r w:rsidRPr="00547FB4">
        <w:t>dierna och allmänheten om strukturåtgärder som medfinansieras av geme</w:t>
      </w:r>
      <w:r w:rsidRPr="00547FB4">
        <w:t>n</w:t>
      </w:r>
      <w:r w:rsidRPr="00547FB4">
        <w:t>skapen. Gemenskapens bidrag skall klart framgå av denna information, bl.a. genom att EU-flaggan och/eller EU-logotypen används under seminarier och konferenser samt att information om gemenskapens deltagande finns på broschyrer och foldrar.</w:t>
      </w:r>
    </w:p>
    <w:p w:rsidR="00012792" w:rsidRPr="00547FB4" w:rsidRDefault="00012792">
      <w:pPr>
        <w:pStyle w:val="Rubrik3"/>
      </w:pPr>
      <w:bookmarkStart w:id="39" w:name="_Toc479495214"/>
      <w:r w:rsidRPr="00547FB4">
        <w:t>Utskottets bedömning</w:t>
      </w:r>
      <w:bookmarkEnd w:id="39"/>
    </w:p>
    <w:p w:rsidR="00012792" w:rsidRPr="00547FB4" w:rsidRDefault="00012792">
      <w:r w:rsidRPr="00547FB4">
        <w:t>I en motion begärs ökad användning av Europaflaggan och EU-symbolen i offentliga sammanhang. Berörda myndigheter bör enligt motionen flagga på offentliga myndigheter med både den svenska flaggan och Europaflaggan. EU-symbolen bör användas för att markera att EU deltar i finansieringen av ett projekt.</w:t>
      </w:r>
    </w:p>
    <w:p w:rsidR="00012792" w:rsidRPr="00547FB4" w:rsidRDefault="00012792">
      <w:pPr>
        <w:pStyle w:val="Normaltindrag"/>
        <w:rPr>
          <w:color w:val="000000"/>
        </w:rPr>
      </w:pPr>
      <w:r w:rsidRPr="00547FB4">
        <w:t>Som framgår av den redovisning som lämnats ovan finns redan i dag EU-regler som slår fast att bidragsmottagare på olika sätt är skyldiga att inform</w:t>
      </w:r>
      <w:r w:rsidRPr="00547FB4">
        <w:t>e</w:t>
      </w:r>
      <w:r w:rsidRPr="00547FB4">
        <w:t xml:space="preserve">ra om att finansiellt stöd erhållits från gemenskapen. Det organ som ansvarar för genomförandet skall säkerställa att lämplig publicitet ges åt åtgärden. Informationskravet omfattar åtgärder som får stöd </w:t>
      </w:r>
      <w:r w:rsidRPr="00547FB4">
        <w:rPr>
          <w:color w:val="000000"/>
        </w:rPr>
        <w:t>från Europeiska regionala utvecklingsfonden, Europeiska socialfonden, utvecklingssektionen vid Eur</w:t>
      </w:r>
      <w:r w:rsidRPr="00547FB4">
        <w:rPr>
          <w:color w:val="000000"/>
        </w:rPr>
        <w:t>o</w:t>
      </w:r>
      <w:r w:rsidRPr="00547FB4">
        <w:rPr>
          <w:color w:val="000000"/>
        </w:rPr>
        <w:t>peiska utvecklings- och garantifonden för jordbruket eller Fonden för fiskets utveckling. Det anges inte närmare hur informationen skall utformas men det sker i praktiken i regel med skyltning och genom att p</w:t>
      </w:r>
      <w:r w:rsidRPr="00547FB4">
        <w:rPr>
          <w:color w:val="000000"/>
        </w:rPr>
        <w:t>rojektanordnare a</w:t>
      </w:r>
      <w:r w:rsidRPr="00547FB4">
        <w:rPr>
          <w:color w:val="000000"/>
        </w:rPr>
        <w:t>n</w:t>
      </w:r>
      <w:r w:rsidRPr="00547FB4">
        <w:rPr>
          <w:color w:val="000000"/>
        </w:rPr>
        <w:t xml:space="preserve">vänder EU:s logotyp på affischer, broschyrer, videofilmer och liknande. </w:t>
      </w:r>
    </w:p>
    <w:p w:rsidR="00012792" w:rsidRPr="00547FB4" w:rsidRDefault="00012792">
      <w:pPr>
        <w:pStyle w:val="Normaltindrag"/>
      </w:pPr>
      <w:r w:rsidRPr="00547FB4">
        <w:t>Motionens krav är således i denna del tillgodosett genom existerande EU-regler.</w:t>
      </w:r>
    </w:p>
    <w:p w:rsidR="00012792" w:rsidRPr="00547FB4" w:rsidRDefault="00012792">
      <w:pPr>
        <w:pStyle w:val="Normaltindrag"/>
      </w:pPr>
      <w:r w:rsidRPr="00547FB4">
        <w:t>Beträffande användningen av EU-flaggan finns inga särskilda EU-regler och inte heller några nationella regler.</w:t>
      </w:r>
    </w:p>
    <w:p w:rsidR="00012792" w:rsidRPr="00547FB4" w:rsidRDefault="00012792">
      <w:pPr>
        <w:pStyle w:val="Normaltindrag"/>
      </w:pPr>
      <w:r w:rsidRPr="00547FB4">
        <w:t>Utskottet vill i sammanhanget framhålla att någon plikt att flagga med svenska flaggan för närvarande inte föreligger för statliga myndigheter och institutioner utanför Försvarsmakten. Varje civil myndighet får själv utifrån praktiska och andra överväganden avgöra i vilken utsträckning seden att flagga på de allmänna flaggdagarna lämpligen kan upprätthållas (se prop. 1981/82:109 s. 12).</w:t>
      </w:r>
    </w:p>
    <w:p w:rsidR="00012792" w:rsidRPr="00547FB4" w:rsidRDefault="00012792">
      <w:pPr>
        <w:pStyle w:val="Normaltindrag"/>
      </w:pPr>
      <w:r w:rsidRPr="00547FB4">
        <w:t>Enligt utskottet bör flaggningen på statliga byggnader även i fortsättningen avgöras av de statliga myndigheterna och institutionerna själva. Motion K275 yrkande 1 (m) avstyrks.</w:t>
      </w:r>
    </w:p>
    <w:p w:rsidR="00012792" w:rsidRPr="00547FB4" w:rsidRDefault="00012792">
      <w:r w:rsidRPr="00547FB4">
        <w:t xml:space="preserve">I några av motionerna föreslås att den svenska flaggan skall placeras mer centralt i riksdagens plenisal, t.ex. i anslutning till talarstolen. Önskemål finns också i ett par motioner om placering av en EU-flagga i plenisalen och att EU-flaggan skall användas i anslutning till riksdagsbyggnaderna. </w:t>
      </w:r>
    </w:p>
    <w:p w:rsidR="00012792" w:rsidRPr="00547FB4" w:rsidRDefault="00012792">
      <w:pPr>
        <w:pStyle w:val="Normaltindrag"/>
      </w:pPr>
      <w:r w:rsidRPr="00547FB4">
        <w:t>Utskottet anser att det får ankomma på talmannen att besluta om utsmyc</w:t>
      </w:r>
      <w:r w:rsidRPr="00547FB4">
        <w:t>k</w:t>
      </w:r>
      <w:r w:rsidRPr="00547FB4">
        <w:t>ningen av plenisalen och om flaggningen i och i anslutning till Riksdagsh</w:t>
      </w:r>
      <w:r w:rsidRPr="00547FB4">
        <w:t>u</w:t>
      </w:r>
      <w:r w:rsidRPr="00547FB4">
        <w:t>set. Med det anförda avstyrks motionerna 1998/99:K215 (m), K218 (m), 1999/2000:K208 (m) och K294 (fp).</w:t>
      </w:r>
    </w:p>
    <w:p w:rsidR="00012792" w:rsidRPr="00547FB4" w:rsidRDefault="00012792">
      <w:r w:rsidRPr="00547FB4">
        <w:t xml:space="preserve">I en annan motion behandlas ordningsföljden mellan slottet, riksdagen och Regeringskansliet när det gäller flagghissning. </w:t>
      </w:r>
    </w:p>
    <w:p w:rsidR="00012792" w:rsidRPr="00547FB4" w:rsidRDefault="00012792">
      <w:pPr>
        <w:pStyle w:val="Normaltindrag"/>
      </w:pPr>
      <w:r w:rsidRPr="00547FB4">
        <w:t>Enligt utskottet är denna fråga inte av det slaget att riksdagen bör fatta b</w:t>
      </w:r>
      <w:r w:rsidRPr="00547FB4">
        <w:t>e</w:t>
      </w:r>
      <w:r w:rsidRPr="00547FB4">
        <w:t>slut i den. Motion 1999/2000:K270 (v) avstyrks.</w:t>
      </w:r>
    </w:p>
    <w:p w:rsidR="00012792" w:rsidRPr="00547FB4" w:rsidRDefault="00012792">
      <w:pPr>
        <w:pStyle w:val="Rubrik2"/>
      </w:pPr>
      <w:bookmarkStart w:id="40" w:name="_Toc479495215"/>
      <w:r w:rsidRPr="00547FB4">
        <w:t>Hemställan</w:t>
      </w:r>
      <w:bookmarkEnd w:id="40"/>
    </w:p>
    <w:p w:rsidR="00012792" w:rsidRPr="00547FB4" w:rsidRDefault="00012792">
      <w:r w:rsidRPr="00547FB4">
        <w:t>Utskottet hemställer</w:t>
      </w:r>
    </w:p>
    <w:p w:rsidR="00012792" w:rsidRPr="00547FB4" w:rsidRDefault="00012792">
      <w:pPr>
        <w:pStyle w:val="hembetr"/>
      </w:pPr>
      <w:r w:rsidRPr="00547FB4">
        <w:t xml:space="preserve">1. beträffande </w:t>
      </w:r>
      <w:r w:rsidRPr="00547FB4">
        <w:rPr>
          <w:i/>
        </w:rPr>
        <w:t>nationaldagen som helgdag</w:t>
      </w:r>
    </w:p>
    <w:p w:rsidR="00012792" w:rsidRPr="00547FB4" w:rsidRDefault="00012792">
      <w:pPr>
        <w:pStyle w:val="hemtext"/>
      </w:pPr>
      <w:r w:rsidRPr="00547FB4">
        <w:t>att riksdagen avslår motionerna 1998/99:K246, 1999/2000:K240 och 1999/2000:K278,</w:t>
      </w:r>
    </w:p>
    <w:p w:rsidR="00012792" w:rsidRPr="00547FB4" w:rsidRDefault="00012792">
      <w:pPr>
        <w:pStyle w:val="Reseftermom"/>
      </w:pPr>
      <w:r w:rsidRPr="00547FB4">
        <w:t>res. 1 (m, kd, c, fp)</w:t>
      </w:r>
      <w:bookmarkStart w:id="41" w:name="RESPARTI001"/>
      <w:bookmarkEnd w:id="41"/>
    </w:p>
    <w:p w:rsidR="00012792" w:rsidRPr="00547FB4" w:rsidRDefault="00012792">
      <w:pPr>
        <w:pStyle w:val="hembetr"/>
      </w:pPr>
      <w:r w:rsidRPr="00547FB4">
        <w:t xml:space="preserve">2. beträffande </w:t>
      </w:r>
      <w:r w:rsidRPr="00547FB4">
        <w:rPr>
          <w:i/>
        </w:rPr>
        <w:t>internationella kvinnodagen som helgdag</w:t>
      </w:r>
    </w:p>
    <w:p w:rsidR="00012792" w:rsidRPr="00547FB4" w:rsidRDefault="00012792">
      <w:pPr>
        <w:pStyle w:val="hemtext"/>
      </w:pPr>
      <w:r w:rsidRPr="00547FB4">
        <w:t xml:space="preserve">att riksdagen avslår motion  1998/99:K202,       </w:t>
      </w:r>
    </w:p>
    <w:p w:rsidR="00012792" w:rsidRPr="00547FB4" w:rsidRDefault="00012792">
      <w:pPr>
        <w:pStyle w:val="Reseftermom"/>
      </w:pPr>
      <w:r w:rsidRPr="00547FB4">
        <w:t>res. 2 (v)</w:t>
      </w:r>
      <w:bookmarkStart w:id="42" w:name="RESPARTI002"/>
      <w:bookmarkEnd w:id="42"/>
    </w:p>
    <w:p w:rsidR="00012792" w:rsidRPr="00547FB4" w:rsidRDefault="00012792">
      <w:pPr>
        <w:pStyle w:val="hembetr"/>
      </w:pPr>
      <w:bookmarkStart w:id="43" w:name="Nästa_Hpunkt"/>
      <w:bookmarkEnd w:id="43"/>
      <w:r w:rsidRPr="00547FB4">
        <w:t xml:space="preserve">3. beträffande </w:t>
      </w:r>
      <w:r w:rsidRPr="00547FB4">
        <w:rPr>
          <w:i/>
        </w:rPr>
        <w:t>ordensväsendet</w:t>
      </w:r>
    </w:p>
    <w:p w:rsidR="00012792" w:rsidRPr="00547FB4" w:rsidRDefault="00012792">
      <w:pPr>
        <w:pStyle w:val="hemtext"/>
      </w:pPr>
      <w:r w:rsidRPr="00547FB4">
        <w:t xml:space="preserve">att riksdagen avslår motionerna 1999/2000:K241, 1999/2000:K243 och 1999/2000:K284,  </w:t>
      </w:r>
    </w:p>
    <w:p w:rsidR="00012792" w:rsidRPr="00547FB4" w:rsidRDefault="00012792">
      <w:pPr>
        <w:pStyle w:val="Reseftermom"/>
      </w:pPr>
      <w:r w:rsidRPr="00547FB4">
        <w:t>res. 3 (m, kd)</w:t>
      </w:r>
      <w:bookmarkStart w:id="44" w:name="RESPARTI003"/>
      <w:bookmarkEnd w:id="44"/>
    </w:p>
    <w:p w:rsidR="00012792" w:rsidRPr="00547FB4" w:rsidRDefault="00012792">
      <w:pPr>
        <w:pStyle w:val="hembetr"/>
      </w:pPr>
      <w:r w:rsidRPr="00547FB4">
        <w:t xml:space="preserve">4. beträffande </w:t>
      </w:r>
      <w:r w:rsidRPr="00547FB4">
        <w:rPr>
          <w:i/>
        </w:rPr>
        <w:t>användning av Europaflaggan och EU-symbolen</w:t>
      </w:r>
    </w:p>
    <w:p w:rsidR="00012792" w:rsidRPr="00547FB4" w:rsidRDefault="00012792">
      <w:pPr>
        <w:pStyle w:val="hemtext"/>
      </w:pPr>
      <w:r w:rsidRPr="00547FB4">
        <w:t xml:space="preserve">att riksdagen avslår motion 1999/2000:K275 yrkande 1, </w:t>
      </w:r>
      <w:bookmarkStart w:id="45" w:name="RESPARTI004"/>
      <w:bookmarkEnd w:id="45"/>
    </w:p>
    <w:p w:rsidR="00012792" w:rsidRPr="00547FB4" w:rsidRDefault="00012792">
      <w:pPr>
        <w:pStyle w:val="hembetr"/>
      </w:pPr>
      <w:r w:rsidRPr="00547FB4">
        <w:t xml:space="preserve">5. beträffande </w:t>
      </w:r>
      <w:r w:rsidRPr="00547FB4">
        <w:rPr>
          <w:i/>
        </w:rPr>
        <w:t>flaggning i och i anslutning till riksdagsbyggnaderna</w:t>
      </w:r>
    </w:p>
    <w:p w:rsidR="00012792" w:rsidRPr="00547FB4" w:rsidRDefault="00012792">
      <w:pPr>
        <w:pStyle w:val="hemtext"/>
      </w:pPr>
      <w:r w:rsidRPr="00547FB4">
        <w:t>att riksdagen avslår motionerna 1998/99:K215 yrkande 1, 1998/99:K218, 1999/2000:K208 och 1999/2000:K294,</w:t>
      </w:r>
    </w:p>
    <w:p w:rsidR="00012792" w:rsidRPr="00547FB4" w:rsidRDefault="00012792">
      <w:pPr>
        <w:pStyle w:val="Reseftermom"/>
      </w:pPr>
      <w:r w:rsidRPr="00547FB4">
        <w:t>res. 4 (fp)</w:t>
      </w:r>
      <w:bookmarkStart w:id="46" w:name="RESPARTI005"/>
      <w:bookmarkEnd w:id="46"/>
    </w:p>
    <w:p w:rsidR="00012792" w:rsidRPr="00547FB4" w:rsidRDefault="00012792">
      <w:pPr>
        <w:pStyle w:val="hembetr"/>
      </w:pPr>
      <w:r w:rsidRPr="00547FB4">
        <w:t xml:space="preserve">6. beträffande </w:t>
      </w:r>
      <w:r w:rsidRPr="00547FB4">
        <w:rPr>
          <w:i/>
        </w:rPr>
        <w:t>ordningsföljden vid flagghissning</w:t>
      </w:r>
    </w:p>
    <w:p w:rsidR="00012792" w:rsidRPr="00547FB4" w:rsidRDefault="00012792">
      <w:pPr>
        <w:pStyle w:val="hemtext"/>
      </w:pPr>
      <w:r w:rsidRPr="00547FB4">
        <w:t xml:space="preserve">att riksdagen avslår motion  1999/2000:K270.  </w:t>
      </w:r>
      <w:bookmarkStart w:id="47" w:name="RESPARTI006"/>
      <w:bookmarkEnd w:id="47"/>
    </w:p>
    <w:p w:rsidR="00012792" w:rsidRPr="00547FB4" w:rsidRDefault="00012792">
      <w:pPr>
        <w:pStyle w:val="Stockholm"/>
      </w:pPr>
      <w:r w:rsidRPr="00547FB4">
        <w:br w:type="page"/>
        <w:t xml:space="preserve">Stockholm den 4 april 2000 </w:t>
      </w:r>
    </w:p>
    <w:p w:rsidR="00012792" w:rsidRPr="00547FB4" w:rsidRDefault="00012792">
      <w:pPr>
        <w:pStyle w:val="Vgnar"/>
      </w:pPr>
      <w:r w:rsidRPr="00547FB4">
        <w:t>På konstitutionsutskottets vägnar</w:t>
      </w:r>
    </w:p>
    <w:p w:rsidR="00012792" w:rsidRPr="00547FB4" w:rsidRDefault="00012792">
      <w:pPr>
        <w:pStyle w:val="Ordfnamn"/>
      </w:pPr>
      <w:bookmarkStart w:id="48" w:name="Ordförande"/>
      <w:bookmarkEnd w:id="48"/>
      <w:r w:rsidRPr="00547FB4">
        <w:t xml:space="preserve">Per Unckel </w:t>
      </w:r>
    </w:p>
    <w:p w:rsidR="00012792" w:rsidRPr="00547FB4" w:rsidRDefault="00012792">
      <w:pPr>
        <w:pStyle w:val="Deltagare"/>
      </w:pPr>
      <w:bookmarkStart w:id="49" w:name="Deltagare"/>
      <w:bookmarkEnd w:id="49"/>
      <w:r w:rsidRPr="00547FB4">
        <w:t>I beslutet har deltagit: Per Unckel (m), Göran Magnusson (s), Barbro Hietala Nordlund (s), Kenneth Kvist (v), Ingvar Svensson (kd), Mats Berglind (s), Inger René (m), Kerstin Kristiansson Karlstedt (s), Tommy Waidelich (s), Nils Fredrik Aurelius (m), Per Lager (mp), Åsa Torstensson (c), Helena Bargholtz (fp), Kenth Högström (s) och Magda Ayoub (kd).</w:t>
      </w:r>
    </w:p>
    <w:p w:rsidR="00012792" w:rsidRPr="00547FB4" w:rsidRDefault="00012792"/>
    <w:p w:rsidR="00012792" w:rsidRPr="00547FB4" w:rsidRDefault="00012792">
      <w:pPr>
        <w:pStyle w:val="Rubrik1"/>
      </w:pPr>
      <w:bookmarkStart w:id="50" w:name="_Toc479495216"/>
      <w:r w:rsidRPr="00547FB4">
        <w:t>Reservationer</w:t>
      </w:r>
      <w:bookmarkEnd w:id="50"/>
    </w:p>
    <w:p w:rsidR="00012792" w:rsidRPr="00547FB4" w:rsidRDefault="00012792">
      <w:pPr>
        <w:pStyle w:val="Rubrik2"/>
      </w:pPr>
      <w:bookmarkStart w:id="51" w:name="_Toc479495217"/>
      <w:r w:rsidRPr="00547FB4">
        <w:t>1. Nationaldagen som helgdag (mom. 1)</w:t>
      </w:r>
      <w:bookmarkEnd w:id="51"/>
    </w:p>
    <w:p w:rsidR="00012792" w:rsidRPr="00547FB4" w:rsidRDefault="00012792">
      <w:r w:rsidRPr="00547FB4">
        <w:t xml:space="preserve">Per Unckel (m), Ingvar Svensson (kd), Inger René (m), Nils Fredrik Aurelius (m), Åsa Torstensson (c), Helena Bargholtz (fp) och Magda Ayoub (kd) anser </w:t>
      </w:r>
    </w:p>
    <w:p w:rsidR="00012792" w:rsidRPr="00547FB4" w:rsidRDefault="00012792">
      <w:r w:rsidRPr="00547FB4">
        <w:rPr>
          <w:i/>
        </w:rPr>
        <w:t>dels</w:t>
      </w:r>
      <w:r w:rsidRPr="00547FB4">
        <w:t xml:space="preserve"> att den del av utskottets yttrande som på s. 5 börjar med ”Utskottet vidhåller” och slutar med ”K278 (kd) avstyrks” bort ha följande lydelse:</w:t>
      </w:r>
    </w:p>
    <w:p w:rsidR="00012792" w:rsidRPr="00547FB4" w:rsidRDefault="00012792">
      <w:pPr>
        <w:pStyle w:val="Normaltindrag"/>
      </w:pPr>
      <w:r w:rsidRPr="00547FB4">
        <w:t>Enligt utskottets mening bör nationaldagen ges ett större symbolvärde än vad den har i dag. Utskottet delar därför flera motionärers uppfattning att nationaldagen bör göras till allmän helgdag. Samtidigt bör förslagsvis a</w:t>
      </w:r>
      <w:r w:rsidRPr="00547FB4">
        <w:t>n</w:t>
      </w:r>
      <w:r w:rsidRPr="00547FB4">
        <w:t>nandag pingst upphöra att vara allmän helgdag. Med bifall till motionerna 1998/99:K246 (m), 1999/2000:K240 (kd) och 1999/2000:K278 (kd) bör riksdagen som sin mening ge regeringen till känna vad utskottet anfört.</w:t>
      </w:r>
    </w:p>
    <w:p w:rsidR="00012792" w:rsidRPr="00547FB4" w:rsidRDefault="00012792">
      <w:r w:rsidRPr="00547FB4">
        <w:rPr>
          <w:i/>
        </w:rPr>
        <w:t>dels</w:t>
      </w:r>
      <w:r w:rsidRPr="00547FB4">
        <w:t xml:space="preserve"> att utskottets hemställan under 1 bort ha följande lydelse:</w:t>
      </w:r>
    </w:p>
    <w:p w:rsidR="00012792" w:rsidRPr="00547FB4" w:rsidRDefault="00012792">
      <w:pPr>
        <w:pStyle w:val="Resklmb"/>
      </w:pPr>
      <w:r w:rsidRPr="00547FB4">
        <w:t>1. beträffande</w:t>
      </w:r>
      <w:r w:rsidRPr="00547FB4">
        <w:rPr>
          <w:i/>
        </w:rPr>
        <w:t xml:space="preserve"> nationaldagen som helgdag</w:t>
      </w:r>
    </w:p>
    <w:p w:rsidR="00012792" w:rsidRPr="00547FB4" w:rsidRDefault="00012792">
      <w:pPr>
        <w:pStyle w:val="Resklm"/>
      </w:pPr>
      <w:r w:rsidRPr="00547FB4">
        <w:t>att riksdagen med bifall till motionerna 1998/99:K246, 1999/2000:</w:t>
      </w:r>
      <w:r w:rsidRPr="00547FB4">
        <w:br/>
        <w:t>K240 och 1999/2000:K278 som sin mening ger regeringen till känna vad utskottet anfört,</w:t>
      </w:r>
    </w:p>
    <w:p w:rsidR="00012792" w:rsidRPr="00547FB4" w:rsidRDefault="00012792">
      <w:pPr>
        <w:pStyle w:val="Rubrik2"/>
      </w:pPr>
      <w:bookmarkStart w:id="52" w:name="_Toc479495218"/>
      <w:r w:rsidRPr="00547FB4">
        <w:t>2. Internationella kvinnodagen som helgdag (mom. 2)</w:t>
      </w:r>
      <w:bookmarkEnd w:id="52"/>
    </w:p>
    <w:p w:rsidR="00012792" w:rsidRPr="00547FB4" w:rsidRDefault="00012792">
      <w:r w:rsidRPr="00547FB4">
        <w:t xml:space="preserve">Kenneth Kvist (v) anser </w:t>
      </w:r>
    </w:p>
    <w:p w:rsidR="00012792" w:rsidRPr="00547FB4" w:rsidRDefault="00012792">
      <w:r w:rsidRPr="00547FB4">
        <w:rPr>
          <w:i/>
        </w:rPr>
        <w:t>dels</w:t>
      </w:r>
      <w:r w:rsidRPr="00547FB4">
        <w:t xml:space="preserve"> att den del av utskottets yttrande som på s. 5 börjar med ”Även försl</w:t>
      </w:r>
      <w:r w:rsidRPr="00547FB4">
        <w:t>a</w:t>
      </w:r>
      <w:r w:rsidRPr="00547FB4">
        <w:t>get” och slutar med ”helgdag avstyrks” bort ha följande lydelse:</w:t>
      </w:r>
    </w:p>
    <w:p w:rsidR="00012792" w:rsidRPr="00547FB4" w:rsidRDefault="00012792">
      <w:pPr>
        <w:pStyle w:val="Normaltindrag"/>
      </w:pPr>
      <w:r w:rsidRPr="00547FB4">
        <w:t>År 1980 proklamerade FN den 8 mars som internationell kvinnodag. Det innebär att år 2000 har den 8 mars i tjugo år haft officiell status som den dag då kvinnor världen över samlas och gör manifestationer. Många kvinnor är dock förhindrade att delta i de evenemang som anordnas på den internati</w:t>
      </w:r>
      <w:r w:rsidRPr="00547FB4">
        <w:t>o</w:t>
      </w:r>
      <w:r w:rsidRPr="00547FB4">
        <w:t>nella kvinnodagen därför att den oftast infaller på en arbetsdag. 15 andra länder har redan beslutat att göra den 8 mars till helgdag. Utskottet anser att Sverige bör vara ytterligare ett land bland dessa. Ett beslut om att den 8 mars skall vara helgdag skulle enligt utskottet vara en viktig markering av Sverige som ett land som strävar efter jämställdhet. Utskottet tillstyrker således m</w:t>
      </w:r>
      <w:r w:rsidRPr="00547FB4">
        <w:t>o</w:t>
      </w:r>
      <w:r w:rsidRPr="00547FB4">
        <w:t>tion 1998/99:K202 (v).</w:t>
      </w:r>
    </w:p>
    <w:p w:rsidR="00012792" w:rsidRPr="00547FB4" w:rsidRDefault="00012792">
      <w:r w:rsidRPr="00547FB4">
        <w:rPr>
          <w:i/>
        </w:rPr>
        <w:t>dels</w:t>
      </w:r>
      <w:r w:rsidRPr="00547FB4">
        <w:t xml:space="preserve"> att utskottets hemställan under 2 bort ha följande lydelse:</w:t>
      </w:r>
    </w:p>
    <w:p w:rsidR="00012792" w:rsidRPr="00547FB4" w:rsidRDefault="00012792">
      <w:pPr>
        <w:pStyle w:val="Resklmb"/>
      </w:pPr>
      <w:r w:rsidRPr="00547FB4">
        <w:t xml:space="preserve">2. beträffande </w:t>
      </w:r>
      <w:r w:rsidRPr="00547FB4">
        <w:rPr>
          <w:i/>
        </w:rPr>
        <w:t>internationella kvinnodagen som helgdag</w:t>
      </w:r>
    </w:p>
    <w:p w:rsidR="00012792" w:rsidRPr="00547FB4" w:rsidRDefault="00012792">
      <w:pPr>
        <w:pStyle w:val="Resklm"/>
      </w:pPr>
      <w:r w:rsidRPr="00547FB4">
        <w:t xml:space="preserve">att riksdagen med bifall till motion 1998/99:K202 som sin mening ger regeringen till känna vad utskottet anfört,  </w:t>
      </w:r>
    </w:p>
    <w:p w:rsidR="00012792" w:rsidRPr="00547FB4" w:rsidRDefault="00012792">
      <w:pPr>
        <w:pStyle w:val="Rubrik2"/>
      </w:pPr>
      <w:bookmarkStart w:id="53" w:name="_Toc479495219"/>
      <w:r w:rsidRPr="00547FB4">
        <w:t>3. Ordensväsendet (mom. 3)</w:t>
      </w:r>
      <w:bookmarkEnd w:id="53"/>
    </w:p>
    <w:p w:rsidR="00012792" w:rsidRPr="00547FB4" w:rsidRDefault="00012792">
      <w:r w:rsidRPr="00547FB4">
        <w:t xml:space="preserve">Per Unckel (m), Ingvar Svensson (kd), Inger René (m), Nils Fredrik Aurelius (m) och Magda Ayoub (kd) anser </w:t>
      </w:r>
    </w:p>
    <w:p w:rsidR="00012792" w:rsidRPr="00547FB4" w:rsidRDefault="00012792">
      <w:r w:rsidRPr="00547FB4">
        <w:rPr>
          <w:i/>
        </w:rPr>
        <w:t>dels</w:t>
      </w:r>
      <w:r w:rsidRPr="00547FB4">
        <w:t xml:space="preserve"> att den del av utskottets yttrande som på s. 9 börjar med ”Utskottet vill” och slutar med ”av utskottet” bort ha följande lydelse:</w:t>
      </w:r>
    </w:p>
    <w:p w:rsidR="00012792" w:rsidRPr="00547FB4" w:rsidRDefault="00012792">
      <w:pPr>
        <w:pStyle w:val="Normaltindrag"/>
      </w:pPr>
      <w:r w:rsidRPr="00547FB4">
        <w:t>Vid den reform av det svenska ordensväsendet som genomfördes 1975 upphörde möjligheten att tilldela svenska medborgare ordensutmärkelser. Utskottet anser att erfarenheterna sedan 1975 talar för att det finns ett behov av ett mer nyanserat offentligt belöningssystem än det nuvarande. Av bet</w:t>
      </w:r>
      <w:r w:rsidRPr="00547FB4">
        <w:t>y</w:t>
      </w:r>
      <w:r w:rsidRPr="00547FB4">
        <w:t>delse i sammanhanget är de ökade internationella kontakterna. Ett officiellt ordensväsende som omfattar egna medborgare finns i nästan alla övriga länder i Europa. Enligt utskottets mening finns det sålunda anledning att göra en översyn av det nuvarande belöningssystemet och utreda om detta fyller  statens behov av att på ett tillfredsställande sätt kunna hedra och belöna personer som på olika sätt gjort särskilt förtjänstfulla insatser. Med bifall till motionerna 1999/2000:K241 (kd), 1999/2000:K243 (m) oc</w:t>
      </w:r>
      <w:r w:rsidRPr="00547FB4">
        <w:t>h 1999/2000:</w:t>
      </w:r>
      <w:r w:rsidRPr="00547FB4">
        <w:br/>
        <w:t>K284 (kd) bör riksdagen som sin mening ge regeringen till känna vad u</w:t>
      </w:r>
      <w:r w:rsidRPr="00547FB4">
        <w:t>t</w:t>
      </w:r>
      <w:r w:rsidRPr="00547FB4">
        <w:t>skottet anfört.</w:t>
      </w:r>
    </w:p>
    <w:p w:rsidR="00012792" w:rsidRPr="00547FB4" w:rsidRDefault="00012792">
      <w:r w:rsidRPr="00547FB4">
        <w:rPr>
          <w:i/>
        </w:rPr>
        <w:t>dels</w:t>
      </w:r>
      <w:r w:rsidRPr="00547FB4">
        <w:t xml:space="preserve"> att utskottets hemställan under 3 bort ha följande lydelse:</w:t>
      </w:r>
    </w:p>
    <w:p w:rsidR="00012792" w:rsidRPr="00547FB4" w:rsidRDefault="00012792">
      <w:pPr>
        <w:pStyle w:val="Resklmb"/>
      </w:pPr>
      <w:r w:rsidRPr="00547FB4">
        <w:t xml:space="preserve">3. beträffande </w:t>
      </w:r>
      <w:r w:rsidRPr="00547FB4">
        <w:rPr>
          <w:i/>
        </w:rPr>
        <w:t>ordensväsendet</w:t>
      </w:r>
    </w:p>
    <w:p w:rsidR="00012792" w:rsidRPr="00547FB4" w:rsidRDefault="00012792">
      <w:pPr>
        <w:pStyle w:val="Resklm"/>
      </w:pPr>
      <w:r w:rsidRPr="00547FB4">
        <w:t>att riksdagen med bifall till motionerna 1999/2000:K241, 1999/2000:</w:t>
      </w:r>
      <w:r w:rsidRPr="00547FB4">
        <w:br/>
        <w:t>K243 och 1999/2000:K284 som sin mening ger regeringen till känna vad utskottet anfört,</w:t>
      </w:r>
    </w:p>
    <w:p w:rsidR="00012792" w:rsidRPr="00547FB4" w:rsidRDefault="00012792">
      <w:pPr>
        <w:pStyle w:val="Rubrik2"/>
      </w:pPr>
      <w:bookmarkStart w:id="54" w:name="_Toc479495220"/>
      <w:r w:rsidRPr="00547FB4">
        <w:t>4. Flaggning i och i anslutning till riksdagsbyggnaderna  (mom. 5)</w:t>
      </w:r>
      <w:bookmarkEnd w:id="54"/>
    </w:p>
    <w:p w:rsidR="00012792" w:rsidRPr="00547FB4" w:rsidRDefault="00012792">
      <w:r w:rsidRPr="00547FB4">
        <w:t xml:space="preserve">Helena Bargholtz (fp) anser </w:t>
      </w:r>
    </w:p>
    <w:p w:rsidR="00012792" w:rsidRPr="00547FB4" w:rsidRDefault="00012792">
      <w:r w:rsidRPr="00547FB4">
        <w:rPr>
          <w:i/>
        </w:rPr>
        <w:t>dels</w:t>
      </w:r>
      <w:r w:rsidRPr="00547FB4">
        <w:t xml:space="preserve"> att den del av utskottets yttrande som på s. 12 börjar med ”Utskottet anser” och slutar med ”och K294 (fp)” bort ha följande lyde</w:t>
      </w:r>
      <w:r w:rsidRPr="00547FB4">
        <w:t>l</w:t>
      </w:r>
      <w:r w:rsidRPr="00547FB4">
        <w:t>se:</w:t>
      </w:r>
    </w:p>
    <w:p w:rsidR="00012792" w:rsidRPr="00547FB4" w:rsidRDefault="00012792">
      <w:pPr>
        <w:pStyle w:val="Normaltindrag"/>
      </w:pPr>
      <w:r w:rsidRPr="00547FB4">
        <w:t>Enligt utskottet bör EU:s flagga finnas i plenisalen för att markera den st</w:t>
      </w:r>
      <w:r w:rsidRPr="00547FB4">
        <w:t>o</w:t>
      </w:r>
      <w:r w:rsidRPr="00547FB4">
        <w:t>ra och viktiga betydelsen av Sveriges medlemskap i unionen. Utskottet til</w:t>
      </w:r>
      <w:r w:rsidRPr="00547FB4">
        <w:t>l</w:t>
      </w:r>
      <w:r w:rsidRPr="00547FB4">
        <w:t>styrker motion 1999/2000:K294 (fp) och avstyrker motionerna 1998/99:K215 (m), K218 (m) och 1999/2000:K208 (m).</w:t>
      </w:r>
    </w:p>
    <w:p w:rsidR="00012792" w:rsidRPr="00547FB4" w:rsidRDefault="00012792">
      <w:r w:rsidRPr="00547FB4">
        <w:rPr>
          <w:i/>
        </w:rPr>
        <w:t>dels</w:t>
      </w:r>
      <w:r w:rsidRPr="00547FB4">
        <w:t xml:space="preserve"> att utskottets hemställan under 5 bort ha följande lydelse:</w:t>
      </w:r>
    </w:p>
    <w:p w:rsidR="00012792" w:rsidRPr="00547FB4" w:rsidRDefault="00012792">
      <w:pPr>
        <w:pStyle w:val="Resklmb"/>
      </w:pPr>
      <w:r w:rsidRPr="00547FB4">
        <w:t xml:space="preserve">5. beträffande </w:t>
      </w:r>
      <w:r w:rsidRPr="00547FB4">
        <w:rPr>
          <w:i/>
        </w:rPr>
        <w:t>flaggning i och i anslutning till riksdagsbyggnaderna</w:t>
      </w:r>
    </w:p>
    <w:p w:rsidR="00012792" w:rsidRPr="00547FB4" w:rsidRDefault="00012792">
      <w:pPr>
        <w:pStyle w:val="Resklm"/>
      </w:pPr>
      <w:r w:rsidRPr="00547FB4">
        <w:t>att riksdagen med bifall till motion 1999/2000:K294 och med avslag på motionerna 1998/99:K215 yrkande 1, 1998/99:K218 och 1999/2000:K208 som sin mening ger talmanskonferensen till känna vad utskottet a</w:t>
      </w:r>
      <w:r w:rsidRPr="00547FB4">
        <w:t>n</w:t>
      </w:r>
      <w:r w:rsidRPr="00547FB4">
        <w:t>fört,</w:t>
      </w:r>
    </w:p>
    <w:p w:rsidR="00012792" w:rsidRPr="00547FB4" w:rsidRDefault="00012792">
      <w:pPr>
        <w:pStyle w:val="Resklm"/>
      </w:pPr>
      <w:bookmarkStart w:id="55" w:name="Nästa_Reservation"/>
      <w:bookmarkEnd w:id="55"/>
    </w:p>
    <w:p w:rsidR="00012792" w:rsidRPr="00547FB4" w:rsidRDefault="00012792">
      <w:pPr>
        <w:pStyle w:val="Rubrik1"/>
      </w:pPr>
      <w:bookmarkStart w:id="56" w:name="_Toc479495221"/>
      <w:r w:rsidRPr="00547FB4">
        <w:t>Särskilt yttrande</w:t>
      </w:r>
      <w:bookmarkEnd w:id="56"/>
    </w:p>
    <w:p w:rsidR="00012792" w:rsidRPr="00547FB4" w:rsidRDefault="00012792">
      <w:pPr>
        <w:pStyle w:val="Rubrik2"/>
      </w:pPr>
      <w:bookmarkStart w:id="57" w:name="_Toc479495222"/>
      <w:r w:rsidRPr="00547FB4">
        <w:t>Användning av Europaflaggan och EU-symbolen (mom. 4)</w:t>
      </w:r>
      <w:bookmarkEnd w:id="57"/>
    </w:p>
    <w:p w:rsidR="00012792" w:rsidRPr="00547FB4" w:rsidRDefault="00012792">
      <w:r w:rsidRPr="00547FB4">
        <w:t xml:space="preserve">Per Unckel (m), Inger René (m) och Nils Fredrik Aurelius (m) anför: </w:t>
      </w:r>
    </w:p>
    <w:p w:rsidR="00012792" w:rsidRPr="00547FB4" w:rsidRDefault="00012792">
      <w:r w:rsidRPr="00547FB4">
        <w:t xml:space="preserve">Flaggning och annat utnyttjande av symbolen får ses som uttryck för den samhörighet som växer sig allt starkare mellan medborgarna i europeiska länder. Vi anser det därför naturligt om staten går före med gott exempel och låter berörda myndigheter flagga på offentliga byggnader med både den svenska flaggan och Europaflaggan. </w:t>
      </w:r>
    </w:p>
    <w:p w:rsidR="00012792" w:rsidRPr="00547FB4" w:rsidRDefault="00012792"/>
    <w:p w:rsidR="00012792" w:rsidRPr="00547FB4" w:rsidRDefault="00012792"/>
    <w:p w:rsidR="00012792" w:rsidRPr="00547FB4" w:rsidRDefault="00012792">
      <w:pPr>
        <w:pStyle w:val="Normaltindrag"/>
        <w:sectPr w:rsidR="00000000" w:rsidRPr="00547FB4">
          <w:headerReference w:type="default" r:id="rId10"/>
          <w:footerReference w:type="default" r:id="rId11"/>
          <w:pgSz w:w="11906" w:h="16838" w:code="9"/>
          <w:pgMar w:top="567" w:right="4876" w:bottom="4508" w:left="1134" w:header="227" w:footer="227" w:gutter="0"/>
          <w:cols w:space="720"/>
        </w:sectPr>
      </w:pPr>
    </w:p>
    <w:p w:rsidR="00012792" w:rsidRPr="00547FB4" w:rsidRDefault="00012792">
      <w:pPr>
        <w:pStyle w:val="Innehll"/>
        <w:outlineLvl w:val="0"/>
      </w:pPr>
      <w:r w:rsidRPr="00547FB4">
        <w:t>Innehållsförteckning</w:t>
      </w:r>
    </w:p>
    <w:p w:rsidR="00012792" w:rsidRPr="00547FB4" w:rsidRDefault="00012792">
      <w:pPr>
        <w:pStyle w:val="Innehll1"/>
      </w:pPr>
      <w:r w:rsidRPr="00547FB4">
        <w:t>Sammanfattning</w:t>
      </w:r>
      <w:r w:rsidRPr="00547FB4">
        <w:tab/>
        <w:t>1</w:t>
      </w:r>
    </w:p>
    <w:p w:rsidR="00012792" w:rsidRPr="00547FB4" w:rsidRDefault="00012792">
      <w:pPr>
        <w:pStyle w:val="Innehll1"/>
      </w:pPr>
      <w:r w:rsidRPr="00547FB4">
        <w:t>Motionerna</w:t>
      </w:r>
      <w:r w:rsidRPr="00547FB4">
        <w:tab/>
        <w:t>1</w:t>
      </w:r>
    </w:p>
    <w:p w:rsidR="00012792" w:rsidRPr="00547FB4" w:rsidRDefault="00012792">
      <w:pPr>
        <w:pStyle w:val="Innehll1"/>
      </w:pPr>
      <w:r w:rsidRPr="00547FB4">
        <w:t>Utskottet</w:t>
      </w:r>
      <w:r w:rsidRPr="00547FB4">
        <w:tab/>
        <w:t>2</w:t>
      </w:r>
    </w:p>
    <w:p w:rsidR="00012792" w:rsidRPr="00547FB4" w:rsidRDefault="00012792">
      <w:pPr>
        <w:pStyle w:val="Innehll2"/>
      </w:pPr>
      <w:r w:rsidRPr="00547FB4">
        <w:t>Helgdagar</w:t>
      </w:r>
      <w:r w:rsidRPr="00547FB4">
        <w:tab/>
        <w:t>2</w:t>
      </w:r>
    </w:p>
    <w:p w:rsidR="00012792" w:rsidRPr="00547FB4" w:rsidRDefault="00012792">
      <w:pPr>
        <w:pStyle w:val="Innehll3"/>
      </w:pPr>
      <w:r w:rsidRPr="00547FB4">
        <w:t>Motioner</w:t>
      </w:r>
      <w:r w:rsidRPr="00547FB4">
        <w:tab/>
        <w:t>2</w:t>
      </w:r>
    </w:p>
    <w:p w:rsidR="00012792" w:rsidRPr="00547FB4" w:rsidRDefault="00012792">
      <w:pPr>
        <w:pStyle w:val="Innehll3"/>
      </w:pPr>
      <w:r w:rsidRPr="00547FB4">
        <w:t>Gällande ordning</w:t>
      </w:r>
      <w:r w:rsidRPr="00547FB4">
        <w:tab/>
        <w:t>3</w:t>
      </w:r>
    </w:p>
    <w:p w:rsidR="00012792" w:rsidRPr="00547FB4" w:rsidRDefault="00012792">
      <w:pPr>
        <w:pStyle w:val="Innehll3"/>
      </w:pPr>
      <w:r w:rsidRPr="00547FB4">
        <w:t>Tidigare behandling</w:t>
      </w:r>
      <w:r w:rsidRPr="00547FB4">
        <w:tab/>
        <w:t>4</w:t>
      </w:r>
    </w:p>
    <w:p w:rsidR="00012792" w:rsidRPr="00547FB4" w:rsidRDefault="00012792">
      <w:pPr>
        <w:pStyle w:val="Innehll3"/>
      </w:pPr>
      <w:r w:rsidRPr="00547FB4">
        <w:t>Utskottets bedömning</w:t>
      </w:r>
      <w:r w:rsidRPr="00547FB4">
        <w:tab/>
        <w:t>5</w:t>
      </w:r>
    </w:p>
    <w:p w:rsidR="00012792" w:rsidRPr="00547FB4" w:rsidRDefault="00012792">
      <w:pPr>
        <w:pStyle w:val="Innehll2"/>
      </w:pPr>
      <w:r w:rsidRPr="00547FB4">
        <w:t>Ordensväsendet</w:t>
      </w:r>
      <w:r w:rsidRPr="00547FB4">
        <w:tab/>
        <w:t>5</w:t>
      </w:r>
    </w:p>
    <w:p w:rsidR="00012792" w:rsidRPr="00547FB4" w:rsidRDefault="00012792">
      <w:pPr>
        <w:pStyle w:val="Innehll3"/>
      </w:pPr>
      <w:r w:rsidRPr="00547FB4">
        <w:t>Motioner</w:t>
      </w:r>
      <w:r w:rsidRPr="00547FB4">
        <w:tab/>
        <w:t>5</w:t>
      </w:r>
    </w:p>
    <w:p w:rsidR="00012792" w:rsidRPr="00547FB4" w:rsidRDefault="00012792">
      <w:pPr>
        <w:pStyle w:val="Innehll3"/>
      </w:pPr>
      <w:r w:rsidRPr="00547FB4">
        <w:t>Gällande ordning</w:t>
      </w:r>
      <w:r w:rsidRPr="00547FB4">
        <w:tab/>
        <w:t>7</w:t>
      </w:r>
    </w:p>
    <w:p w:rsidR="00012792" w:rsidRPr="00547FB4" w:rsidRDefault="00012792">
      <w:pPr>
        <w:pStyle w:val="Innehll3"/>
      </w:pPr>
      <w:r w:rsidRPr="00547FB4">
        <w:t>Tidigare behandling</w:t>
      </w:r>
      <w:r w:rsidRPr="00547FB4">
        <w:tab/>
        <w:t>8</w:t>
      </w:r>
    </w:p>
    <w:p w:rsidR="00012792" w:rsidRPr="00547FB4" w:rsidRDefault="00012792">
      <w:pPr>
        <w:pStyle w:val="Innehll3"/>
      </w:pPr>
      <w:r w:rsidRPr="00547FB4">
        <w:t>Utskottets bedömning</w:t>
      </w:r>
      <w:r w:rsidRPr="00547FB4">
        <w:tab/>
        <w:t>9</w:t>
      </w:r>
    </w:p>
    <w:p w:rsidR="00012792" w:rsidRPr="00547FB4" w:rsidRDefault="00012792">
      <w:pPr>
        <w:pStyle w:val="Innehll2"/>
      </w:pPr>
      <w:r w:rsidRPr="00547FB4">
        <w:t>Flaggor och flaggning</w:t>
      </w:r>
      <w:r w:rsidRPr="00547FB4">
        <w:tab/>
        <w:t>9</w:t>
      </w:r>
    </w:p>
    <w:p w:rsidR="00012792" w:rsidRPr="00547FB4" w:rsidRDefault="00012792">
      <w:pPr>
        <w:pStyle w:val="Innehll3"/>
      </w:pPr>
      <w:r w:rsidRPr="00547FB4">
        <w:t>Motioner</w:t>
      </w:r>
      <w:r w:rsidRPr="00547FB4">
        <w:tab/>
        <w:t>9</w:t>
      </w:r>
    </w:p>
    <w:p w:rsidR="00012792" w:rsidRPr="00547FB4" w:rsidRDefault="00012792">
      <w:pPr>
        <w:pStyle w:val="Innehll3"/>
      </w:pPr>
      <w:r w:rsidRPr="00547FB4">
        <w:t>Gällande regler</w:t>
      </w:r>
      <w:r w:rsidRPr="00547FB4">
        <w:tab/>
        <w:t>10</w:t>
      </w:r>
    </w:p>
    <w:p w:rsidR="00012792" w:rsidRPr="00547FB4" w:rsidRDefault="00012792">
      <w:pPr>
        <w:pStyle w:val="Innehll4"/>
      </w:pPr>
      <w:r w:rsidRPr="00547FB4">
        <w:t>Användning av Europaflaggan</w:t>
      </w:r>
      <w:r w:rsidRPr="00547FB4">
        <w:tab/>
        <w:t>10</w:t>
      </w:r>
    </w:p>
    <w:p w:rsidR="00012792" w:rsidRPr="00547FB4" w:rsidRDefault="00012792">
      <w:pPr>
        <w:pStyle w:val="Innehll4"/>
      </w:pPr>
      <w:r w:rsidRPr="00547FB4">
        <w:t>Användning av EU-symbolen i offentliga sammanhang</w:t>
      </w:r>
      <w:r w:rsidRPr="00547FB4">
        <w:tab/>
        <w:t>10</w:t>
      </w:r>
    </w:p>
    <w:p w:rsidR="00012792" w:rsidRPr="00547FB4" w:rsidRDefault="00012792">
      <w:pPr>
        <w:pStyle w:val="Innehll3"/>
      </w:pPr>
      <w:r w:rsidRPr="00547FB4">
        <w:t>Utskottets bedömning</w:t>
      </w:r>
      <w:r w:rsidRPr="00547FB4">
        <w:tab/>
        <w:t>11</w:t>
      </w:r>
    </w:p>
    <w:p w:rsidR="00012792" w:rsidRPr="00547FB4" w:rsidRDefault="00012792">
      <w:pPr>
        <w:pStyle w:val="Innehll2"/>
      </w:pPr>
      <w:r w:rsidRPr="00547FB4">
        <w:t>Hemställan</w:t>
      </w:r>
      <w:r w:rsidRPr="00547FB4">
        <w:tab/>
        <w:t>12</w:t>
      </w:r>
    </w:p>
    <w:p w:rsidR="00012792" w:rsidRPr="00547FB4" w:rsidRDefault="00012792">
      <w:pPr>
        <w:pStyle w:val="Innehll1"/>
      </w:pPr>
      <w:r w:rsidRPr="00547FB4">
        <w:t>Reservationer</w:t>
      </w:r>
      <w:r w:rsidRPr="00547FB4">
        <w:tab/>
        <w:t>13</w:t>
      </w:r>
    </w:p>
    <w:p w:rsidR="00012792" w:rsidRPr="00547FB4" w:rsidRDefault="00012792">
      <w:pPr>
        <w:pStyle w:val="Innehll2"/>
      </w:pPr>
      <w:r w:rsidRPr="00547FB4">
        <w:t>1. Nationaldagen som helgdag (mom. 1)</w:t>
      </w:r>
      <w:r w:rsidRPr="00547FB4">
        <w:tab/>
        <w:t>13</w:t>
      </w:r>
    </w:p>
    <w:p w:rsidR="00012792" w:rsidRPr="00547FB4" w:rsidRDefault="00012792">
      <w:pPr>
        <w:pStyle w:val="Innehll2"/>
      </w:pPr>
      <w:r w:rsidRPr="00547FB4">
        <w:t>2. Internationella kvinnodagen som helgdag (mom. 2)</w:t>
      </w:r>
      <w:r w:rsidRPr="00547FB4">
        <w:tab/>
        <w:t>13</w:t>
      </w:r>
    </w:p>
    <w:p w:rsidR="00012792" w:rsidRPr="00547FB4" w:rsidRDefault="00012792">
      <w:pPr>
        <w:pStyle w:val="Innehll2"/>
      </w:pPr>
      <w:r w:rsidRPr="00547FB4">
        <w:t>3. Ordensväsendet (mom. 3)</w:t>
      </w:r>
      <w:r w:rsidRPr="00547FB4">
        <w:tab/>
        <w:t>14</w:t>
      </w:r>
    </w:p>
    <w:p w:rsidR="00012792" w:rsidRPr="00547FB4" w:rsidRDefault="00012792">
      <w:pPr>
        <w:pStyle w:val="Innehll2"/>
      </w:pPr>
      <w:r w:rsidRPr="00547FB4">
        <w:t>4. Flaggning i och i anslutning till riksdagsbyggnaderna  (mom. 5)</w:t>
      </w:r>
      <w:r w:rsidRPr="00547FB4">
        <w:tab/>
        <w:t>14</w:t>
      </w:r>
    </w:p>
    <w:p w:rsidR="00012792" w:rsidRPr="00547FB4" w:rsidRDefault="00012792">
      <w:pPr>
        <w:pStyle w:val="Innehll1"/>
      </w:pPr>
      <w:r w:rsidRPr="00547FB4">
        <w:t>Särskilt yttrande</w:t>
      </w:r>
      <w:r w:rsidRPr="00547FB4">
        <w:tab/>
        <w:t>15</w:t>
      </w:r>
    </w:p>
    <w:p w:rsidR="00012792" w:rsidRPr="00547FB4" w:rsidRDefault="00012792">
      <w:pPr>
        <w:pStyle w:val="Innehll2"/>
      </w:pPr>
      <w:r w:rsidRPr="00547FB4">
        <w:t>Användning av Europaflaggan och EU-symbolen (mom. 4)</w:t>
      </w:r>
      <w:r w:rsidRPr="00547FB4">
        <w:tab/>
        <w:t>15</w:t>
      </w:r>
    </w:p>
    <w:p w:rsidR="00012792" w:rsidRPr="00547FB4" w:rsidRDefault="00012792"/>
    <w:p w:rsidR="00012792" w:rsidRPr="00547FB4" w:rsidRDefault="00012792">
      <w:pPr>
        <w:pStyle w:val="Tryckort"/>
        <w:framePr w:wrap="around"/>
      </w:pPr>
      <w:r w:rsidRPr="00547FB4">
        <w:t>Elanders Gotab, Stockholm  2000</w:t>
      </w:r>
    </w:p>
    <w:p w:rsidR="00012792" w:rsidRPr="00547FB4" w:rsidRDefault="00012792">
      <w:pPr>
        <w:pStyle w:val="Normaltindrag"/>
      </w:pPr>
    </w:p>
    <w:sectPr w:rsidR="00012792" w:rsidRPr="00547FB4">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792" w:rsidRPr="00547FB4" w:rsidRDefault="00012792">
      <w:pPr>
        <w:spacing w:before="0" w:line="240" w:lineRule="auto"/>
      </w:pPr>
      <w:r w:rsidRPr="00547FB4">
        <w:separator/>
      </w:r>
    </w:p>
  </w:endnote>
  <w:endnote w:type="continuationSeparator" w:id="0">
    <w:p w:rsidR="00012792" w:rsidRPr="00547FB4" w:rsidRDefault="00012792">
      <w:pPr>
        <w:spacing w:before="0" w:line="240" w:lineRule="auto"/>
      </w:pPr>
      <w:r w:rsidRPr="00547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92" w:rsidRPr="00547FB4" w:rsidRDefault="00012792">
    <w:pPr>
      <w:pStyle w:val="SidfotH"/>
      <w:framePr w:wrap="around"/>
    </w:pPr>
    <w:r w:rsidRPr="00547FB4">
      <w:fldChar w:fldCharType="begin" w:fldLock="1"/>
    </w:r>
    <w:r w:rsidRPr="00547FB4">
      <w:instrText xml:space="preserve"> P</w:instrText>
    </w:r>
    <w:r w:rsidRPr="00547FB4">
      <w:instrText>A</w:instrText>
    </w:r>
    <w:r w:rsidRPr="00547FB4">
      <w:instrText xml:space="preserve">GE </w:instrText>
    </w:r>
    <w:r w:rsidRPr="00547FB4">
      <w:fldChar w:fldCharType="separate"/>
    </w:r>
    <w:r w:rsidRPr="00547FB4">
      <w:t>1</w:t>
    </w:r>
    <w:r w:rsidRPr="00547FB4">
      <w:fldChar w:fldCharType="end"/>
    </w:r>
  </w:p>
  <w:p w:rsidR="00012792" w:rsidRPr="00547FB4" w:rsidRDefault="000127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92" w:rsidRPr="00547FB4" w:rsidRDefault="00012792">
    <w:pPr>
      <w:pStyle w:val="SidfotH"/>
      <w:framePr w:wrap="around"/>
    </w:pPr>
    <w:r w:rsidRPr="00547FB4">
      <w:fldChar w:fldCharType="begin" w:fldLock="1"/>
    </w:r>
    <w:r w:rsidRPr="00547FB4">
      <w:instrText xml:space="preserve"> P</w:instrText>
    </w:r>
    <w:r w:rsidRPr="00547FB4">
      <w:instrText>A</w:instrText>
    </w:r>
    <w:r w:rsidRPr="00547FB4">
      <w:instrText xml:space="preserve">GE </w:instrText>
    </w:r>
    <w:r w:rsidRPr="00547FB4">
      <w:fldChar w:fldCharType="separate"/>
    </w:r>
    <w:r w:rsidRPr="00547FB4">
      <w:t>16</w:t>
    </w:r>
    <w:r w:rsidRPr="00547FB4">
      <w:fldChar w:fldCharType="end"/>
    </w:r>
  </w:p>
  <w:p w:rsidR="00012792" w:rsidRPr="00547FB4" w:rsidRDefault="00012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792" w:rsidRPr="00547FB4" w:rsidRDefault="00012792">
      <w:pPr>
        <w:pStyle w:val="Sidfot"/>
      </w:pPr>
    </w:p>
  </w:footnote>
  <w:footnote w:type="continuationSeparator" w:id="0">
    <w:p w:rsidR="00012792" w:rsidRPr="00547FB4" w:rsidRDefault="00012792">
      <w:pPr>
        <w:spacing w:before="0" w:line="240" w:lineRule="auto"/>
      </w:pPr>
      <w:r w:rsidRPr="00547F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92" w:rsidRPr="00547FB4" w:rsidRDefault="00012792">
    <w:pPr>
      <w:pStyle w:val="SidhuvudKant"/>
      <w:framePr w:w="1758" w:h="2744" w:hRule="exact" w:wrap="around" w:vAnchor="page" w:hAnchor="page" w:x="7372" w:y="568" w:anchorLock="0"/>
    </w:pPr>
    <w:r w:rsidRPr="00547FB4">
      <w:t>1999/2000:KU18</w:t>
    </w:r>
  </w:p>
  <w:p w:rsidR="00012792" w:rsidRPr="00547FB4" w:rsidRDefault="00012792">
    <w:pPr>
      <w:pStyle w:val="SidhuvudKantBilaga"/>
      <w:framePr w:w="1758" w:h="2744" w:hRule="exact" w:wrap="around" w:vAnchor="page" w:hAnchor="page" w:x="7372" w:y="568" w:anchorLock="0"/>
    </w:pPr>
  </w:p>
  <w:p w:rsidR="00012792" w:rsidRPr="00547FB4" w:rsidRDefault="00012792">
    <w:pPr>
      <w:pStyle w:val="SidhuvudKant"/>
      <w:framePr w:w="1758" w:h="2744" w:hRule="exact" w:wrap="around" w:vAnchor="page" w:hAnchor="page" w:x="7372" w:y="568" w:anchorLock="0"/>
    </w:pPr>
  </w:p>
  <w:p w:rsidR="00012792" w:rsidRPr="00547FB4" w:rsidRDefault="000127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92" w:rsidRPr="00547FB4" w:rsidRDefault="00012792">
    <w:pPr>
      <w:pStyle w:val="SidhuvudKant"/>
      <w:framePr w:w="1758" w:h="2744" w:hRule="exact" w:wrap="around" w:vAnchor="page" w:hAnchor="page" w:x="7372" w:y="568" w:anchorLock="0"/>
    </w:pPr>
    <w:r w:rsidRPr="00547FB4">
      <w:t>1999/2000:KU18</w:t>
    </w:r>
  </w:p>
  <w:p w:rsidR="00012792" w:rsidRPr="00547FB4" w:rsidRDefault="00012792">
    <w:pPr>
      <w:pStyle w:val="SidhuvudKantBilaga"/>
      <w:framePr w:w="1758" w:h="2744" w:hRule="exact" w:wrap="around" w:vAnchor="page" w:hAnchor="page" w:x="7372" w:y="568" w:anchorLock="0"/>
    </w:pPr>
  </w:p>
  <w:p w:rsidR="00012792" w:rsidRPr="00547FB4" w:rsidRDefault="00012792">
    <w:pPr>
      <w:pStyle w:val="SidhuvudKant"/>
      <w:framePr w:w="1758" w:h="2744" w:hRule="exact" w:wrap="around" w:vAnchor="page" w:hAnchor="page" w:x="7372" w:y="568" w:anchorLock="0"/>
    </w:pPr>
  </w:p>
  <w:p w:rsidR="00012792" w:rsidRPr="00547FB4" w:rsidRDefault="000127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490"/>
    <w:multiLevelType w:val="singleLevel"/>
    <w:tmpl w:val="3288ED70"/>
    <w:lvl w:ilvl="0">
      <w:numFmt w:val="bullet"/>
      <w:lvlText w:val="–"/>
      <w:lvlJc w:val="left"/>
      <w:pPr>
        <w:tabs>
          <w:tab w:val="num" w:pos="530"/>
        </w:tabs>
        <w:ind w:left="530" w:hanging="360"/>
      </w:pPr>
      <w:rPr>
        <w:rFonts w:hint="default"/>
      </w:rPr>
    </w:lvl>
  </w:abstractNum>
  <w:abstractNum w:abstractNumId="1" w15:restartNumberingAfterBreak="0">
    <w:nsid w:val="16A02CDC"/>
    <w:multiLevelType w:val="singleLevel"/>
    <w:tmpl w:val="DD98AD06"/>
    <w:lvl w:ilvl="0">
      <w:numFmt w:val="bullet"/>
      <w:lvlText w:val="-"/>
      <w:lvlJc w:val="left"/>
      <w:pPr>
        <w:tabs>
          <w:tab w:val="num" w:pos="360"/>
        </w:tabs>
        <w:ind w:left="360" w:hanging="360"/>
      </w:pPr>
      <w:rPr>
        <w:rFonts w:hint="default"/>
      </w:rPr>
    </w:lvl>
  </w:abstractNum>
  <w:abstractNum w:abstractNumId="2" w15:restartNumberingAfterBreak="0">
    <w:nsid w:val="172B0B95"/>
    <w:multiLevelType w:val="singleLevel"/>
    <w:tmpl w:val="C602C0E2"/>
    <w:lvl w:ilvl="0">
      <w:start w:val="1"/>
      <w:numFmt w:val="bullet"/>
      <w:lvlText w:val=""/>
      <w:lvlJc w:val="left"/>
      <w:pPr>
        <w:tabs>
          <w:tab w:val="num" w:pos="360"/>
        </w:tabs>
        <w:ind w:left="227" w:hanging="227"/>
      </w:pPr>
      <w:rPr>
        <w:rFonts w:ascii="Symbol" w:hAnsi="Symbol" w:hint="default"/>
      </w:rPr>
    </w:lvl>
  </w:abstractNum>
  <w:abstractNum w:abstractNumId="3" w15:restartNumberingAfterBreak="0">
    <w:nsid w:val="2CE47574"/>
    <w:multiLevelType w:val="singleLevel"/>
    <w:tmpl w:val="4D7AA540"/>
    <w:lvl w:ilvl="0">
      <w:start w:val="1"/>
      <w:numFmt w:val="bullet"/>
      <w:lvlText w:val="-"/>
      <w:lvlJc w:val="left"/>
      <w:pPr>
        <w:tabs>
          <w:tab w:val="num" w:pos="530"/>
        </w:tabs>
        <w:ind w:left="530" w:hanging="360"/>
      </w:pPr>
      <w:rPr>
        <w:rFonts w:hint="default"/>
      </w:rPr>
    </w:lvl>
  </w:abstractNum>
  <w:abstractNum w:abstractNumId="4" w15:restartNumberingAfterBreak="0">
    <w:nsid w:val="374A55FE"/>
    <w:multiLevelType w:val="singleLevel"/>
    <w:tmpl w:val="3288ED70"/>
    <w:lvl w:ilvl="0">
      <w:numFmt w:val="bullet"/>
      <w:lvlText w:val="–"/>
      <w:lvlJc w:val="left"/>
      <w:pPr>
        <w:tabs>
          <w:tab w:val="num" w:pos="530"/>
        </w:tabs>
        <w:ind w:left="530" w:hanging="360"/>
      </w:pPr>
      <w:rPr>
        <w:rFonts w:hint="default"/>
      </w:rPr>
    </w:lvl>
  </w:abstractNum>
  <w:abstractNum w:abstractNumId="5" w15:restartNumberingAfterBreak="0">
    <w:nsid w:val="46B12E0A"/>
    <w:multiLevelType w:val="singleLevel"/>
    <w:tmpl w:val="DD98AD06"/>
    <w:lvl w:ilvl="0">
      <w:numFmt w:val="bullet"/>
      <w:lvlText w:val="-"/>
      <w:lvlJc w:val="left"/>
      <w:pPr>
        <w:tabs>
          <w:tab w:val="num" w:pos="360"/>
        </w:tabs>
        <w:ind w:left="360" w:hanging="360"/>
      </w:pPr>
      <w:rPr>
        <w:rFonts w:hint="default"/>
      </w:rPr>
    </w:lvl>
  </w:abstractNum>
  <w:abstractNum w:abstractNumId="6" w15:restartNumberingAfterBreak="0">
    <w:nsid w:val="4D07593B"/>
    <w:multiLevelType w:val="singleLevel"/>
    <w:tmpl w:val="783AA86A"/>
    <w:lvl w:ilvl="0">
      <w:start w:val="1"/>
      <w:numFmt w:val="bullet"/>
      <w:lvlText w:val=""/>
      <w:lvlJc w:val="left"/>
      <w:pPr>
        <w:tabs>
          <w:tab w:val="num" w:pos="360"/>
        </w:tabs>
        <w:ind w:left="170" w:hanging="170"/>
      </w:pPr>
      <w:rPr>
        <w:rFonts w:ascii="Symbol" w:hAnsi="Symbol" w:hint="default"/>
      </w:rPr>
    </w:lvl>
  </w:abstractNum>
  <w:abstractNum w:abstractNumId="7" w15:restartNumberingAfterBreak="0">
    <w:nsid w:val="657E6571"/>
    <w:multiLevelType w:val="singleLevel"/>
    <w:tmpl w:val="3288ED70"/>
    <w:lvl w:ilvl="0">
      <w:numFmt w:val="bullet"/>
      <w:lvlText w:val="–"/>
      <w:lvlJc w:val="left"/>
      <w:pPr>
        <w:tabs>
          <w:tab w:val="num" w:pos="530"/>
        </w:tabs>
        <w:ind w:left="530" w:hanging="360"/>
      </w:pPr>
      <w:rPr>
        <w:rFonts w:hint="default"/>
      </w:rPr>
    </w:lvl>
  </w:abstractNum>
  <w:abstractNum w:abstractNumId="8" w15:restartNumberingAfterBreak="0">
    <w:nsid w:val="68084F67"/>
    <w:multiLevelType w:val="singleLevel"/>
    <w:tmpl w:val="3288ED70"/>
    <w:lvl w:ilvl="0">
      <w:numFmt w:val="bullet"/>
      <w:lvlText w:val="–"/>
      <w:lvlJc w:val="left"/>
      <w:pPr>
        <w:tabs>
          <w:tab w:val="num" w:pos="530"/>
        </w:tabs>
        <w:ind w:left="530" w:hanging="360"/>
      </w:pPr>
      <w:rPr>
        <w:rFonts w:hint="default"/>
      </w:rPr>
    </w:lvl>
  </w:abstractNum>
  <w:num w:numId="1" w16cid:durableId="1348141303">
    <w:abstractNumId w:val="3"/>
  </w:num>
  <w:num w:numId="2" w16cid:durableId="741608982">
    <w:abstractNumId w:val="0"/>
  </w:num>
  <w:num w:numId="3" w16cid:durableId="662663346">
    <w:abstractNumId w:val="8"/>
  </w:num>
  <w:num w:numId="4" w16cid:durableId="508180835">
    <w:abstractNumId w:val="7"/>
  </w:num>
  <w:num w:numId="5" w16cid:durableId="1420906270">
    <w:abstractNumId w:val="4"/>
  </w:num>
  <w:num w:numId="6" w16cid:durableId="70662956">
    <w:abstractNumId w:val="5"/>
  </w:num>
  <w:num w:numId="7" w16cid:durableId="1478106164">
    <w:abstractNumId w:val="1"/>
  </w:num>
  <w:num w:numId="8" w16cid:durableId="706561773">
    <w:abstractNumId w:val="6"/>
  </w:num>
  <w:num w:numId="9" w16cid:durableId="1024132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6C43E6"/>
    <w:rsid w:val="00012792"/>
    <w:rsid w:val="00547FB4"/>
    <w:rsid w:val="006C43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FA9AF7-BC85-4F6F-BB8E-7E9676FF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5625</Words>
  <Characters>33474</Characters>
  <Application>Microsoft Office Word</Application>
  <DocSecurity>4</DocSecurity>
  <Lines>656</Lines>
  <Paragraphs>238</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Konstitutionsutskottets betänkande</vt:lpstr>
      <vt:lpstr>Sammanfattning</vt:lpstr>
      <vt:lpstr>Motionerna</vt:lpstr>
      <vt:lpstr>Utskottet</vt:lpstr>
      <vt:lpstr>    Helgdagar</vt:lpstr>
      <vt:lpstr>        Motioner</vt:lpstr>
      <vt:lpstr>        Gällande ordning</vt:lpstr>
      <vt:lpstr>        Tidigare behandling</vt:lpstr>
      <vt:lpstr>        Utskottets bedömning</vt:lpstr>
      <vt:lpstr>    Ordensväsendet</vt:lpstr>
      <vt:lpstr>        Motioner</vt:lpstr>
      <vt:lpstr>        Gällande ordning</vt:lpstr>
      <vt:lpstr>        Tidigare behandling</vt:lpstr>
      <vt:lpstr>        Utskottets bedömning</vt:lpstr>
      <vt:lpstr>    Flaggor och flaggning</vt:lpstr>
      <vt:lpstr>        Motioner</vt:lpstr>
      <vt:lpstr>        Gällande regler </vt:lpstr>
      <vt:lpstr>        Utskottets bedömning</vt:lpstr>
      <vt:lpstr>    Hemställan</vt:lpstr>
      <vt:lpstr>Reservationer</vt:lpstr>
      <vt:lpstr>    1. Nationaldagen som helgdag (mom. 1)</vt:lpstr>
      <vt:lpstr>    2. Internationella kvinnodagen som helgdag (mom. 2)</vt:lpstr>
      <vt:lpstr>    3. Ordensväsendet (mom. 3)</vt:lpstr>
      <vt:lpstr>    4. Flaggning i och i anslutning till riksdagsbyggnaderna  (mom. 5)</vt:lpstr>
      <vt:lpstr>Särskilt yttrande</vt:lpstr>
      <vt:lpstr>    Användning av Europaflaggan och EU-symbolen (mom. 4)</vt:lpstr>
      <vt:lpstr>Innehållsförteckning</vt:lpstr>
    </vt:vector>
  </TitlesOfParts>
  <Company>Riksdagen</Company>
  <LinksUpToDate>false</LinksUpToDate>
  <CharactersWithSpaces>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2000-04-04T13:44:00Z</cp:lastPrinted>
  <dcterms:created xsi:type="dcterms:W3CDTF">2025-12-15T21:46:00Z</dcterms:created>
  <dcterms:modified xsi:type="dcterms:W3CDTF">2025-12-15T21:46:00Z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