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29 maj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 Tisdagen den 19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2025/26:48 Torsdagen den 28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2025/26:472 av Sanna Backeskog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brottsofferpolitik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2025/26:515 av Jytte Guteland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takt i klimatarbetet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2025/26:275 Extra ändringsbudget för 2026 – Stöd till Ukraina samt stöd till hushåll och andra åtgärder med anledning av kriget i Mellanöstern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2025/26:276 Nya möjligheter att bekämpa onlinerekrytering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3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2025/26:277 Avveckling av Utbetalningsmyndighetens system med transaktionskonto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2025/26:JuU38 Ett förstärkt samhällsskydd och tydligare reaktioner vid återfall i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2025/26:JuU35 Tillfällig verkställighet av svenska fängelsestraff utomlands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2025/26:UU19 Verksamheten i Nato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2025/26:CU38 Ersättningsregler med brottsoffret i fokus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2025/26:FöU16 Ändrade regler om tillstånd och tillsyn för Totalförsvarets forskningsinstitut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2025/26:FöU17 Sveriges militära stöd till Ukraina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2025/26:FöU18 Signalspaning i försvarsunderrättelseverksamhet – en modern och ändamålsenlig 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2025/26:KrU9 Attraktiva platser – bredare genomslag för politiken för arkitektur, form och design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2025/26:442 av Markus Kallifatides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Uttalanden om ätstörningsvården i Region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Civilminister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2025/26:459 av Josef Fransson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Opinionsbildning och aktivism inom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2025/26:470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Israels angrepp på flottiljen Global Sumud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2025/26:478 av Jacob Risberg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agerande för skydd för civila humanitära konvojer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2025/26:489 av Jamal El-Haj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Al-Nakba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Infrastruktur- och bostadsminister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2025/26:412 av Nadja Awad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Tillgängligheten för personer med funktionsnedsättningar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2025/26:419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Motorvägsbron i Södertälje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2025/26:425 av Kalle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Fördelning av ansvar för infrastrukturkostnader vid försvarsetableringar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2025/26:445 av Markus Kallifatides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 förköpsrätt av nyckelfastigheter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2025/26:468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Bristande regelefterlevnad i taxibranschen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2025/26:471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Höga kostnader och bristande tillgänglighet till 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2025/26:492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Konsekvenserna för barn när biståndet minskar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2025/26:493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Konsekvenserna av nedlagda biståndsstrategier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29 maj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2026-05-29</SAFIR_Sammantradesdatum_Doc>
    <SAFIR_SammantradeID xmlns="C07A1A6C-0B19-41D9-BDF8-F523BA3921EB">1f1bb840-714a-470d-b2aa-666df489fb05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6CF3007-EC0A-4484-9388-DF32670C41B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