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387BB5">
        <w:tblPrEx>
          <w:tblCellMar>
            <w:top w:w="0" w:type="dxa"/>
            <w:bottom w:w="0" w:type="dxa"/>
          </w:tblCellMar>
        </w:tblPrEx>
        <w:trPr>
          <w:cantSplit/>
          <w:trHeight w:val="1720"/>
        </w:trPr>
        <w:tc>
          <w:tcPr>
            <w:tcW w:w="6024" w:type="dxa"/>
            <w:gridSpan w:val="2"/>
          </w:tcPr>
          <w:p w:rsidR="00F53A97" w:rsidRPr="00387BB5" w:rsidRDefault="00C911BC">
            <w:pPr>
              <w:pStyle w:val="HuvudRubrik"/>
            </w:pPr>
            <w:r w:rsidRPr="00387BB5">
              <w:t>Framställning till riksdagen</w:t>
            </w:r>
          </w:p>
          <w:p w:rsidR="00F53A97" w:rsidRPr="00387BB5" w:rsidRDefault="00231F68">
            <w:pPr>
              <w:pStyle w:val="HuvudRubrikRad2"/>
            </w:pPr>
            <w:bookmarkStart w:id="0" w:name="BetänkandeNr"/>
            <w:bookmarkEnd w:id="0"/>
            <w:r w:rsidRPr="00387BB5">
              <w:t>2009/10</w:t>
            </w:r>
            <w:r w:rsidR="00F53A97" w:rsidRPr="00387BB5">
              <w:t>:</w:t>
            </w:r>
            <w:r w:rsidR="003F705F" w:rsidRPr="00387BB5">
              <w:t>RB3</w:t>
            </w:r>
          </w:p>
        </w:tc>
        <w:tc>
          <w:tcPr>
            <w:tcW w:w="1418" w:type="dxa"/>
            <w:tcBorders>
              <w:bottom w:val="nil"/>
            </w:tcBorders>
          </w:tcPr>
          <w:p w:rsidR="00F53A97" w:rsidRPr="00387BB5" w:rsidRDefault="00387BB5">
            <w:pPr>
              <w:spacing w:line="230" w:lineRule="auto"/>
              <w:jc w:val="center"/>
            </w:pPr>
            <w:r w:rsidRPr="00387BB5">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F53A97" w:rsidRPr="00387BB5" w:rsidRDefault="00F53A97">
            <w:pPr>
              <w:pStyle w:val="Normaltindrag"/>
              <w:jc w:val="center"/>
            </w:pPr>
          </w:p>
          <w:p w:rsidR="00F53A97" w:rsidRPr="00387BB5" w:rsidRDefault="00F53A97">
            <w:pPr>
              <w:pStyle w:val="StatusSida1"/>
            </w:pPr>
          </w:p>
          <w:p w:rsidR="00F53A97" w:rsidRPr="00387BB5" w:rsidRDefault="00F53A97">
            <w:pPr>
              <w:pStyle w:val="UtskriftsdatumSida1"/>
              <w:framePr w:wrap="around"/>
            </w:pPr>
          </w:p>
        </w:tc>
      </w:tr>
      <w:tr w:rsidR="00F53A97" w:rsidRPr="00387BB5">
        <w:tblPrEx>
          <w:tblCellMar>
            <w:top w:w="0" w:type="dxa"/>
            <w:bottom w:w="0" w:type="dxa"/>
          </w:tblCellMar>
        </w:tblPrEx>
        <w:trPr>
          <w:cantSplit/>
        </w:trPr>
        <w:tc>
          <w:tcPr>
            <w:tcW w:w="6024" w:type="dxa"/>
            <w:gridSpan w:val="2"/>
            <w:tcBorders>
              <w:bottom w:val="single" w:sz="4" w:space="0" w:color="auto"/>
            </w:tcBorders>
          </w:tcPr>
          <w:p w:rsidR="003F705F" w:rsidRPr="00387BB5" w:rsidRDefault="003F705F" w:rsidP="00863CE6">
            <w:pPr>
              <w:pStyle w:val="DokumentRubrik"/>
              <w:rPr>
                <w:noProof w:val="0"/>
              </w:rPr>
            </w:pPr>
            <w:bookmarkStart w:id="1" w:name="Huvudrubrik"/>
            <w:bookmarkEnd w:id="1"/>
            <w:r w:rsidRPr="00387BB5">
              <w:rPr>
                <w:noProof w:val="0"/>
              </w:rPr>
              <w:t>Förslag till disposition av Riksbankens vinst för räkenskapsåret 2009 samt riksbanksfullmäktiges verksamhetsberättelse 2009</w:t>
            </w:r>
          </w:p>
          <w:p w:rsidR="00F53A97" w:rsidRPr="00387BB5" w:rsidRDefault="00F53A97">
            <w:pPr>
              <w:pStyle w:val="DokumentRubrik"/>
              <w:rPr>
                <w:noProof w:val="0"/>
              </w:rPr>
            </w:pPr>
          </w:p>
        </w:tc>
        <w:tc>
          <w:tcPr>
            <w:tcW w:w="1418" w:type="dxa"/>
            <w:tcBorders>
              <w:bottom w:val="nil"/>
            </w:tcBorders>
          </w:tcPr>
          <w:p w:rsidR="00F53A97" w:rsidRPr="00387BB5" w:rsidRDefault="00F53A97"/>
        </w:tc>
      </w:tr>
      <w:tr w:rsidR="00F53A97" w:rsidRPr="00387BB5">
        <w:tblPrEx>
          <w:tblCellMar>
            <w:top w:w="0" w:type="dxa"/>
            <w:bottom w:w="0" w:type="dxa"/>
          </w:tblCellMar>
        </w:tblPrEx>
        <w:trPr>
          <w:cantSplit/>
          <w:trHeight w:hRule="exact" w:val="360"/>
        </w:trPr>
        <w:tc>
          <w:tcPr>
            <w:tcW w:w="3012" w:type="dxa"/>
          </w:tcPr>
          <w:p w:rsidR="00F53A97" w:rsidRPr="00387BB5" w:rsidRDefault="00F53A97"/>
        </w:tc>
        <w:tc>
          <w:tcPr>
            <w:tcW w:w="3012" w:type="dxa"/>
          </w:tcPr>
          <w:p w:rsidR="00F53A97" w:rsidRPr="00387BB5" w:rsidRDefault="00F53A97"/>
        </w:tc>
        <w:tc>
          <w:tcPr>
            <w:tcW w:w="1418" w:type="dxa"/>
          </w:tcPr>
          <w:p w:rsidR="00F53A97" w:rsidRPr="00387BB5" w:rsidRDefault="00F53A97"/>
        </w:tc>
      </w:tr>
    </w:tbl>
    <w:p w:rsidR="00F53A97" w:rsidRPr="00387BB5" w:rsidRDefault="00F53A97"/>
    <w:p w:rsidR="00C911BC" w:rsidRPr="00387BB5" w:rsidRDefault="00C911BC" w:rsidP="00C911BC">
      <w:pPr>
        <w:pStyle w:val="Rubrik1"/>
        <w:spacing w:after="180"/>
        <w:rPr>
          <w:noProof w:val="0"/>
        </w:rPr>
      </w:pPr>
      <w:bookmarkStart w:id="2" w:name="_Toc253992014"/>
      <w:r w:rsidRPr="00387BB5">
        <w:rPr>
          <w:noProof w:val="0"/>
        </w:rPr>
        <w:t>Sammanfattning</w:t>
      </w:r>
      <w:bookmarkEnd w:id="2"/>
    </w:p>
    <w:p w:rsidR="003F705F" w:rsidRPr="00387BB5" w:rsidRDefault="003F705F" w:rsidP="003F705F">
      <w:r w:rsidRPr="00387BB5">
        <w:rPr>
          <w:szCs w:val="24"/>
        </w:rPr>
        <w:t xml:space="preserve">Enligt 10 kap. 3 § lagen (1988:1385) om Sveriges riksbank ska </w:t>
      </w:r>
      <w:r w:rsidRPr="00387BB5">
        <w:t>fullmäktige lämna förslag till riks</w:t>
      </w:r>
      <w:r w:rsidRPr="00387BB5">
        <w:softHyphen/>
        <w:t>dagen och Riksrevisionen om disposition av Riksba</w:t>
      </w:r>
      <w:r w:rsidRPr="00387BB5">
        <w:t>n</w:t>
      </w:r>
      <w:r w:rsidRPr="00387BB5">
        <w:t>kens vinst.</w:t>
      </w:r>
    </w:p>
    <w:p w:rsidR="003F705F" w:rsidRPr="00387BB5" w:rsidRDefault="003F705F" w:rsidP="002F150F">
      <w:pPr>
        <w:pStyle w:val="Normaltindrag"/>
      </w:pPr>
      <w:r w:rsidRPr="00387BB5">
        <w:t>Fullmäktige tillämpar en beräkningsprincip som i korthet innebär att 80 procent av Riksbankens genomsnittliga resultat under de senaste fem åren, e</w:t>
      </w:r>
      <w:r w:rsidRPr="00387BB5">
        <w:t>x</w:t>
      </w:r>
      <w:r w:rsidRPr="00387BB5">
        <w:t>klusive valutakurs- och guldvärdeeffekter, ska inlevereras till statsverket. För 2009 föreslår därmed fullmäktige en inleverans om 5 800 miljoner kr</w:t>
      </w:r>
      <w:r w:rsidRPr="00387BB5">
        <w:t>o</w:t>
      </w:r>
      <w:r w:rsidRPr="00387BB5">
        <w:t xml:space="preserve">nor. </w:t>
      </w:r>
    </w:p>
    <w:p w:rsidR="003F705F" w:rsidRPr="00387BB5" w:rsidRDefault="003F705F" w:rsidP="002F150F">
      <w:pPr>
        <w:pStyle w:val="Normaltindrag"/>
      </w:pPr>
      <w:r w:rsidRPr="00387BB5">
        <w:t>Fullmäktiges verksamhetsberättelse för 2009 redovisar att fullmäktige sam</w:t>
      </w:r>
      <w:r w:rsidR="002F150F" w:rsidRPr="00387BB5">
        <w:t>manträtt vid tolv till</w:t>
      </w:r>
      <w:r w:rsidRPr="00387BB5">
        <w:t>fä</w:t>
      </w:r>
      <w:r w:rsidRPr="00387BB5">
        <w:t>l</w:t>
      </w:r>
      <w:r w:rsidRPr="00387BB5">
        <w:t>len under året och övergripande vilka ärenden som behandlats s</w:t>
      </w:r>
      <w:r w:rsidR="002F150F" w:rsidRPr="00387BB5">
        <w:t>amt vilken information som full</w:t>
      </w:r>
      <w:r w:rsidRPr="00387BB5">
        <w:t>mäktige erhållit vid sammantr</w:t>
      </w:r>
      <w:r w:rsidRPr="00387BB5">
        <w:t>ä</w:t>
      </w:r>
      <w:r w:rsidRPr="00387BB5">
        <w:t>dena. Verksamhetsberättelsen anger även hur fullmäktige bedrivit sin kontro</w:t>
      </w:r>
      <w:r w:rsidRPr="00387BB5">
        <w:t>l</w:t>
      </w:r>
      <w:r w:rsidRPr="00387BB5">
        <w:t>lerande funktion.</w:t>
      </w:r>
    </w:p>
    <w:p w:rsidR="003F705F" w:rsidRPr="00387BB5" w:rsidRDefault="003F705F" w:rsidP="003F705F"/>
    <w:p w:rsidR="00C911BC" w:rsidRPr="00387BB5" w:rsidRDefault="00C911BC" w:rsidP="00C911BC">
      <w:bookmarkStart w:id="3" w:name="TextStart"/>
      <w:bookmarkEnd w:id="3"/>
    </w:p>
    <w:p w:rsidR="00C911BC" w:rsidRPr="00387BB5" w:rsidRDefault="00C911BC" w:rsidP="00C911BC">
      <w:pPr>
        <w:pStyle w:val="Normaltindrag"/>
        <w:sectPr w:rsidR="00C911BC" w:rsidRPr="00387BB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911BC" w:rsidRPr="00387BB5" w:rsidRDefault="00C911BC" w:rsidP="00C911BC">
      <w:pPr>
        <w:pStyle w:val="Rubrik1"/>
        <w:rPr>
          <w:noProof w:val="0"/>
        </w:rPr>
      </w:pPr>
      <w:bookmarkStart w:id="4" w:name="_Toc253992015"/>
      <w:r w:rsidRPr="00387BB5">
        <w:rPr>
          <w:noProof w:val="0"/>
        </w:rPr>
        <w:lastRenderedPageBreak/>
        <w:t>Innehållsförteckning</w:t>
      </w:r>
      <w:bookmarkEnd w:id="4"/>
    </w:p>
    <w:p w:rsidR="00460031" w:rsidRPr="00387BB5" w:rsidRDefault="00460031">
      <w:pPr>
        <w:pStyle w:val="Innehll1"/>
        <w:rPr>
          <w:sz w:val="24"/>
          <w:szCs w:val="24"/>
        </w:rPr>
      </w:pPr>
      <w:r w:rsidRPr="00387BB5">
        <w:t>Sammanfattning</w:t>
      </w:r>
      <w:r w:rsidRPr="00387BB5">
        <w:tab/>
        <w:t>1</w:t>
      </w:r>
    </w:p>
    <w:p w:rsidR="00460031" w:rsidRPr="00387BB5" w:rsidRDefault="00460031">
      <w:pPr>
        <w:pStyle w:val="Innehll1"/>
        <w:rPr>
          <w:sz w:val="24"/>
          <w:szCs w:val="24"/>
        </w:rPr>
      </w:pPr>
      <w:r w:rsidRPr="00387BB5">
        <w:t>Innehållsförteckning</w:t>
      </w:r>
      <w:r w:rsidRPr="00387BB5">
        <w:tab/>
        <w:t>2</w:t>
      </w:r>
    </w:p>
    <w:p w:rsidR="00460031" w:rsidRPr="00387BB5" w:rsidRDefault="00460031">
      <w:pPr>
        <w:pStyle w:val="Innehll1"/>
        <w:rPr>
          <w:sz w:val="24"/>
          <w:szCs w:val="24"/>
        </w:rPr>
      </w:pPr>
      <w:r w:rsidRPr="00387BB5">
        <w:t>Förslag till riksdagsbeslut</w:t>
      </w:r>
      <w:r w:rsidRPr="00387BB5">
        <w:tab/>
        <w:t>3</w:t>
      </w:r>
    </w:p>
    <w:p w:rsidR="00460031" w:rsidRPr="00387BB5" w:rsidRDefault="00460031">
      <w:pPr>
        <w:pStyle w:val="Innehll1"/>
        <w:rPr>
          <w:sz w:val="24"/>
          <w:szCs w:val="24"/>
        </w:rPr>
      </w:pPr>
      <w:r w:rsidRPr="00387BB5">
        <w:t>Förslag till vinstdisposition för 2009</w:t>
      </w:r>
      <w:r w:rsidRPr="00387BB5">
        <w:tab/>
        <w:t>4</w:t>
      </w:r>
    </w:p>
    <w:p w:rsidR="00460031" w:rsidRPr="00387BB5" w:rsidRDefault="00460031">
      <w:pPr>
        <w:pStyle w:val="Innehll1"/>
      </w:pPr>
      <w:r w:rsidRPr="00387BB5">
        <w:t>Fullmäktiges verksamhet 2009</w:t>
      </w:r>
      <w:r w:rsidRPr="00387BB5">
        <w:tab/>
        <w:t>6</w:t>
      </w:r>
    </w:p>
    <w:p w:rsidR="00872FCC" w:rsidRPr="00387BB5" w:rsidRDefault="00872FCC">
      <w:pPr>
        <w:pStyle w:val="Innehll1"/>
        <w:rPr>
          <w:i/>
          <w:sz w:val="24"/>
          <w:szCs w:val="24"/>
        </w:rPr>
      </w:pPr>
      <w:r w:rsidRPr="00387BB5">
        <w:rPr>
          <w:i/>
        </w:rPr>
        <w:t>Bilaga</w:t>
      </w:r>
    </w:p>
    <w:p w:rsidR="00460031" w:rsidRPr="00387BB5" w:rsidRDefault="00460031">
      <w:pPr>
        <w:pStyle w:val="Innehll1"/>
        <w:rPr>
          <w:sz w:val="24"/>
          <w:szCs w:val="24"/>
        </w:rPr>
      </w:pPr>
      <w:r w:rsidRPr="00387BB5">
        <w:t>Inleveransberäkning av Riksbankens resultat 2009</w:t>
      </w:r>
      <w:r w:rsidR="00A37B39" w:rsidRPr="00387BB5">
        <w:t xml:space="preserve"> </w:t>
      </w:r>
      <w:r w:rsidRPr="00387BB5">
        <w:tab/>
        <w:t>10</w:t>
      </w:r>
    </w:p>
    <w:p w:rsidR="00C911BC" w:rsidRPr="00387BB5" w:rsidRDefault="00C911BC" w:rsidP="00C911BC"/>
    <w:p w:rsidR="00C911BC" w:rsidRPr="00387BB5" w:rsidRDefault="00C911BC" w:rsidP="00C911BC">
      <w:pPr>
        <w:pStyle w:val="Normaltindrag"/>
        <w:sectPr w:rsidR="00C911BC" w:rsidRPr="00387BB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911BC" w:rsidRPr="00387BB5" w:rsidRDefault="00C911BC" w:rsidP="00C911BC">
      <w:pPr>
        <w:pStyle w:val="Rubrik1"/>
        <w:rPr>
          <w:noProof w:val="0"/>
        </w:rPr>
      </w:pPr>
      <w:bookmarkStart w:id="5" w:name="_Toc253992016"/>
      <w:r w:rsidRPr="00387BB5">
        <w:rPr>
          <w:noProof w:val="0"/>
        </w:rPr>
        <w:t>Förslag till riksdagsbeslut</w:t>
      </w:r>
      <w:bookmarkEnd w:id="5"/>
    </w:p>
    <w:p w:rsidR="002F150F" w:rsidRPr="00387BB5" w:rsidRDefault="002F150F" w:rsidP="002F150F">
      <w:r w:rsidRPr="00387BB5">
        <w:t>Fullmäktige föreslår att riksdagen fastställer förslaget till disposition av Rik</w:t>
      </w:r>
      <w:r w:rsidRPr="00387BB5">
        <w:t>s</w:t>
      </w:r>
      <w:r w:rsidRPr="00387BB5">
        <w:t>bankens vinst för räke</w:t>
      </w:r>
      <w:r w:rsidRPr="00387BB5">
        <w:t>n</w:t>
      </w:r>
      <w:r w:rsidRPr="00387BB5">
        <w:softHyphen/>
        <w:t>skapsåret 2009.</w:t>
      </w:r>
    </w:p>
    <w:p w:rsidR="002F150F" w:rsidRPr="00387BB5" w:rsidRDefault="002F150F" w:rsidP="00913A4E">
      <w:pPr>
        <w:pStyle w:val="Normaltindrag"/>
      </w:pPr>
      <w:r w:rsidRPr="00387BB5">
        <w:t>Resultatet för 2009 före bokslutsdispositioner uppgår till 14 204 miljoner kronor,</w:t>
      </w:r>
      <w:r w:rsidR="009C2C72" w:rsidRPr="00387BB5">
        <w:t xml:space="preserve"> och full</w:t>
      </w:r>
      <w:r w:rsidRPr="00387BB5">
        <w:t>mäktige föreslår att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3"/>
        <w:gridCol w:w="2250"/>
      </w:tblGrid>
      <w:tr w:rsidR="003F1BC8" w:rsidRPr="00387BB5" w:rsidTr="009C2C72">
        <w:tc>
          <w:tcPr>
            <w:tcW w:w="3794" w:type="dxa"/>
          </w:tcPr>
          <w:p w:rsidR="003F1BC8" w:rsidRPr="00387BB5" w:rsidRDefault="003F1BC8" w:rsidP="009C2C72">
            <w:pPr>
              <w:jc w:val="left"/>
            </w:pPr>
            <w:r w:rsidRPr="00387BB5">
              <w:t>– till statsverket inlevereras</w:t>
            </w:r>
          </w:p>
        </w:tc>
        <w:tc>
          <w:tcPr>
            <w:tcW w:w="2299" w:type="dxa"/>
          </w:tcPr>
          <w:p w:rsidR="003F1BC8" w:rsidRPr="00387BB5" w:rsidRDefault="009C2C72" w:rsidP="009C2C72">
            <w:pPr>
              <w:jc w:val="right"/>
            </w:pPr>
            <w:r w:rsidRPr="00387BB5">
              <w:t>5 800  milj</w:t>
            </w:r>
            <w:r w:rsidRPr="00387BB5">
              <w:t>o</w:t>
            </w:r>
            <w:r w:rsidRPr="00387BB5">
              <w:t>ner kronor</w:t>
            </w:r>
          </w:p>
        </w:tc>
      </w:tr>
      <w:tr w:rsidR="003F1BC8" w:rsidRPr="00387BB5" w:rsidTr="009C2C72">
        <w:tc>
          <w:tcPr>
            <w:tcW w:w="3794" w:type="dxa"/>
          </w:tcPr>
          <w:p w:rsidR="003F1BC8" w:rsidRPr="00387BB5" w:rsidRDefault="003F1BC8" w:rsidP="009C2C72">
            <w:pPr>
              <w:jc w:val="left"/>
            </w:pPr>
            <w:r w:rsidRPr="00387BB5">
              <w:t>– till Riksbankens dispositionsfond förs</w:t>
            </w:r>
          </w:p>
        </w:tc>
        <w:tc>
          <w:tcPr>
            <w:tcW w:w="2299" w:type="dxa"/>
          </w:tcPr>
          <w:p w:rsidR="003F1BC8" w:rsidRPr="00387BB5" w:rsidRDefault="003F1BC8" w:rsidP="009C2C72">
            <w:pPr>
              <w:jc w:val="right"/>
            </w:pPr>
            <w:r w:rsidRPr="00387BB5">
              <w:t>5 118  milj</w:t>
            </w:r>
            <w:r w:rsidRPr="00387BB5">
              <w:t>o</w:t>
            </w:r>
            <w:r w:rsidRPr="00387BB5">
              <w:t>ner kronor</w:t>
            </w:r>
          </w:p>
        </w:tc>
      </w:tr>
      <w:tr w:rsidR="003F1BC8" w:rsidRPr="00387BB5" w:rsidTr="009C2C72">
        <w:tc>
          <w:tcPr>
            <w:tcW w:w="3794" w:type="dxa"/>
          </w:tcPr>
          <w:p w:rsidR="003F1BC8" w:rsidRPr="00387BB5" w:rsidRDefault="003F1BC8" w:rsidP="009C2C72">
            <w:pPr>
              <w:jc w:val="left"/>
            </w:pPr>
            <w:r w:rsidRPr="00387BB5">
              <w:t>– till Riksbankens resultatutjämning</w:t>
            </w:r>
            <w:r w:rsidRPr="00387BB5">
              <w:t>s</w:t>
            </w:r>
            <w:r w:rsidRPr="00387BB5">
              <w:t>fond förs</w:t>
            </w:r>
          </w:p>
        </w:tc>
        <w:tc>
          <w:tcPr>
            <w:tcW w:w="2299" w:type="dxa"/>
          </w:tcPr>
          <w:p w:rsidR="003F1BC8" w:rsidRPr="00387BB5" w:rsidRDefault="003F1BC8" w:rsidP="009C2C72">
            <w:pPr>
              <w:jc w:val="right"/>
            </w:pPr>
            <w:r w:rsidRPr="00387BB5">
              <w:t>3 286  milj</w:t>
            </w:r>
            <w:r w:rsidRPr="00387BB5">
              <w:t>o</w:t>
            </w:r>
            <w:r w:rsidRPr="00387BB5">
              <w:t>ner kronor</w:t>
            </w:r>
          </w:p>
        </w:tc>
      </w:tr>
    </w:tbl>
    <w:p w:rsidR="002F150F" w:rsidRPr="00387BB5" w:rsidRDefault="002F150F" w:rsidP="00DB55FA">
      <w:pPr>
        <w:ind w:left="170" w:hanging="170"/>
      </w:pPr>
      <w:r w:rsidRPr="00387BB5">
        <w:t>– inleveransen sker senast en vecka efter riksdagens beslut, lämpligen i sa</w:t>
      </w:r>
      <w:r w:rsidRPr="00387BB5">
        <w:t>m</w:t>
      </w:r>
      <w:r w:rsidRPr="00387BB5">
        <w:t>band med Riksbankens genomförande av den veckovisa öppna marknad</w:t>
      </w:r>
      <w:r w:rsidRPr="00387BB5">
        <w:t>s</w:t>
      </w:r>
      <w:r w:rsidRPr="00387BB5">
        <w:t>operationen.</w:t>
      </w:r>
    </w:p>
    <w:p w:rsidR="002F150F" w:rsidRPr="00387BB5" w:rsidRDefault="002F150F" w:rsidP="002F150F"/>
    <w:p w:rsidR="002F150F" w:rsidRPr="00387BB5" w:rsidRDefault="002F150F" w:rsidP="002F150F"/>
    <w:p w:rsidR="002F150F" w:rsidRPr="00387BB5" w:rsidRDefault="002F150F" w:rsidP="002F150F">
      <w:r w:rsidRPr="00387BB5">
        <w:t>Stockholm den 12 februari 2010</w:t>
      </w:r>
    </w:p>
    <w:p w:rsidR="002F150F" w:rsidRPr="00387BB5" w:rsidRDefault="002F150F" w:rsidP="002F150F"/>
    <w:p w:rsidR="002F150F" w:rsidRPr="00387BB5" w:rsidRDefault="002F150F" w:rsidP="002F150F">
      <w:r w:rsidRPr="00387BB5">
        <w:t>På fullmäktiges vägnar</w:t>
      </w:r>
    </w:p>
    <w:p w:rsidR="002F150F" w:rsidRPr="00387BB5" w:rsidRDefault="002F150F" w:rsidP="002F150F"/>
    <w:p w:rsidR="002F150F" w:rsidRPr="00387BB5" w:rsidRDefault="002F150F" w:rsidP="002F150F"/>
    <w:p w:rsidR="002F150F" w:rsidRPr="00387BB5" w:rsidRDefault="002F150F" w:rsidP="002F150F"/>
    <w:p w:rsidR="002F150F" w:rsidRPr="00387BB5" w:rsidRDefault="002F150F" w:rsidP="002F150F"/>
    <w:p w:rsidR="002F150F" w:rsidRPr="00387BB5" w:rsidRDefault="002F150F" w:rsidP="002F150F">
      <w:pPr>
        <w:rPr>
          <w:i/>
        </w:rPr>
      </w:pPr>
      <w:r w:rsidRPr="00387BB5">
        <w:rPr>
          <w:i/>
        </w:rPr>
        <w:t>J</w:t>
      </w:r>
      <w:r w:rsidR="00DB55FA" w:rsidRPr="00387BB5">
        <w:rPr>
          <w:i/>
        </w:rPr>
        <w:t>ohan</w:t>
      </w:r>
      <w:r w:rsidRPr="00387BB5">
        <w:rPr>
          <w:i/>
        </w:rPr>
        <w:t xml:space="preserve"> G</w:t>
      </w:r>
      <w:r w:rsidR="00DB55FA" w:rsidRPr="00387BB5">
        <w:rPr>
          <w:i/>
        </w:rPr>
        <w:t>ernandt</w:t>
      </w:r>
    </w:p>
    <w:p w:rsidR="002F150F" w:rsidRPr="00387BB5" w:rsidRDefault="002F150F" w:rsidP="002F150F">
      <w:pPr>
        <w:rPr>
          <w:i/>
        </w:rPr>
      </w:pPr>
      <w:r w:rsidRPr="00387BB5">
        <w:tab/>
      </w:r>
      <w:r w:rsidRPr="00387BB5">
        <w:tab/>
      </w:r>
      <w:r w:rsidRPr="00387BB5">
        <w:tab/>
      </w:r>
      <w:r w:rsidRPr="00387BB5">
        <w:rPr>
          <w:i/>
        </w:rPr>
        <w:t>/Maria Svalfors</w:t>
      </w:r>
    </w:p>
    <w:p w:rsidR="002F150F" w:rsidRPr="00387BB5" w:rsidRDefault="002F150F" w:rsidP="002F150F"/>
    <w:p w:rsidR="002F150F" w:rsidRPr="00387BB5" w:rsidRDefault="002F150F" w:rsidP="002F150F"/>
    <w:p w:rsidR="00DB55FA" w:rsidRPr="00387BB5" w:rsidRDefault="00DB55FA" w:rsidP="002F150F">
      <w:pPr>
        <w:pStyle w:val="Deltagare"/>
        <w:rPr>
          <w:noProof w:val="0"/>
        </w:rPr>
      </w:pPr>
    </w:p>
    <w:p w:rsidR="002F150F" w:rsidRPr="00387BB5" w:rsidRDefault="002F150F" w:rsidP="002F150F">
      <w:pPr>
        <w:pStyle w:val="Deltagare"/>
        <w:rPr>
          <w:noProof w:val="0"/>
        </w:rPr>
      </w:pPr>
      <w:r w:rsidRPr="00387BB5">
        <w:rPr>
          <w:noProof w:val="0"/>
        </w:rPr>
        <w:t xml:space="preserve">I beslutet har deltagit </w:t>
      </w:r>
      <w:smartTag w:uri="urn:schemas-microsoft-com:office:smarttags" w:element="PersonName">
        <w:smartTagPr>
          <w:attr w:name="ProductID" w:val="Johan Gernandt"/>
        </w:smartTagPr>
        <w:r w:rsidRPr="00387BB5">
          <w:rPr>
            <w:noProof w:val="0"/>
          </w:rPr>
          <w:t>Johan Gernandt</w:t>
        </w:r>
      </w:smartTag>
      <w:r w:rsidRPr="00387BB5">
        <w:rPr>
          <w:noProof w:val="0"/>
        </w:rPr>
        <w:t xml:space="preserve"> (ordförande), </w:t>
      </w:r>
      <w:smartTag w:uri="urn:schemas-microsoft-com:office:smarttags" w:element="PersonName">
        <w:smartTagPr>
          <w:attr w:name="ProductID" w:val="Leif Pagrotsky"/>
        </w:smartTagPr>
        <w:r w:rsidRPr="00387BB5">
          <w:rPr>
            <w:noProof w:val="0"/>
          </w:rPr>
          <w:t>Leif Pagrotsky</w:t>
        </w:r>
      </w:smartTag>
      <w:r w:rsidRPr="00387BB5">
        <w:rPr>
          <w:noProof w:val="0"/>
        </w:rPr>
        <w:t xml:space="preserve"> (vice ordförande), </w:t>
      </w:r>
      <w:smartTag w:uri="urn:schemas-microsoft-com:office:smarttags" w:element="PersonName">
        <w:smartTagPr>
          <w:attr w:name="ProductID" w:val="Sinikka Bohlin"/>
        </w:smartTagPr>
        <w:r w:rsidRPr="00387BB5">
          <w:rPr>
            <w:noProof w:val="0"/>
          </w:rPr>
          <w:t>Sinikka Bohlin</w:t>
        </w:r>
      </w:smartTag>
      <w:r w:rsidRPr="00387BB5">
        <w:rPr>
          <w:noProof w:val="0"/>
        </w:rPr>
        <w:t xml:space="preserve">, </w:t>
      </w:r>
      <w:smartTag w:uri="urn:schemas-microsoft-com:office:smarttags" w:element="PersonName">
        <w:smartTagPr>
          <w:attr w:name="ProductID" w:val="Peter Egardt"/>
        </w:smartTagPr>
        <w:r w:rsidRPr="00387BB5">
          <w:rPr>
            <w:noProof w:val="0"/>
          </w:rPr>
          <w:t>Peter Egardt</w:t>
        </w:r>
      </w:smartTag>
      <w:r w:rsidRPr="00387BB5">
        <w:rPr>
          <w:noProof w:val="0"/>
        </w:rPr>
        <w:t xml:space="preserve">, </w:t>
      </w:r>
      <w:smartTag w:uri="urn:schemas-microsoft-com:office:smarttags" w:element="PersonName">
        <w:smartTagPr>
          <w:attr w:name="ProductID" w:val="Susanne Eberstein"/>
        </w:smartTagPr>
        <w:r w:rsidRPr="00387BB5">
          <w:rPr>
            <w:noProof w:val="0"/>
          </w:rPr>
          <w:t>Susanne Eberstein</w:t>
        </w:r>
      </w:smartTag>
      <w:r w:rsidRPr="00387BB5">
        <w:rPr>
          <w:noProof w:val="0"/>
        </w:rPr>
        <w:t xml:space="preserve">, </w:t>
      </w:r>
      <w:smartTag w:uri="urn:schemas-microsoft-com:office:smarttags" w:element="PersonName">
        <w:smartTagPr>
          <w:attr w:name="ProductID" w:val="Bo Bernhardsson"/>
        </w:smartTagPr>
        <w:r w:rsidRPr="00387BB5">
          <w:rPr>
            <w:noProof w:val="0"/>
          </w:rPr>
          <w:t>Bo Bernhardsson</w:t>
        </w:r>
      </w:smartTag>
      <w:r w:rsidRPr="00387BB5">
        <w:rPr>
          <w:noProof w:val="0"/>
        </w:rPr>
        <w:t xml:space="preserve">, </w:t>
      </w:r>
      <w:smartTag w:uri="urn:schemas-microsoft-com:office:smarttags" w:element="PersonName">
        <w:smartTagPr>
          <w:attr w:name="ProductID" w:val="Anders Flanking"/>
        </w:smartTagPr>
        <w:r w:rsidRPr="00387BB5">
          <w:rPr>
            <w:noProof w:val="0"/>
          </w:rPr>
          <w:t>Anders Flanking</w:t>
        </w:r>
      </w:smartTag>
      <w:r w:rsidRPr="00387BB5">
        <w:rPr>
          <w:noProof w:val="0"/>
        </w:rPr>
        <w:t xml:space="preserve">, </w:t>
      </w:r>
      <w:smartTag w:uri="urn:schemas-microsoft-com:office:smarttags" w:element="PersonName">
        <w:smartTagPr>
          <w:attr w:name="ProductID" w:val="Kjell Nordstr￶m"/>
        </w:smartTagPr>
        <w:r w:rsidRPr="00387BB5">
          <w:rPr>
            <w:noProof w:val="0"/>
          </w:rPr>
          <w:t>Kjell Nordström</w:t>
        </w:r>
      </w:smartTag>
      <w:r w:rsidRPr="00387BB5">
        <w:rPr>
          <w:noProof w:val="0"/>
        </w:rPr>
        <w:t xml:space="preserve">, </w:t>
      </w:r>
      <w:smartTag w:uri="urn:schemas-microsoft-com:office:smarttags" w:element="PersonName">
        <w:smartTagPr>
          <w:attr w:name="ProductID" w:val="Ebba Linds￶"/>
        </w:smartTagPr>
        <w:r w:rsidRPr="00387BB5">
          <w:rPr>
            <w:noProof w:val="0"/>
          </w:rPr>
          <w:t>Ebba Lindsö</w:t>
        </w:r>
      </w:smartTag>
      <w:r w:rsidRPr="00387BB5">
        <w:rPr>
          <w:noProof w:val="0"/>
        </w:rPr>
        <w:t xml:space="preserve">, </w:t>
      </w:r>
      <w:smartTag w:uri="urn:schemas-microsoft-com:office:smarttags" w:element="PersonName">
        <w:smartTagPr>
          <w:attr w:name="ProductID" w:val="Anne-Katrine Dunker"/>
        </w:smartTagPr>
        <w:r w:rsidRPr="00387BB5">
          <w:rPr>
            <w:noProof w:val="0"/>
          </w:rPr>
          <w:t>Anne-Katrine Dunker</w:t>
        </w:r>
      </w:smartTag>
      <w:r w:rsidRPr="00387BB5">
        <w:rPr>
          <w:noProof w:val="0"/>
        </w:rPr>
        <w:t xml:space="preserve"> och Carl B Hamilton.</w:t>
      </w:r>
    </w:p>
    <w:p w:rsidR="002F150F" w:rsidRPr="00387BB5" w:rsidRDefault="002F150F" w:rsidP="002F150F">
      <w:pPr>
        <w:rPr>
          <w:highlight w:val="green"/>
        </w:rPr>
      </w:pPr>
    </w:p>
    <w:p w:rsidR="002F150F" w:rsidRPr="00387BB5" w:rsidRDefault="002F150F" w:rsidP="002F150F">
      <w:r w:rsidRPr="00387BB5">
        <w:t xml:space="preserve">Föredragande har varit </w:t>
      </w:r>
      <w:smartTag w:uri="urn:schemas-microsoft-com:office:smarttags" w:element="PersonName">
        <w:smartTagPr>
          <w:attr w:name="ProductID" w:val="Mithra Sundberg"/>
        </w:smartTagPr>
        <w:r w:rsidRPr="00387BB5">
          <w:t>Mithra Sundberg</w:t>
        </w:r>
      </w:smartTag>
      <w:r w:rsidRPr="00387BB5">
        <w:t xml:space="preserve"> och Henrik Gardholm.</w:t>
      </w:r>
    </w:p>
    <w:p w:rsidR="002F150F" w:rsidRPr="00387BB5" w:rsidRDefault="002F150F" w:rsidP="002F150F">
      <w:pPr>
        <w:rPr>
          <w:szCs w:val="24"/>
        </w:rPr>
      </w:pPr>
    </w:p>
    <w:p w:rsidR="002F150F" w:rsidRPr="00387BB5" w:rsidRDefault="002F150F" w:rsidP="002F150F">
      <w:pPr>
        <w:rPr>
          <w:sz w:val="28"/>
          <w:szCs w:val="28"/>
        </w:rPr>
      </w:pPr>
    </w:p>
    <w:p w:rsidR="00C911BC" w:rsidRPr="00387BB5" w:rsidRDefault="00C911BC" w:rsidP="00C911BC">
      <w:pPr>
        <w:pStyle w:val="Normaltindrag"/>
        <w:sectPr w:rsidR="00C911BC" w:rsidRPr="00387BB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41356" w:rsidRPr="00387BB5" w:rsidRDefault="00141356" w:rsidP="00141356">
      <w:pPr>
        <w:pStyle w:val="Rubrik1"/>
        <w:rPr>
          <w:noProof w:val="0"/>
        </w:rPr>
      </w:pPr>
      <w:bookmarkStart w:id="6" w:name="_Toc253410181"/>
      <w:bookmarkStart w:id="7" w:name="_Toc253992017"/>
      <w:r w:rsidRPr="00387BB5">
        <w:rPr>
          <w:noProof w:val="0"/>
        </w:rPr>
        <w:t>Förslag till vinstdisposition för 2009</w:t>
      </w:r>
      <w:bookmarkEnd w:id="6"/>
      <w:bookmarkEnd w:id="7"/>
      <w:r w:rsidRPr="00387BB5">
        <w:rPr>
          <w:noProof w:val="0"/>
        </w:rPr>
        <w:t xml:space="preserve"> </w:t>
      </w:r>
    </w:p>
    <w:p w:rsidR="00141356" w:rsidRPr="00387BB5" w:rsidRDefault="00141356" w:rsidP="00141356">
      <w:r w:rsidRPr="00387BB5">
        <w:t>Riksdagen godkände i anslutning till sin behandling av Riksbankens förval</w:t>
      </w:r>
      <w:r w:rsidRPr="00387BB5">
        <w:t>t</w:t>
      </w:r>
      <w:r w:rsidRPr="00387BB5">
        <w:t>ning för 2008 (bet. 2008/09:FiU23) att vinstdispositionen för 2008 baserades på 1988 års vinstdelningsprincip med de kompletteringar av principen som genomförts sedan dess, vilket också var fullmäktiges förslag. Prin</w:t>
      </w:r>
      <w:r w:rsidRPr="00387BB5">
        <w:softHyphen/>
        <w:t>cipen inn</w:t>
      </w:r>
      <w:r w:rsidRPr="00387BB5">
        <w:t>e</w:t>
      </w:r>
      <w:r w:rsidRPr="00387BB5">
        <w:t>bär i korthet att 80 procent av det genomsnittliga resultatet under de senaste fem åren, exklusive valutakurs- och guldvärdeeffekter, ska levereras in till statsverket. För 2009 tillämpar ful</w:t>
      </w:r>
      <w:r w:rsidRPr="00387BB5">
        <w:t>l</w:t>
      </w:r>
      <w:r w:rsidRPr="00387BB5">
        <w:softHyphen/>
        <w:t>mäktige samma beräkningsgrund.</w:t>
      </w:r>
    </w:p>
    <w:p w:rsidR="00141356" w:rsidRPr="00387BB5" w:rsidRDefault="00141356" w:rsidP="00141356">
      <w:pPr>
        <w:pStyle w:val="Normaltindrag"/>
      </w:pPr>
      <w:r w:rsidRPr="00387BB5">
        <w:t>Fullmäktige har i enlighet med 10 kap. 3 § lagen (1988:1385) om Sveriges riksbank fått en redovisning från direktionen av räkenskapsåret 2009. Ful</w:t>
      </w:r>
      <w:r w:rsidRPr="00387BB5">
        <w:t>l</w:t>
      </w:r>
      <w:r w:rsidRPr="00387BB5">
        <w:t>mäktige konstaterar att Riksbanken med tillämpning av nuvarande redovi</w:t>
      </w:r>
      <w:r w:rsidRPr="00387BB5">
        <w:t>s</w:t>
      </w:r>
      <w:r w:rsidRPr="00387BB5">
        <w:t>ningsprinciper redovisar en vinst för 2009 uppgående till 14 204 miljoner kron</w:t>
      </w:r>
      <w:r w:rsidR="00913A4E" w:rsidRPr="00387BB5">
        <w:t>o</w:t>
      </w:r>
      <w:r w:rsidRPr="00387BB5">
        <w:t>r. I enlighet med 1988 års vinstdelningsprincip och de kompletteringar av principen som genomförts sedan dess görs följande justeringar av det redov</w:t>
      </w:r>
      <w:r w:rsidRPr="00387BB5">
        <w:t>i</w:t>
      </w:r>
      <w:r w:rsidRPr="00387BB5">
        <w:t>sade resultatet vid beräkning av det inleveransgrundande resultatet:</w:t>
      </w:r>
    </w:p>
    <w:p w:rsidR="00141356" w:rsidRPr="00387BB5" w:rsidRDefault="00141356" w:rsidP="003F1BC8">
      <w:pPr>
        <w:numPr>
          <w:ilvl w:val="0"/>
          <w:numId w:val="14"/>
        </w:numPr>
        <w:tabs>
          <w:tab w:val="clear" w:pos="720"/>
          <w:tab w:val="num" w:pos="284"/>
        </w:tabs>
        <w:ind w:left="284" w:hanging="284"/>
      </w:pPr>
      <w:r w:rsidRPr="00387BB5">
        <w:t>Det redovisade resultatet har påverkats positivt av en valutakur</w:t>
      </w:r>
      <w:r w:rsidRPr="00387BB5">
        <w:t>s</w:t>
      </w:r>
      <w:r w:rsidRPr="00387BB5">
        <w:t>vinst om 2 797 miljoner kronor. I enlighet med vinstdelningsprinc</w:t>
      </w:r>
      <w:r w:rsidRPr="00387BB5">
        <w:t>i</w:t>
      </w:r>
      <w:r w:rsidR="003F1BC8" w:rsidRPr="00387BB5">
        <w:t>pen exklu</w:t>
      </w:r>
      <w:r w:rsidRPr="00387BB5">
        <w:t>deras denna vinst vid beräkningen av det inleveransgrundande resu</w:t>
      </w:r>
      <w:r w:rsidRPr="00387BB5">
        <w:t>l</w:t>
      </w:r>
      <w:r w:rsidRPr="00387BB5">
        <w:t xml:space="preserve">tatet. </w:t>
      </w:r>
    </w:p>
    <w:p w:rsidR="00141356" w:rsidRPr="00387BB5" w:rsidRDefault="00141356" w:rsidP="003F1BC8">
      <w:pPr>
        <w:numPr>
          <w:ilvl w:val="0"/>
          <w:numId w:val="14"/>
        </w:numPr>
        <w:tabs>
          <w:tab w:val="clear" w:pos="720"/>
          <w:tab w:val="num" w:pos="284"/>
        </w:tabs>
        <w:spacing w:before="0"/>
        <w:ind w:left="284" w:hanging="284"/>
      </w:pPr>
      <w:r w:rsidRPr="00387BB5">
        <w:t>Riksbanken har redovisat en vinst om 1 592 miljoner kronor till följd av guldtransaktioner under 2009. Fullmäktige har i enlighet med en t</w:t>
      </w:r>
      <w:r w:rsidRPr="00387BB5">
        <w:t>i</w:t>
      </w:r>
      <w:r w:rsidRPr="00387BB5">
        <w:t>digare beslutad komplettering av vinstdel</w:t>
      </w:r>
      <w:r w:rsidRPr="00387BB5">
        <w:softHyphen/>
        <w:t>nings</w:t>
      </w:r>
      <w:r w:rsidRPr="00387BB5">
        <w:softHyphen/>
        <w:t>principen exkluderat denna vinst vid vinstdi</w:t>
      </w:r>
      <w:r w:rsidRPr="00387BB5">
        <w:t>s</w:t>
      </w:r>
      <w:r w:rsidR="003F1BC8" w:rsidRPr="00387BB5">
        <w:t>positions</w:t>
      </w:r>
      <w:r w:rsidRPr="00387BB5">
        <w:t xml:space="preserve">beräkningen. </w:t>
      </w:r>
    </w:p>
    <w:p w:rsidR="00141356" w:rsidRPr="00387BB5" w:rsidRDefault="00141356" w:rsidP="003F1BC8">
      <w:pPr>
        <w:numPr>
          <w:ilvl w:val="0"/>
          <w:numId w:val="14"/>
        </w:numPr>
        <w:tabs>
          <w:tab w:val="clear" w:pos="720"/>
          <w:tab w:val="num" w:pos="284"/>
        </w:tabs>
        <w:spacing w:before="0"/>
        <w:ind w:left="284" w:hanging="284"/>
      </w:pPr>
      <w:r w:rsidRPr="00387BB5">
        <w:t>En orealiserad priseffektförlust om 5 623 miljoner kronor ingår ej i det redovisade resultatet till följd av de redovisningsprinciper som till viss del ändrades 2004. Fullmäktige har inklude</w:t>
      </w:r>
      <w:r w:rsidRPr="00387BB5">
        <w:softHyphen/>
        <w:t>rat denna förlust vid vinstdispos</w:t>
      </w:r>
      <w:r w:rsidRPr="00387BB5">
        <w:t>i</w:t>
      </w:r>
      <w:r w:rsidRPr="00387BB5">
        <w:t>tionsberäkningen i enlighet med vinstdelningspri</w:t>
      </w:r>
      <w:r w:rsidRPr="00387BB5">
        <w:t>n</w:t>
      </w:r>
      <w:r w:rsidRPr="00387BB5">
        <w:t xml:space="preserve">cipen. </w:t>
      </w:r>
    </w:p>
    <w:p w:rsidR="00141356" w:rsidRPr="00387BB5" w:rsidRDefault="00141356" w:rsidP="00DB55FA">
      <w:r w:rsidRPr="00387BB5">
        <w:t>Fullmäktige föreslår enligt nedan en inleverans till statsverket om 5 800 mi</w:t>
      </w:r>
      <w:r w:rsidRPr="00387BB5">
        <w:t>l</w:t>
      </w:r>
      <w:r w:rsidRPr="00387BB5">
        <w:t xml:space="preserve">joner kronor. </w:t>
      </w:r>
    </w:p>
    <w:p w:rsidR="00141356" w:rsidRPr="00387BB5" w:rsidRDefault="00141356" w:rsidP="00DB55FA">
      <w:pPr>
        <w:pStyle w:val="Normaltindrag"/>
      </w:pPr>
      <w:r w:rsidRPr="00387BB5">
        <w:t>Eftersom den föreslagna inleveransen är lägre än årets redovisade resultat föreslås i enlighet med vinstdelningsprincipen att 5 118 miljoner kronor förs till dispositionsfonden och 3 286 miljoner kronor till resultatutjämningsfo</w:t>
      </w:r>
      <w:r w:rsidRPr="00387BB5">
        <w:t>n</w:t>
      </w:r>
      <w:r w:rsidRPr="00387BB5">
        <w:t xml:space="preserve">den. Beräkningsunderlaget för </w:t>
      </w:r>
      <w:r w:rsidR="003F1BC8" w:rsidRPr="00387BB5">
        <w:t>vinstdispositionsförslaget fram</w:t>
      </w:r>
      <w:r w:rsidRPr="00387BB5">
        <w:t>går av bilagan.</w:t>
      </w:r>
    </w:p>
    <w:p w:rsidR="00141356" w:rsidRPr="00387BB5" w:rsidRDefault="003F1BC8" w:rsidP="00141356">
      <w:pPr>
        <w:pStyle w:val="Normaltindrag"/>
      </w:pPr>
      <w:r w:rsidRPr="00387BB5">
        <w:t>Fullmäktiges revi</w:t>
      </w:r>
      <w:r w:rsidR="00141356" w:rsidRPr="00387BB5">
        <w:t>sionsenhet har granskat underlage</w:t>
      </w:r>
      <w:r w:rsidRPr="00387BB5">
        <w:t>t för beräkningen av vinstdispo</w:t>
      </w:r>
      <w:r w:rsidR="00141356" w:rsidRPr="00387BB5">
        <w:t>sitionsförslaget. Revisionsenheten har inte haft något att anmärka.</w:t>
      </w:r>
    </w:p>
    <w:p w:rsidR="00141356" w:rsidRPr="00387BB5" w:rsidRDefault="00141356" w:rsidP="003F1BC8">
      <w:pPr>
        <w:pStyle w:val="Normaltindrag"/>
        <w:pageBreakBefore/>
      </w:pPr>
      <w:r w:rsidRPr="00387BB5">
        <w:t>Resultatet för 2009 före bokslutsdispositioner uppgår till 14 204 miljoner kronor, och fullmäktige har den 12 februari 2010 beslutat avge följande fö</w:t>
      </w:r>
      <w:r w:rsidRPr="00387BB5">
        <w:t>r</w:t>
      </w:r>
      <w:r w:rsidRPr="00387BB5">
        <w:t>slag till disposition av Riksbankens vinst: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77"/>
        <w:gridCol w:w="1976"/>
      </w:tblGrid>
      <w:tr w:rsidR="003F1BC8" w:rsidRPr="00387BB5" w:rsidTr="003F1BC8">
        <w:tc>
          <w:tcPr>
            <w:tcW w:w="4077" w:type="dxa"/>
          </w:tcPr>
          <w:p w:rsidR="003F1BC8" w:rsidRPr="00387BB5" w:rsidRDefault="003F1BC8" w:rsidP="003F1BC8">
            <w:r w:rsidRPr="00387BB5">
              <w:t>– till statsverket inlevereras</w:t>
            </w:r>
          </w:p>
        </w:tc>
        <w:tc>
          <w:tcPr>
            <w:tcW w:w="2016" w:type="dxa"/>
          </w:tcPr>
          <w:p w:rsidR="003F1BC8" w:rsidRPr="00387BB5" w:rsidRDefault="003F1BC8" w:rsidP="00FF6914">
            <w:pPr>
              <w:jc w:val="right"/>
            </w:pPr>
            <w:r w:rsidRPr="00387BB5">
              <w:t>5 800  miljoner kr</w:t>
            </w:r>
            <w:r w:rsidRPr="00387BB5">
              <w:t>o</w:t>
            </w:r>
            <w:r w:rsidRPr="00387BB5">
              <w:t>nor</w:t>
            </w:r>
          </w:p>
        </w:tc>
      </w:tr>
      <w:tr w:rsidR="003F1BC8" w:rsidRPr="00387BB5" w:rsidTr="003F1BC8">
        <w:tc>
          <w:tcPr>
            <w:tcW w:w="4077" w:type="dxa"/>
          </w:tcPr>
          <w:p w:rsidR="003F1BC8" w:rsidRPr="00387BB5" w:rsidRDefault="003F1BC8" w:rsidP="003F1BC8">
            <w:r w:rsidRPr="00387BB5">
              <w:t>– till Riksbankens dispositionsfond förs</w:t>
            </w:r>
          </w:p>
        </w:tc>
        <w:tc>
          <w:tcPr>
            <w:tcW w:w="2016" w:type="dxa"/>
          </w:tcPr>
          <w:p w:rsidR="003F1BC8" w:rsidRPr="00387BB5" w:rsidRDefault="003F1BC8" w:rsidP="00FF6914">
            <w:pPr>
              <w:jc w:val="right"/>
            </w:pPr>
            <w:r w:rsidRPr="00387BB5">
              <w:t>5 118  miljoner kr</w:t>
            </w:r>
            <w:r w:rsidRPr="00387BB5">
              <w:t>o</w:t>
            </w:r>
            <w:r w:rsidRPr="00387BB5">
              <w:t>nor</w:t>
            </w:r>
          </w:p>
        </w:tc>
      </w:tr>
      <w:tr w:rsidR="003F1BC8" w:rsidRPr="00387BB5" w:rsidTr="003F1BC8">
        <w:tc>
          <w:tcPr>
            <w:tcW w:w="4077" w:type="dxa"/>
          </w:tcPr>
          <w:p w:rsidR="003F1BC8" w:rsidRPr="00387BB5" w:rsidRDefault="003F1BC8" w:rsidP="003F1BC8">
            <w:r w:rsidRPr="00387BB5">
              <w:t>– till Riksbankens resultatutjämningsfond förs</w:t>
            </w:r>
          </w:p>
        </w:tc>
        <w:tc>
          <w:tcPr>
            <w:tcW w:w="2016" w:type="dxa"/>
          </w:tcPr>
          <w:p w:rsidR="003F1BC8" w:rsidRPr="00387BB5" w:rsidRDefault="003F1BC8" w:rsidP="00FF6914">
            <w:pPr>
              <w:jc w:val="right"/>
            </w:pPr>
            <w:r w:rsidRPr="00387BB5">
              <w:t>3 286  miljoner kr</w:t>
            </w:r>
            <w:r w:rsidRPr="00387BB5">
              <w:t>o</w:t>
            </w:r>
            <w:r w:rsidRPr="00387BB5">
              <w:t>nor</w:t>
            </w:r>
          </w:p>
        </w:tc>
      </w:tr>
    </w:tbl>
    <w:p w:rsidR="00141356" w:rsidRPr="00387BB5" w:rsidRDefault="00141356" w:rsidP="00DB55FA">
      <w:pPr>
        <w:ind w:left="170" w:hanging="170"/>
      </w:pPr>
      <w:r w:rsidRPr="00387BB5">
        <w:t>– inleveransen sker senast en vecka efter riksdagens beslut, lämpligen i sa</w:t>
      </w:r>
      <w:r w:rsidRPr="00387BB5">
        <w:t>m</w:t>
      </w:r>
      <w:r w:rsidRPr="00387BB5">
        <w:t>band med Riksbankens genomförande av den veckovisa öppna marknad</w:t>
      </w:r>
      <w:r w:rsidRPr="00387BB5">
        <w:t>s</w:t>
      </w:r>
      <w:r w:rsidRPr="00387BB5">
        <w:t>operationen.</w:t>
      </w:r>
    </w:p>
    <w:p w:rsidR="00C911BC" w:rsidRPr="00387BB5" w:rsidRDefault="00C911BC" w:rsidP="00C911BC"/>
    <w:p w:rsidR="00C911BC" w:rsidRPr="00387BB5" w:rsidRDefault="00C911BC" w:rsidP="00C911BC">
      <w:pPr>
        <w:pStyle w:val="Normaltindrag"/>
        <w:sectPr w:rsidR="00C911BC" w:rsidRPr="00387BB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62760" w:rsidRPr="00387BB5" w:rsidRDefault="00662760" w:rsidP="00662760">
      <w:pPr>
        <w:pStyle w:val="Rubrik1"/>
        <w:rPr>
          <w:noProof w:val="0"/>
        </w:rPr>
      </w:pPr>
      <w:bookmarkStart w:id="8" w:name="_Toc253410182"/>
      <w:bookmarkStart w:id="9" w:name="_Toc253992018"/>
      <w:r w:rsidRPr="00387BB5">
        <w:rPr>
          <w:noProof w:val="0"/>
        </w:rPr>
        <w:t>Fullmäktiges verksamhet 2009</w:t>
      </w:r>
      <w:bookmarkEnd w:id="8"/>
      <w:bookmarkEnd w:id="9"/>
    </w:p>
    <w:p w:rsidR="00662760" w:rsidRPr="00387BB5" w:rsidRDefault="00662760" w:rsidP="00662760">
      <w:r w:rsidRPr="00387BB5">
        <w:t xml:space="preserve">Under året sammanträdde fullmäktige vid 12 tillfällen. </w:t>
      </w:r>
    </w:p>
    <w:p w:rsidR="00662760" w:rsidRPr="00387BB5" w:rsidRDefault="00662760" w:rsidP="00662760">
      <w:pPr>
        <w:pStyle w:val="Normaltindrag"/>
      </w:pPr>
      <w:r w:rsidRPr="00387BB5">
        <w:t>Fullmäktige utsåg vid sitt sammanträde den 30 januari 2009 Karolina E</w:t>
      </w:r>
      <w:r w:rsidRPr="00387BB5">
        <w:t>k</w:t>
      </w:r>
      <w:r w:rsidRPr="00387BB5">
        <w:t>holm till ny direktions</w:t>
      </w:r>
      <w:r w:rsidRPr="00387BB5">
        <w:softHyphen/>
        <w:t>l</w:t>
      </w:r>
      <w:r w:rsidRPr="00387BB5">
        <w:t>e</w:t>
      </w:r>
      <w:r w:rsidRPr="00387BB5">
        <w:t xml:space="preserve">damot efter </w:t>
      </w:r>
      <w:smartTag w:uri="urn:schemas-microsoft-com:office:smarttags" w:element="PersonName">
        <w:smartTagPr>
          <w:attr w:name="ProductID" w:val="Irma Rosenberg"/>
        </w:smartTagPr>
        <w:r w:rsidRPr="00387BB5">
          <w:t>Irma Rosenberg</w:t>
        </w:r>
      </w:smartTag>
      <w:r w:rsidRPr="00387BB5">
        <w:t>, vars mandatperiod gick ut vid årsskiftet 2008/09. Beslutet hade före</w:t>
      </w:r>
      <w:r w:rsidRPr="00387BB5">
        <w:softHyphen/>
        <w:t>gåtts av ett extra fullmäktig</w:t>
      </w:r>
      <w:r w:rsidRPr="00387BB5">
        <w:t>e</w:t>
      </w:r>
      <w:r w:rsidRPr="00387BB5">
        <w:t>sammantr</w:t>
      </w:r>
      <w:r w:rsidRPr="00387BB5">
        <w:t>ä</w:t>
      </w:r>
      <w:r w:rsidRPr="00387BB5">
        <w:t>de med en hearing med Karolina Ekholm. Vid sammanträdet den 30 janu</w:t>
      </w:r>
      <w:r w:rsidRPr="00387BB5">
        <w:t>a</w:t>
      </w:r>
      <w:r w:rsidRPr="00387BB5">
        <w:t>ri utsågs också Svante Öberg till ny förste vice riksbankschef efter Irma Rosenberg. Full</w:t>
      </w:r>
      <w:r w:rsidRPr="00387BB5">
        <w:softHyphen/>
        <w:t>mäktige behandlade under året även frågor om dire</w:t>
      </w:r>
      <w:r w:rsidRPr="00387BB5">
        <w:t>k</w:t>
      </w:r>
      <w:r w:rsidRPr="00387BB5">
        <w:t>tionsledamöternas anställningsvillkor, personallån och s</w:t>
      </w:r>
      <w:r w:rsidRPr="00387BB5">
        <w:t>i</w:t>
      </w:r>
      <w:r w:rsidRPr="00387BB5">
        <w:t>douppdrag.</w:t>
      </w:r>
    </w:p>
    <w:p w:rsidR="00662760" w:rsidRPr="00387BB5" w:rsidRDefault="00662760" w:rsidP="00C94D8B">
      <w:pPr>
        <w:pStyle w:val="R2"/>
      </w:pPr>
      <w:r w:rsidRPr="00387BB5">
        <w:t>Yttranden och skrivelser till regeringen och riksdagen</w:t>
      </w:r>
    </w:p>
    <w:p w:rsidR="00662760" w:rsidRPr="00387BB5" w:rsidRDefault="00662760" w:rsidP="00662760">
      <w:r w:rsidRPr="00387BB5">
        <w:t>Under 2009 lämnade fullmäktige tillsammans med direktionen ett yttrande till riksdagsförvaltningen över en remiss om betänkandet ”Bestämmelser om intern styrning och kontroll i riksdagens myndig</w:t>
      </w:r>
      <w:r w:rsidRPr="00387BB5">
        <w:softHyphen/>
        <w:t>heter” (2008/09:URF4). I betänkandet hade föreslagits ändringar i riksbankslagen som till stor del sku</w:t>
      </w:r>
      <w:r w:rsidRPr="00387BB5">
        <w:t>l</w:t>
      </w:r>
      <w:r w:rsidRPr="00387BB5">
        <w:t>le innebära en kodifiering av redan gällande praxis i Riksbanken. Ändringa</w:t>
      </w:r>
      <w:r w:rsidRPr="00387BB5">
        <w:t>r</w:t>
      </w:r>
      <w:r w:rsidRPr="00387BB5">
        <w:t>na tillstyrktes därför i Rik</w:t>
      </w:r>
      <w:r w:rsidRPr="00387BB5">
        <w:t>s</w:t>
      </w:r>
      <w:r w:rsidRPr="00387BB5">
        <w:t>bankens yttrande. I yttrandet framhölls särskilt vikten av att fullmäktige även i fortsättningen ska b</w:t>
      </w:r>
      <w:r w:rsidRPr="00387BB5">
        <w:t>e</w:t>
      </w:r>
      <w:r w:rsidRPr="00387BB5">
        <w:t>sluta om Riksbankens arbetsordning medan direktionen ska besluta om den mer detaljerade instruk</w:t>
      </w:r>
      <w:r w:rsidRPr="00387BB5">
        <w:softHyphen/>
        <w:t>tionen. Vidare noterades i yttrandet att det, samtidigt som direktionens inter</w:t>
      </w:r>
      <w:r w:rsidRPr="00387BB5">
        <w:t>n</w:t>
      </w:r>
      <w:r w:rsidRPr="00387BB5">
        <w:t>revision föreslås skrivas in i riksbankslagen, är viktigt att även fullmäktiges revision</w:t>
      </w:r>
      <w:r w:rsidRPr="00387BB5">
        <w:t>s</w:t>
      </w:r>
      <w:r w:rsidRPr="00387BB5">
        <w:t>enhet finns kvar i lagen, även om den med fördel kan byta namn till fullmä</w:t>
      </w:r>
      <w:r w:rsidRPr="00387BB5">
        <w:t>k</w:t>
      </w:r>
      <w:r w:rsidRPr="00387BB5">
        <w:t>tiges revisionsfunktion. Slutligen välkomnade Riksbanken förslaget att årsredovisningen ska lämnas senast den 22 februari i stället för den 15 februari. I samband med be</w:t>
      </w:r>
      <w:r w:rsidRPr="00387BB5">
        <w:softHyphen/>
        <w:t>handlingen av remissyttrandet informerades ful</w:t>
      </w:r>
      <w:r w:rsidRPr="00387BB5">
        <w:t>l</w:t>
      </w:r>
      <w:r w:rsidRPr="00387BB5">
        <w:t>mäktige även om Riksbankens interna arbete med intern styrning och ko</w:t>
      </w:r>
      <w:r w:rsidRPr="00387BB5">
        <w:t>n</w:t>
      </w:r>
      <w:r w:rsidRPr="00387BB5">
        <w:t xml:space="preserve">troll. </w:t>
      </w:r>
    </w:p>
    <w:p w:rsidR="00662760" w:rsidRPr="00387BB5" w:rsidRDefault="00662760" w:rsidP="00662760">
      <w:pPr>
        <w:pStyle w:val="Normaltindrag"/>
      </w:pPr>
      <w:r w:rsidRPr="00387BB5">
        <w:t>Under året samrådde direktionen vid tre tillfällen med fullmäktige om skrivelser till regeringen och riksdagen. De frågor som var föremål för samråd gällde undantag från lagen om offentlig upphandling vid vissa upphandlingar, kredit till Internationella valutafonden (IMF) samt överföring av pensions</w:t>
      </w:r>
      <w:r w:rsidRPr="00387BB5">
        <w:softHyphen/>
        <w:t>rä</w:t>
      </w:r>
      <w:r w:rsidRPr="00387BB5">
        <w:t>t</w:t>
      </w:r>
      <w:r w:rsidRPr="00387BB5">
        <w:t xml:space="preserve">tigheter till och från Europeiska centralbanken. </w:t>
      </w:r>
    </w:p>
    <w:p w:rsidR="00662760" w:rsidRPr="00387BB5" w:rsidRDefault="00662760" w:rsidP="00C94D8B">
      <w:pPr>
        <w:pStyle w:val="R2"/>
      </w:pPr>
      <w:r w:rsidRPr="00387BB5">
        <w:t>Arbete med utformningen av sedlar och mynt</w:t>
      </w:r>
    </w:p>
    <w:p w:rsidR="00662760" w:rsidRPr="00387BB5" w:rsidRDefault="00662760" w:rsidP="00662760">
      <w:r w:rsidRPr="00387BB5">
        <w:t>Fyra ledamöter i fullmäktige och fyra utomstående experter bildar Bere</w:t>
      </w:r>
      <w:r w:rsidRPr="00387BB5">
        <w:t>d</w:t>
      </w:r>
      <w:r w:rsidRPr="00387BB5">
        <w:t>ningsgruppen för utformning av sedlar och mynt. Gruppen leds av en av fullmäktigeledamöterna, Peter Egardt. Experter i gruppen är statsheraldikern, chefen för Kungliga Myntkabinettet samt en företrädare vardera för National</w:t>
      </w:r>
      <w:r w:rsidRPr="00387BB5">
        <w:softHyphen/>
        <w:t>museum och Konstakademien. Gruppens uppdrag är sedan 2008 att bereda frågor om grafisk och konstnä</w:t>
      </w:r>
      <w:r w:rsidRPr="00387BB5">
        <w:t>r</w:t>
      </w:r>
      <w:r w:rsidRPr="00387BB5">
        <w:t>lig utformning av sedlar och mynt i allmänhet.</w:t>
      </w:r>
    </w:p>
    <w:p w:rsidR="00662760" w:rsidRPr="00387BB5" w:rsidRDefault="00662760" w:rsidP="00662760">
      <w:pPr>
        <w:pStyle w:val="Normaltindrag"/>
      </w:pPr>
      <w:r w:rsidRPr="00387BB5">
        <w:t xml:space="preserve"> Direktionen inform</w:t>
      </w:r>
      <w:r w:rsidRPr="00387BB5">
        <w:t>e</w:t>
      </w:r>
      <w:r w:rsidRPr="00387BB5">
        <w:t>rade fullmäktige löpande om det fortsatta arbetet med översynen av den svenska sedel- och myntserien. Frågan diskut</w:t>
      </w:r>
      <w:r w:rsidRPr="00387BB5">
        <w:t>e</w:t>
      </w:r>
      <w:r w:rsidRPr="00387BB5">
        <w:t>rades även ingående i beredningsgruppen som var medarrangör vid ett sem</w:t>
      </w:r>
      <w:r w:rsidRPr="00387BB5">
        <w:t>i</w:t>
      </w:r>
      <w:r w:rsidRPr="00387BB5">
        <w:t>narium för en bred grupp intressenter om temat för utformningen av den nya sedel- och myntserien. En fråga som särskilt engagerade gruppen var frågan om en ny sedel- och myntserie ska innefatta en tjugokronorssedel eller ett tjugokr</w:t>
      </w:r>
      <w:r w:rsidRPr="00387BB5">
        <w:t>o</w:t>
      </w:r>
      <w:r w:rsidRPr="00387BB5">
        <w:t>norsmynt. Frågan kommer att diskuteras vidare under 2010. Beredningsgru</w:t>
      </w:r>
      <w:r w:rsidRPr="00387BB5">
        <w:t>p</w:t>
      </w:r>
      <w:r w:rsidRPr="00387BB5">
        <w:t>pen behandlade under året även frågan om ett minnesmynt 2010 med anle</w:t>
      </w:r>
      <w:r w:rsidRPr="00387BB5">
        <w:t>d</w:t>
      </w:r>
      <w:r w:rsidRPr="00387BB5">
        <w:t>ning av vigseln mellan kronprinsessan Victoria och Daniel Westling. Sedan direktionen fattat beslut om utgivning av ett sådant mynt beslutade fullmäkt</w:t>
      </w:r>
      <w:r w:rsidRPr="00387BB5">
        <w:t>i</w:t>
      </w:r>
      <w:r w:rsidRPr="00387BB5">
        <w:t>ge om u</w:t>
      </w:r>
      <w:r w:rsidRPr="00387BB5">
        <w:t>t</w:t>
      </w:r>
      <w:r w:rsidRPr="00387BB5">
        <w:t>formningen vid sitt sammanträde i december.</w:t>
      </w:r>
    </w:p>
    <w:p w:rsidR="00662760" w:rsidRPr="00387BB5" w:rsidRDefault="00662760" w:rsidP="00C94D8B">
      <w:pPr>
        <w:pStyle w:val="R2"/>
      </w:pPr>
      <w:r w:rsidRPr="00387BB5">
        <w:t>Fullmäktiges internationella arbete</w:t>
      </w:r>
    </w:p>
    <w:p w:rsidR="00662760" w:rsidRPr="00387BB5" w:rsidRDefault="00662760" w:rsidP="00662760">
      <w:r w:rsidRPr="00387BB5">
        <w:t>I början av februari 2009 var fullmäktiges ledamöter tillsammans med led</w:t>
      </w:r>
      <w:r w:rsidRPr="00387BB5">
        <w:t>a</w:t>
      </w:r>
      <w:r w:rsidRPr="00387BB5">
        <w:t>möter ur direktionen i He</w:t>
      </w:r>
      <w:r w:rsidRPr="00387BB5">
        <w:t>l</w:t>
      </w:r>
      <w:r w:rsidRPr="00387BB5">
        <w:t>singfors med anledning av Märkesåret 1809 (</w:t>
      </w:r>
      <w:r w:rsidRPr="00387BB5">
        <w:rPr>
          <w:bCs/>
        </w:rPr>
        <w:t xml:space="preserve">ett regeringsprojekt för att uppmärksamma att det 2009 var 200 år sedan Finland och Sverige blev två länder och för att </w:t>
      </w:r>
      <w:r w:rsidRPr="00387BB5">
        <w:t>stärka samhörigheten mellan Finland och Sverige). Riksbanken gav med anledning av märkesåret ut en specia</w:t>
      </w:r>
      <w:r w:rsidRPr="00387BB5">
        <w:t>l</w:t>
      </w:r>
      <w:r w:rsidRPr="00387BB5">
        <w:t>präglad en</w:t>
      </w:r>
      <w:r w:rsidRPr="00387BB5">
        <w:softHyphen/>
        <w:t>krona som vid en ceremoni på Finlands Bank överlämnades till ordföranden i den finska central</w:t>
      </w:r>
      <w:r w:rsidRPr="00387BB5">
        <w:softHyphen/>
        <w:t>bankens bankfullmäkt</w:t>
      </w:r>
      <w:r w:rsidRPr="00387BB5">
        <w:t>i</w:t>
      </w:r>
      <w:r w:rsidRPr="00387BB5">
        <w:t>ge. I november tog fullmäktige emot bankfullmäktige från Finlands Bank till ett endagsseminar</w:t>
      </w:r>
      <w:r w:rsidRPr="00387BB5">
        <w:t>i</w:t>
      </w:r>
      <w:r w:rsidRPr="00387BB5">
        <w:t>um i Riksbanken. Vid seminariet behandlades fullmäktiges roll, Riksbankens organisation, Riksbankens penningpolitik och den finansiella krisen samt läget i Balt</w:t>
      </w:r>
      <w:r w:rsidRPr="00387BB5">
        <w:t>i</w:t>
      </w:r>
      <w:r w:rsidRPr="00387BB5">
        <w:t>kum.</w:t>
      </w:r>
    </w:p>
    <w:p w:rsidR="00662760" w:rsidRPr="00387BB5" w:rsidRDefault="00662760" w:rsidP="00662760">
      <w:pPr>
        <w:pStyle w:val="Normaltindrag"/>
      </w:pPr>
      <w:r w:rsidRPr="00387BB5">
        <w:t>Fullmäktiges ledamöter genomförde tillsammans med ledamöter ur dire</w:t>
      </w:r>
      <w:r w:rsidRPr="00387BB5">
        <w:t>k</w:t>
      </w:r>
      <w:r w:rsidRPr="00387BB5">
        <w:t>tionen en studieresa till Washington D.C. och New York under hösten 2009. Resans syfte var att få en ökad förståelse för den ekonomiska och finansiella utvecklingen och de åtgärder som vidtagits under den finansiella krisen samt att få en större inblick i olika ekonomiska och finansiella institutioner i USA. De institutioner som besöktes var Board of Governors of the Federal Reserve System i Washington, Federal Reserve Bank of New York, IMF, US Treas</w:t>
      </w:r>
      <w:r w:rsidRPr="00387BB5">
        <w:t>u</w:t>
      </w:r>
      <w:r w:rsidRPr="00387BB5">
        <w:t>ry, Council of Economic Advisers vid Vita huset, Peterson Institute for Inte</w:t>
      </w:r>
      <w:r w:rsidRPr="00387BB5">
        <w:t>r</w:t>
      </w:r>
      <w:r w:rsidRPr="00387BB5">
        <w:t>national Economics, CLS Bank International samt Fortress Investment Group.</w:t>
      </w:r>
    </w:p>
    <w:p w:rsidR="00662760" w:rsidRPr="00387BB5" w:rsidRDefault="00662760" w:rsidP="00662760">
      <w:pPr>
        <w:pStyle w:val="Normaltindrag"/>
      </w:pPr>
      <w:r w:rsidRPr="00387BB5">
        <w:t>I februari var fullmäktiges ordförande och vice ordförande i Moskva för att besöka den ryska centralbanken och centralbankschefen. Syftet var att lära mer om hur de hanterat krisen i bank</w:t>
      </w:r>
      <w:r w:rsidRPr="00387BB5">
        <w:softHyphen/>
        <w:t xml:space="preserve">systemet. </w:t>
      </w:r>
    </w:p>
    <w:p w:rsidR="00662760" w:rsidRPr="00387BB5" w:rsidRDefault="00662760" w:rsidP="00662760">
      <w:pPr>
        <w:pStyle w:val="Normaltindrag"/>
      </w:pPr>
      <w:r w:rsidRPr="00387BB5">
        <w:t>Några ledamöter ur fullmäktige besökte Tallinn i mars för att lära mer om den estländska situa</w:t>
      </w:r>
      <w:r w:rsidRPr="00387BB5">
        <w:softHyphen/>
        <w:t>tionen i den globala finanskrisen. Gruppen träffade Es</w:t>
      </w:r>
      <w:r w:rsidRPr="00387BB5">
        <w:t>t</w:t>
      </w:r>
      <w:r w:rsidRPr="00387BB5">
        <w:t>lands president, parlamentets talman, central</w:t>
      </w:r>
      <w:r w:rsidRPr="00387BB5">
        <w:softHyphen/>
        <w:t>bankschefen samt mini</w:t>
      </w:r>
      <w:r w:rsidRPr="00387BB5">
        <w:t>s</w:t>
      </w:r>
      <w:r w:rsidRPr="00387BB5">
        <w:t xml:space="preserve">tern för ekonomi och kommunikation. </w:t>
      </w:r>
    </w:p>
    <w:p w:rsidR="00662760" w:rsidRPr="00387BB5" w:rsidRDefault="00662760" w:rsidP="00662760">
      <w:pPr>
        <w:pStyle w:val="Normaltindrag"/>
      </w:pPr>
      <w:r w:rsidRPr="00387BB5">
        <w:t>I december var några ledamöter i Riga för att på motsvarande sätt lära mer om den lettiska situa</w:t>
      </w:r>
      <w:r w:rsidRPr="00387BB5">
        <w:softHyphen/>
        <w:t>tionen. Gruppen träffade premiärministern, centralbank</w:t>
      </w:r>
      <w:r w:rsidRPr="00387BB5">
        <w:t>s</w:t>
      </w:r>
      <w:r w:rsidRPr="00387BB5">
        <w:t>chefen, ordföranden i budget- och finans</w:t>
      </w:r>
      <w:r w:rsidRPr="00387BB5">
        <w:softHyphen/>
        <w:t>utskottet samt finansm</w:t>
      </w:r>
      <w:r w:rsidRPr="00387BB5">
        <w:t>i</w:t>
      </w:r>
      <w:r w:rsidRPr="00387BB5">
        <w:t>nistern.</w:t>
      </w:r>
    </w:p>
    <w:p w:rsidR="00662760" w:rsidRPr="00387BB5" w:rsidRDefault="00662760" w:rsidP="00C94D8B">
      <w:pPr>
        <w:pStyle w:val="R2"/>
      </w:pPr>
      <w:r w:rsidRPr="00387BB5">
        <w:t>Uppföljning av direktionens arbete</w:t>
      </w:r>
    </w:p>
    <w:p w:rsidR="00662760" w:rsidRPr="00387BB5" w:rsidRDefault="00662760" w:rsidP="00662760">
      <w:r w:rsidRPr="00387BB5">
        <w:t>Ordföranden och vice ordföranden i fullmäktige följde direktionens arbete under året. Bland annat de</w:t>
      </w:r>
      <w:r w:rsidRPr="00387BB5">
        <w:t>l</w:t>
      </w:r>
      <w:r w:rsidRPr="00387BB5">
        <w:t>tog de i direktionens sammanträden, något som finansutskottet uttalat som en av de viktigaste del</w:t>
      </w:r>
      <w:r w:rsidRPr="00387BB5">
        <w:softHyphen/>
        <w:t>arna i fullmäktiges kontro</w:t>
      </w:r>
      <w:r w:rsidRPr="00387BB5">
        <w:t>l</w:t>
      </w:r>
      <w:r w:rsidRPr="00387BB5">
        <w:t>lerande funktion. Utskottet uttryckte våren 2008 i sin utvärdering av pen</w:t>
      </w:r>
      <w:r w:rsidRPr="00387BB5">
        <w:softHyphen/>
        <w:t>ningpolitiken att man välkomnar och stöder fullmäktiges arbete med att vid</w:t>
      </w:r>
      <w:r w:rsidRPr="00387BB5">
        <w:t>a</w:t>
      </w:r>
      <w:r w:rsidRPr="00387BB5">
        <w:t>reu</w:t>
      </w:r>
      <w:r w:rsidRPr="00387BB5">
        <w:t>t</w:t>
      </w:r>
      <w:r w:rsidRPr="00387BB5">
        <w:t>veckla den kontroller</w:t>
      </w:r>
      <w:r w:rsidRPr="00387BB5">
        <w:softHyphen/>
        <w:t>ande funktionen. Som ett led i denna utveckling deltog ordföranden och vice ordföranden under året i fler informella möten. Bland annat deltog de vid vissa beredningsmöten i den penningpolitiska pr</w:t>
      </w:r>
      <w:r w:rsidRPr="00387BB5">
        <w:t>o</w:t>
      </w:r>
      <w:r w:rsidRPr="00387BB5">
        <w:t>ces</w:t>
      </w:r>
      <w:r w:rsidRPr="00387BB5">
        <w:softHyphen/>
        <w:t>sen. Arbetet med att utveckla rollen fortsätter.</w:t>
      </w:r>
    </w:p>
    <w:p w:rsidR="00662760" w:rsidRPr="00387BB5" w:rsidRDefault="00662760" w:rsidP="00662760">
      <w:pPr>
        <w:pStyle w:val="Normaltindrag"/>
      </w:pPr>
      <w:r w:rsidRPr="00387BB5">
        <w:t>Ledamöterna i direktionen deltog normalt i fullmäktiges sammanträden och lämnade då regelbun</w:t>
      </w:r>
      <w:r w:rsidRPr="00387BB5">
        <w:softHyphen/>
        <w:t>det redogörelser för viktigare beslut och händelser i Riksbankens verksamhet. Direktionen lämnade bland annat redogörelser för den aktuella penningpolitiken och för arbetet med att övervaka stabilite</w:t>
      </w:r>
      <w:r w:rsidRPr="00387BB5">
        <w:softHyphen/>
        <w:t>ten i det finansiella systemet. Fullmäktige fick också löpande information om läget på de finansiella marknaderna och om de åtgärder som Riksbanken vidtagit under den finansiella krisen. I maj fick fullmäktige ta del av direktionens diskussioner om en förstärkning av valutareserven och hade inga komment</w:t>
      </w:r>
      <w:r w:rsidRPr="00387BB5">
        <w:t>a</w:t>
      </w:r>
      <w:r w:rsidRPr="00387BB5">
        <w:t>rer med anledning av informationen. Fullmäktige fick även information om budgeten, verk</w:t>
      </w:r>
      <w:r w:rsidRPr="00387BB5">
        <w:softHyphen/>
        <w:t>samhetsplanen, utvecklingen av risker och resultat i tillgång</w:t>
      </w:r>
      <w:r w:rsidRPr="00387BB5">
        <w:t>s</w:t>
      </w:r>
      <w:r w:rsidRPr="00387BB5">
        <w:t>förvaltningen, resultatet av Riksbankens medarbetarenkät, arbetet med jä</w:t>
      </w:r>
      <w:r w:rsidRPr="00387BB5">
        <w:t>m</w:t>
      </w:r>
      <w:r w:rsidRPr="00387BB5">
        <w:t>ställdhet och mångfald, utfallet i övrigt av verksamheten och om in</w:t>
      </w:r>
      <w:r w:rsidRPr="00387BB5">
        <w:softHyphen/>
        <w:t>ternrevisionens verksamhet. Vid decembersammanträdet fick fullmäktige information om behovet av en utredning för att se vilka förändringar som kan behöva göras i det finansiella regelverket till följd av iakttagelser under den finansiella krisen.</w:t>
      </w:r>
    </w:p>
    <w:p w:rsidR="00662760" w:rsidRPr="00387BB5" w:rsidRDefault="00662760" w:rsidP="00662760">
      <w:pPr>
        <w:pStyle w:val="Normaltindrag"/>
      </w:pPr>
      <w:r w:rsidRPr="00387BB5">
        <w:t>Fullmäktige fick information om de remissyttranden direktionen beslutade om under året. Direk</w:t>
      </w:r>
      <w:r w:rsidRPr="00387BB5">
        <w:softHyphen/>
        <w:t xml:space="preserve">tionen informerade även fullmäktige om sina beslut om mål och strategi för det internationella arbetet och om viktiga internationella möten med till exempel IMF. </w:t>
      </w:r>
    </w:p>
    <w:p w:rsidR="00662760" w:rsidRPr="00387BB5" w:rsidRDefault="00662760" w:rsidP="00662760">
      <w:pPr>
        <w:pStyle w:val="Normaltindrag"/>
      </w:pPr>
      <w:r w:rsidRPr="00387BB5">
        <w:t>Under året informerade direktionen om förändringar av den penningpol</w:t>
      </w:r>
      <w:r w:rsidRPr="00387BB5">
        <w:t>i</w:t>
      </w:r>
      <w:r w:rsidRPr="00387BB5">
        <w:t>tiska kommunikations</w:t>
      </w:r>
      <w:r w:rsidRPr="00387BB5">
        <w:softHyphen/>
        <w:t>policyn. Fullmäktige hade inga invändningar mot att policyn infördes. Fullmäktige fick även informa</w:t>
      </w:r>
      <w:r w:rsidRPr="00387BB5">
        <w:softHyphen/>
        <w:t>tion om ändringar i instru</w:t>
      </w:r>
      <w:r w:rsidRPr="00387BB5">
        <w:t>k</w:t>
      </w:r>
      <w:r w:rsidRPr="00387BB5">
        <w:t>tionen med anledning av omorganisationen av bankens juridiska tjänster, av samordning, stöd och kontroll i riskfrågor liksom av arbetet med internati</w:t>
      </w:r>
      <w:r w:rsidRPr="00387BB5">
        <w:t>o</w:t>
      </w:r>
      <w:r w:rsidRPr="00387BB5">
        <w:t>nella frågor. Vidare informerade direktionen om Riksbankens planer för ett nytt riksbankskontor i Stockholmsområdet.</w:t>
      </w:r>
    </w:p>
    <w:p w:rsidR="00662760" w:rsidRPr="00387BB5" w:rsidRDefault="00662760" w:rsidP="00662760">
      <w:pPr>
        <w:pStyle w:val="Normaltindrag"/>
      </w:pPr>
      <w:r w:rsidRPr="00387BB5">
        <w:t>För att komplettera informationen vid sammanträdena inbjöd direktionen fullmäktige till frukost</w:t>
      </w:r>
      <w:r w:rsidRPr="00387BB5">
        <w:softHyphen/>
        <w:t>möten för att ge direkt information efter de penningp</w:t>
      </w:r>
      <w:r w:rsidRPr="00387BB5">
        <w:t>o</w:t>
      </w:r>
      <w:r w:rsidRPr="00387BB5">
        <w:t>litiska beslut som inte låg i nära anslutning till fullmäktiges ordinarie sa</w:t>
      </w:r>
      <w:r w:rsidRPr="00387BB5">
        <w:t>m</w:t>
      </w:r>
      <w:r w:rsidRPr="00387BB5">
        <w:t>manträden. Fullmäktiges ledamöter bjöds också in till de informationssemi</w:t>
      </w:r>
      <w:r w:rsidRPr="00387BB5">
        <w:softHyphen/>
        <w:t xml:space="preserve">narier som Riksbanken höll för riksdagens utskott. </w:t>
      </w:r>
    </w:p>
    <w:p w:rsidR="00662760" w:rsidRPr="00387BB5" w:rsidRDefault="00662760" w:rsidP="00662760">
      <w:pPr>
        <w:pStyle w:val="Normaltindrag"/>
      </w:pPr>
      <w:r w:rsidRPr="00387BB5">
        <w:t>Fullmäktiges ordförande och vice ordförande talade båda vid konferensen ”Tio år med självständig Riksbank” som Riksbanken arrangerade i september. Övriga talare var bland annat nuvarande och tidigare riksbankschefer och ordföranden i finansutskottet. Inbjudna att delta i konferensen var repre</w:t>
      </w:r>
      <w:r w:rsidRPr="00387BB5">
        <w:softHyphen/>
        <w:t>sentanter för fullmäktige, riksdagen, statliga myndigheter, näringslivet och ak</w:t>
      </w:r>
      <w:r w:rsidRPr="00387BB5">
        <w:t>a</w:t>
      </w:r>
      <w:r w:rsidRPr="00387BB5">
        <w:t xml:space="preserve">demiska forskare. </w:t>
      </w:r>
    </w:p>
    <w:p w:rsidR="00662760" w:rsidRPr="00387BB5" w:rsidRDefault="00662760" w:rsidP="00460031">
      <w:pPr>
        <w:pStyle w:val="R2"/>
      </w:pPr>
      <w:r w:rsidRPr="00387BB5">
        <w:t>Fullmäktiges granskning av Riksbankens verksamhet</w:t>
      </w:r>
    </w:p>
    <w:p w:rsidR="00662760" w:rsidRPr="00387BB5" w:rsidRDefault="00662760" w:rsidP="00662760">
      <w:r w:rsidRPr="00387BB5">
        <w:t>Fullmäktiges revisionsenhet arbetade under året i enlighet med en revision</w:t>
      </w:r>
      <w:r w:rsidRPr="00387BB5">
        <w:t>s</w:t>
      </w:r>
      <w:r w:rsidRPr="00387BB5">
        <w:t>plan som fastställts av fullmäktige. Revisionsenheten gjorde en registe</w:t>
      </w:r>
      <w:r w:rsidRPr="00387BB5">
        <w:t>r</w:t>
      </w:r>
      <w:r w:rsidRPr="00387BB5">
        <w:t>analys av värdepapperstransaktioner och granskade erhållna panter relativt Riksba</w:t>
      </w:r>
      <w:r w:rsidRPr="00387BB5">
        <w:t>n</w:t>
      </w:r>
      <w:r w:rsidRPr="00387BB5">
        <w:t>kens utlåning, implementeringen av fastställda policyer, tillgångsför</w:t>
      </w:r>
      <w:r w:rsidRPr="00387BB5">
        <w:softHyphen/>
        <w:t>valtningen och exponeringar på grund av stora växelkursförändringar samt Riksba</w:t>
      </w:r>
      <w:r w:rsidRPr="00387BB5">
        <w:t>n</w:t>
      </w:r>
      <w:r w:rsidRPr="00387BB5">
        <w:t>kens förslag till vinstdisposition. Granskningarna ledde inte till några anmärkningar. Fullmäktige fick även informa</w:t>
      </w:r>
      <w:r w:rsidRPr="00387BB5">
        <w:softHyphen/>
        <w:t>tion om Riksrevisionens granskning av Riksbankens verksa</w:t>
      </w:r>
      <w:r w:rsidRPr="00387BB5">
        <w:t>m</w:t>
      </w:r>
      <w:r w:rsidRPr="00387BB5">
        <w:t>het.</w:t>
      </w:r>
    </w:p>
    <w:p w:rsidR="00662760" w:rsidRPr="00387BB5" w:rsidRDefault="00662760" w:rsidP="00662760">
      <w:pPr>
        <w:pStyle w:val="Normaltindrag"/>
      </w:pPr>
      <w:r w:rsidRPr="00387BB5">
        <w:t>I fullmäktiges löpande uppföljning av direktionsledamöternas arbete under 2009 framkom ingen</w:t>
      </w:r>
      <w:r w:rsidRPr="00387BB5">
        <w:softHyphen/>
        <w:t>ting som föranledde fullmäktige att rikta någon anmär</w:t>
      </w:r>
      <w:r w:rsidRPr="00387BB5">
        <w:t>k</w:t>
      </w:r>
      <w:r w:rsidRPr="00387BB5">
        <w:t>ning mot deras tjänsteutövning.</w:t>
      </w:r>
    </w:p>
    <w:p w:rsidR="00C911BC" w:rsidRPr="00387BB5" w:rsidRDefault="00C911BC" w:rsidP="006C0283">
      <w:pPr>
        <w:pStyle w:val="Rubrik1"/>
        <w:rPr>
          <w:noProof w:val="0"/>
        </w:rPr>
      </w:pPr>
    </w:p>
    <w:p w:rsidR="00C911BC" w:rsidRPr="00387BB5" w:rsidRDefault="00C911BC" w:rsidP="008A64BD">
      <w:pPr>
        <w:sectPr w:rsidR="00C911BC" w:rsidRPr="00387BB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C0283" w:rsidRPr="00387BB5" w:rsidRDefault="00231F68" w:rsidP="00005072">
      <w:pPr>
        <w:pStyle w:val="Bilaga"/>
        <w:rPr>
          <w:rStyle w:val="Rubrik1Char"/>
          <w:noProof w:val="0"/>
          <w:sz w:val="19"/>
          <w:szCs w:val="24"/>
        </w:rPr>
      </w:pPr>
      <w:bookmarkStart w:id="10" w:name="_Toc253410183"/>
      <w:bookmarkStart w:id="11" w:name="_Toc253992019"/>
      <w:r w:rsidRPr="00387BB5">
        <w:rPr>
          <w:rStyle w:val="Rubrik1Char"/>
          <w:noProof w:val="0"/>
          <w:sz w:val="19"/>
          <w:szCs w:val="24"/>
        </w:rPr>
        <w:t>Bilaga</w:t>
      </w:r>
      <w:bookmarkEnd w:id="11"/>
    </w:p>
    <w:p w:rsidR="006C0283" w:rsidRPr="00387BB5" w:rsidRDefault="006C0283" w:rsidP="00460031">
      <w:pPr>
        <w:pStyle w:val="R1"/>
        <w:spacing w:after="240"/>
      </w:pPr>
      <w:bookmarkStart w:id="12" w:name="_Toc253992020"/>
      <w:r w:rsidRPr="00387BB5">
        <w:rPr>
          <w:rStyle w:val="Rubrik1Char"/>
          <w:noProof w:val="0"/>
          <w:szCs w:val="24"/>
        </w:rPr>
        <w:t>Inleveransberäkning av Riksbankens resultat 2009</w:t>
      </w:r>
      <w:bookmarkEnd w:id="10"/>
      <w:bookmarkEnd w:id="12"/>
      <w:r w:rsidRPr="00387BB5">
        <w:t xml:space="preserve"> </w:t>
      </w:r>
      <w:r w:rsidRPr="00387BB5">
        <w:rPr>
          <w:rStyle w:val="Rubrik1Char"/>
          <w:noProof w:val="0"/>
        </w:rPr>
        <w:t>(miljoner kronor)</w:t>
      </w:r>
    </w:p>
    <w:tbl>
      <w:tblPr>
        <w:tblW w:w="5412" w:type="dxa"/>
        <w:tblInd w:w="55" w:type="dxa"/>
        <w:tblLayout w:type="fixed"/>
        <w:tblCellMar>
          <w:left w:w="70" w:type="dxa"/>
          <w:right w:w="70" w:type="dxa"/>
        </w:tblCellMar>
        <w:tblLook w:val="0000" w:firstRow="0" w:lastRow="0" w:firstColumn="0" w:lastColumn="0" w:noHBand="0" w:noVBand="0"/>
      </w:tblPr>
      <w:tblGrid>
        <w:gridCol w:w="1414"/>
        <w:gridCol w:w="994"/>
        <w:gridCol w:w="307"/>
        <w:gridCol w:w="180"/>
        <w:gridCol w:w="180"/>
        <w:gridCol w:w="180"/>
        <w:gridCol w:w="1197"/>
        <w:gridCol w:w="960"/>
      </w:tblGrid>
      <w:tr w:rsidR="006C0283" w:rsidRPr="00387BB5" w:rsidTr="00474B75">
        <w:trPr>
          <w:trHeight w:val="255"/>
        </w:trPr>
        <w:tc>
          <w:tcPr>
            <w:tcW w:w="4452" w:type="dxa"/>
            <w:gridSpan w:val="7"/>
            <w:tcBorders>
              <w:top w:val="nil"/>
              <w:left w:val="nil"/>
              <w:bottom w:val="nil"/>
              <w:right w:val="nil"/>
            </w:tcBorders>
            <w:noWrap/>
            <w:vAlign w:val="bottom"/>
          </w:tcPr>
          <w:p w:rsidR="006C0283" w:rsidRPr="00387BB5" w:rsidRDefault="006C0283" w:rsidP="00474B75">
            <w:pPr>
              <w:spacing w:before="60" w:line="200" w:lineRule="exact"/>
              <w:jc w:val="left"/>
              <w:rPr>
                <w:b/>
                <w:bCs/>
              </w:rPr>
            </w:pPr>
            <w:r w:rsidRPr="00387BB5">
              <w:rPr>
                <w:b/>
                <w:bCs/>
              </w:rPr>
              <w:t>1. Inleveransgrundande resultat 2009</w:t>
            </w:r>
          </w:p>
        </w:tc>
        <w:tc>
          <w:tcPr>
            <w:tcW w:w="960" w:type="dxa"/>
            <w:tcBorders>
              <w:top w:val="nil"/>
              <w:left w:val="nil"/>
              <w:bottom w:val="nil"/>
              <w:right w:val="nil"/>
            </w:tcBorders>
            <w:noWrap/>
            <w:vAlign w:val="bottom"/>
          </w:tcPr>
          <w:p w:rsidR="006C0283" w:rsidRPr="00387BB5" w:rsidRDefault="006C0283" w:rsidP="00474B75">
            <w:pPr>
              <w:spacing w:before="60" w:line="200" w:lineRule="exact"/>
            </w:pPr>
          </w:p>
        </w:tc>
      </w:tr>
      <w:tr w:rsidR="006C0283" w:rsidRPr="00387BB5" w:rsidTr="00474B75">
        <w:trPr>
          <w:trHeight w:val="255"/>
        </w:trPr>
        <w:tc>
          <w:tcPr>
            <w:tcW w:w="1414" w:type="dxa"/>
            <w:tcBorders>
              <w:top w:val="nil"/>
              <w:left w:val="nil"/>
              <w:bottom w:val="nil"/>
              <w:right w:val="nil"/>
            </w:tcBorders>
            <w:noWrap/>
            <w:vAlign w:val="bottom"/>
          </w:tcPr>
          <w:p w:rsidR="006C0283" w:rsidRPr="00387BB5" w:rsidRDefault="006C0283" w:rsidP="00474B75">
            <w:pPr>
              <w:spacing w:before="60" w:line="200" w:lineRule="exact"/>
            </w:pPr>
          </w:p>
        </w:tc>
        <w:tc>
          <w:tcPr>
            <w:tcW w:w="1661" w:type="dxa"/>
            <w:gridSpan w:val="4"/>
            <w:tcBorders>
              <w:top w:val="nil"/>
              <w:left w:val="nil"/>
              <w:bottom w:val="nil"/>
              <w:right w:val="nil"/>
            </w:tcBorders>
            <w:noWrap/>
            <w:vAlign w:val="bottom"/>
          </w:tcPr>
          <w:p w:rsidR="006C0283" w:rsidRPr="00387BB5" w:rsidRDefault="006C0283" w:rsidP="00474B75">
            <w:pPr>
              <w:spacing w:before="60" w:line="200" w:lineRule="exact"/>
            </w:pPr>
          </w:p>
        </w:tc>
        <w:tc>
          <w:tcPr>
            <w:tcW w:w="1377" w:type="dxa"/>
            <w:gridSpan w:val="2"/>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pPr>
          </w:p>
        </w:tc>
      </w:tr>
      <w:tr w:rsidR="006C0283" w:rsidRPr="00387BB5" w:rsidTr="00474B75">
        <w:trPr>
          <w:trHeight w:val="255"/>
        </w:trPr>
        <w:tc>
          <w:tcPr>
            <w:tcW w:w="3075" w:type="dxa"/>
            <w:gridSpan w:val="5"/>
            <w:tcBorders>
              <w:top w:val="nil"/>
              <w:left w:val="nil"/>
              <w:bottom w:val="nil"/>
              <w:right w:val="nil"/>
            </w:tcBorders>
            <w:noWrap/>
            <w:vAlign w:val="bottom"/>
          </w:tcPr>
          <w:p w:rsidR="006C0283" w:rsidRPr="00387BB5" w:rsidRDefault="006C0283" w:rsidP="00474B75">
            <w:pPr>
              <w:spacing w:before="60" w:line="200" w:lineRule="exact"/>
              <w:jc w:val="left"/>
            </w:pPr>
            <w:r w:rsidRPr="00387BB5">
              <w:t>Redovisat resultat 2009</w:t>
            </w:r>
          </w:p>
        </w:tc>
        <w:tc>
          <w:tcPr>
            <w:tcW w:w="1377" w:type="dxa"/>
            <w:gridSpan w:val="2"/>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r w:rsidRPr="00387BB5">
              <w:t>14 204</w:t>
            </w:r>
          </w:p>
        </w:tc>
      </w:tr>
      <w:tr w:rsidR="006C0283" w:rsidRPr="00387BB5" w:rsidTr="00474B75">
        <w:trPr>
          <w:trHeight w:val="255"/>
        </w:trPr>
        <w:tc>
          <w:tcPr>
            <w:tcW w:w="3075" w:type="dxa"/>
            <w:gridSpan w:val="5"/>
            <w:tcBorders>
              <w:top w:val="nil"/>
              <w:left w:val="nil"/>
              <w:bottom w:val="nil"/>
              <w:right w:val="nil"/>
            </w:tcBorders>
            <w:noWrap/>
            <w:vAlign w:val="bottom"/>
          </w:tcPr>
          <w:p w:rsidR="006C0283" w:rsidRPr="00387BB5" w:rsidRDefault="006C0283" w:rsidP="00474B75">
            <w:pPr>
              <w:spacing w:before="60" w:line="200" w:lineRule="exact"/>
              <w:jc w:val="left"/>
            </w:pPr>
            <w:r w:rsidRPr="00387BB5">
              <w:t>Valutakursvinst</w:t>
            </w:r>
          </w:p>
        </w:tc>
        <w:tc>
          <w:tcPr>
            <w:tcW w:w="1377" w:type="dxa"/>
            <w:gridSpan w:val="2"/>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r w:rsidRPr="00387BB5">
              <w:t>–2 797</w:t>
            </w:r>
          </w:p>
        </w:tc>
      </w:tr>
      <w:tr w:rsidR="006C0283" w:rsidRPr="00387BB5" w:rsidTr="00474B75">
        <w:trPr>
          <w:trHeight w:val="255"/>
        </w:trPr>
        <w:tc>
          <w:tcPr>
            <w:tcW w:w="3075" w:type="dxa"/>
            <w:gridSpan w:val="5"/>
            <w:tcBorders>
              <w:top w:val="nil"/>
              <w:left w:val="nil"/>
              <w:bottom w:val="nil"/>
              <w:right w:val="nil"/>
            </w:tcBorders>
            <w:noWrap/>
            <w:vAlign w:val="bottom"/>
          </w:tcPr>
          <w:p w:rsidR="006C0283" w:rsidRPr="00387BB5" w:rsidRDefault="006C0283" w:rsidP="00474B75">
            <w:pPr>
              <w:spacing w:before="60" w:line="200" w:lineRule="exact"/>
              <w:jc w:val="left"/>
            </w:pPr>
            <w:r w:rsidRPr="00387BB5">
              <w:t>Guldvärdevinst</w:t>
            </w:r>
          </w:p>
        </w:tc>
        <w:tc>
          <w:tcPr>
            <w:tcW w:w="1377" w:type="dxa"/>
            <w:gridSpan w:val="2"/>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r w:rsidRPr="00387BB5">
              <w:t>–1 592</w:t>
            </w:r>
          </w:p>
        </w:tc>
      </w:tr>
      <w:tr w:rsidR="006C0283" w:rsidRPr="00387BB5" w:rsidTr="00474B75">
        <w:trPr>
          <w:trHeight w:val="255"/>
        </w:trPr>
        <w:tc>
          <w:tcPr>
            <w:tcW w:w="4452" w:type="dxa"/>
            <w:gridSpan w:val="7"/>
            <w:tcBorders>
              <w:top w:val="nil"/>
              <w:left w:val="nil"/>
              <w:bottom w:val="nil"/>
              <w:right w:val="nil"/>
            </w:tcBorders>
            <w:noWrap/>
            <w:vAlign w:val="bottom"/>
          </w:tcPr>
          <w:p w:rsidR="006C0283" w:rsidRPr="00387BB5" w:rsidRDefault="006C0283" w:rsidP="00474B75">
            <w:pPr>
              <w:spacing w:before="60" w:line="200" w:lineRule="exact"/>
              <w:jc w:val="left"/>
            </w:pPr>
            <w:r w:rsidRPr="00387BB5">
              <w:t>Orealiserad priseffektförlust</w:t>
            </w:r>
          </w:p>
        </w:tc>
        <w:tc>
          <w:tcPr>
            <w:tcW w:w="960" w:type="dxa"/>
            <w:tcBorders>
              <w:top w:val="nil"/>
              <w:left w:val="nil"/>
              <w:bottom w:val="single" w:sz="4" w:space="0" w:color="auto"/>
              <w:right w:val="nil"/>
            </w:tcBorders>
            <w:noWrap/>
            <w:vAlign w:val="bottom"/>
          </w:tcPr>
          <w:p w:rsidR="006C0283" w:rsidRPr="00387BB5" w:rsidRDefault="006C0283" w:rsidP="00474B75">
            <w:pPr>
              <w:spacing w:before="60" w:line="200" w:lineRule="exact"/>
              <w:jc w:val="right"/>
            </w:pPr>
            <w:r w:rsidRPr="00387BB5">
              <w:t>–5 623</w:t>
            </w:r>
          </w:p>
        </w:tc>
      </w:tr>
      <w:tr w:rsidR="006C0283" w:rsidRPr="00387BB5" w:rsidTr="00474B75">
        <w:trPr>
          <w:trHeight w:val="255"/>
        </w:trPr>
        <w:tc>
          <w:tcPr>
            <w:tcW w:w="1414" w:type="dxa"/>
            <w:tcBorders>
              <w:top w:val="nil"/>
              <w:left w:val="nil"/>
              <w:bottom w:val="nil"/>
              <w:right w:val="nil"/>
            </w:tcBorders>
            <w:noWrap/>
            <w:vAlign w:val="bottom"/>
          </w:tcPr>
          <w:p w:rsidR="006C0283" w:rsidRPr="00387BB5" w:rsidRDefault="006C0283" w:rsidP="00474B75">
            <w:pPr>
              <w:spacing w:before="60" w:line="200" w:lineRule="exact"/>
              <w:jc w:val="left"/>
            </w:pPr>
            <w:r w:rsidRPr="00387BB5">
              <w:t>Summa</w:t>
            </w:r>
          </w:p>
        </w:tc>
        <w:tc>
          <w:tcPr>
            <w:tcW w:w="1661" w:type="dxa"/>
            <w:gridSpan w:val="4"/>
            <w:tcBorders>
              <w:top w:val="nil"/>
              <w:left w:val="nil"/>
              <w:bottom w:val="nil"/>
              <w:right w:val="nil"/>
            </w:tcBorders>
            <w:noWrap/>
            <w:vAlign w:val="bottom"/>
          </w:tcPr>
          <w:p w:rsidR="006C0283" w:rsidRPr="00387BB5" w:rsidRDefault="006C0283" w:rsidP="00474B75">
            <w:pPr>
              <w:spacing w:before="60" w:line="200" w:lineRule="exact"/>
            </w:pPr>
          </w:p>
        </w:tc>
        <w:tc>
          <w:tcPr>
            <w:tcW w:w="1377" w:type="dxa"/>
            <w:gridSpan w:val="2"/>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r w:rsidRPr="00387BB5">
              <w:t>4 192</w:t>
            </w:r>
          </w:p>
        </w:tc>
      </w:tr>
      <w:tr w:rsidR="006C0283" w:rsidRPr="00387BB5" w:rsidTr="00474B75">
        <w:trPr>
          <w:trHeight w:val="255"/>
        </w:trPr>
        <w:tc>
          <w:tcPr>
            <w:tcW w:w="1414" w:type="dxa"/>
            <w:tcBorders>
              <w:top w:val="nil"/>
              <w:left w:val="nil"/>
              <w:bottom w:val="nil"/>
              <w:right w:val="nil"/>
            </w:tcBorders>
            <w:noWrap/>
            <w:vAlign w:val="bottom"/>
          </w:tcPr>
          <w:p w:rsidR="006C0283" w:rsidRPr="00387BB5" w:rsidRDefault="006C0283" w:rsidP="00474B75">
            <w:pPr>
              <w:spacing w:before="60" w:line="200" w:lineRule="exact"/>
            </w:pPr>
          </w:p>
        </w:tc>
        <w:tc>
          <w:tcPr>
            <w:tcW w:w="1661" w:type="dxa"/>
            <w:gridSpan w:val="4"/>
            <w:tcBorders>
              <w:top w:val="nil"/>
              <w:left w:val="nil"/>
              <w:bottom w:val="nil"/>
              <w:right w:val="nil"/>
            </w:tcBorders>
            <w:noWrap/>
            <w:vAlign w:val="bottom"/>
          </w:tcPr>
          <w:p w:rsidR="006C0283" w:rsidRPr="00387BB5" w:rsidRDefault="006C0283" w:rsidP="00474B75">
            <w:pPr>
              <w:spacing w:before="60" w:line="200" w:lineRule="exact"/>
            </w:pPr>
          </w:p>
        </w:tc>
        <w:tc>
          <w:tcPr>
            <w:tcW w:w="1377" w:type="dxa"/>
            <w:gridSpan w:val="2"/>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pPr>
          </w:p>
        </w:tc>
      </w:tr>
      <w:tr w:rsidR="006C0283" w:rsidRPr="00387BB5" w:rsidTr="00474B75">
        <w:trPr>
          <w:trHeight w:val="255"/>
        </w:trPr>
        <w:tc>
          <w:tcPr>
            <w:tcW w:w="5412" w:type="dxa"/>
            <w:gridSpan w:val="8"/>
            <w:tcBorders>
              <w:top w:val="nil"/>
              <w:left w:val="nil"/>
              <w:bottom w:val="nil"/>
              <w:right w:val="nil"/>
            </w:tcBorders>
            <w:noWrap/>
            <w:vAlign w:val="bottom"/>
          </w:tcPr>
          <w:p w:rsidR="006C0283" w:rsidRPr="00387BB5" w:rsidRDefault="006C0283" w:rsidP="00474B75">
            <w:pPr>
              <w:spacing w:before="60" w:line="200" w:lineRule="exact"/>
              <w:jc w:val="left"/>
              <w:rPr>
                <w:b/>
                <w:bCs/>
              </w:rPr>
            </w:pPr>
            <w:r w:rsidRPr="00387BB5">
              <w:rPr>
                <w:b/>
                <w:bCs/>
              </w:rPr>
              <w:t>2. Genomsnittligt inleveransgrundande resultat</w:t>
            </w:r>
          </w:p>
        </w:tc>
      </w:tr>
      <w:tr w:rsidR="006C0283" w:rsidRPr="00387BB5" w:rsidTr="00474B75">
        <w:trPr>
          <w:trHeight w:val="255"/>
        </w:trPr>
        <w:tc>
          <w:tcPr>
            <w:tcW w:w="1414" w:type="dxa"/>
            <w:tcBorders>
              <w:top w:val="nil"/>
              <w:left w:val="nil"/>
              <w:bottom w:val="nil"/>
              <w:right w:val="nil"/>
            </w:tcBorders>
            <w:noWrap/>
            <w:vAlign w:val="bottom"/>
          </w:tcPr>
          <w:p w:rsidR="006C0283" w:rsidRPr="00387BB5" w:rsidRDefault="006C0283" w:rsidP="00474B75">
            <w:pPr>
              <w:spacing w:before="60" w:line="200" w:lineRule="exact"/>
            </w:pPr>
          </w:p>
        </w:tc>
        <w:tc>
          <w:tcPr>
            <w:tcW w:w="994" w:type="dxa"/>
            <w:tcBorders>
              <w:top w:val="nil"/>
              <w:left w:val="nil"/>
              <w:bottom w:val="nil"/>
              <w:right w:val="nil"/>
            </w:tcBorders>
            <w:noWrap/>
            <w:vAlign w:val="bottom"/>
          </w:tcPr>
          <w:p w:rsidR="006C0283" w:rsidRPr="00387BB5" w:rsidRDefault="006C0283" w:rsidP="00474B75">
            <w:pPr>
              <w:spacing w:before="60" w:line="200" w:lineRule="exact"/>
            </w:pPr>
          </w:p>
        </w:tc>
        <w:tc>
          <w:tcPr>
            <w:tcW w:w="2044" w:type="dxa"/>
            <w:gridSpan w:val="5"/>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pPr>
          </w:p>
        </w:tc>
      </w:tr>
      <w:tr w:rsidR="006C0283" w:rsidRPr="00387BB5" w:rsidTr="00474B75">
        <w:trPr>
          <w:trHeight w:val="255"/>
        </w:trPr>
        <w:tc>
          <w:tcPr>
            <w:tcW w:w="1414" w:type="dxa"/>
            <w:tcBorders>
              <w:top w:val="nil"/>
              <w:left w:val="nil"/>
              <w:bottom w:val="nil"/>
              <w:right w:val="nil"/>
            </w:tcBorders>
            <w:noWrap/>
            <w:vAlign w:val="bottom"/>
          </w:tcPr>
          <w:p w:rsidR="006C0283" w:rsidRPr="00387BB5" w:rsidRDefault="006C0283" w:rsidP="00474B75">
            <w:pPr>
              <w:spacing w:before="60" w:line="200" w:lineRule="exact"/>
            </w:pPr>
          </w:p>
        </w:tc>
        <w:tc>
          <w:tcPr>
            <w:tcW w:w="994" w:type="dxa"/>
            <w:tcBorders>
              <w:top w:val="nil"/>
              <w:left w:val="nil"/>
              <w:bottom w:val="nil"/>
              <w:right w:val="nil"/>
            </w:tcBorders>
            <w:noWrap/>
            <w:vAlign w:val="bottom"/>
          </w:tcPr>
          <w:p w:rsidR="006C0283" w:rsidRPr="00387BB5" w:rsidRDefault="006C0283" w:rsidP="00474B75">
            <w:pPr>
              <w:spacing w:before="60" w:line="200" w:lineRule="exact"/>
              <w:jc w:val="left"/>
            </w:pPr>
            <w:r w:rsidRPr="00387BB5">
              <w:t>2005</w:t>
            </w:r>
          </w:p>
        </w:tc>
        <w:tc>
          <w:tcPr>
            <w:tcW w:w="2044" w:type="dxa"/>
            <w:gridSpan w:val="5"/>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r w:rsidRPr="00387BB5">
              <w:t>4 271</w:t>
            </w:r>
          </w:p>
        </w:tc>
      </w:tr>
      <w:tr w:rsidR="006C0283" w:rsidRPr="00387BB5" w:rsidTr="00474B75">
        <w:trPr>
          <w:trHeight w:val="255"/>
        </w:trPr>
        <w:tc>
          <w:tcPr>
            <w:tcW w:w="1414" w:type="dxa"/>
            <w:tcBorders>
              <w:top w:val="nil"/>
              <w:left w:val="nil"/>
              <w:bottom w:val="nil"/>
              <w:right w:val="nil"/>
            </w:tcBorders>
            <w:noWrap/>
            <w:vAlign w:val="bottom"/>
          </w:tcPr>
          <w:p w:rsidR="006C0283" w:rsidRPr="00387BB5" w:rsidRDefault="006C0283" w:rsidP="00474B75">
            <w:pPr>
              <w:spacing w:before="60" w:line="200" w:lineRule="exact"/>
            </w:pPr>
          </w:p>
        </w:tc>
        <w:tc>
          <w:tcPr>
            <w:tcW w:w="994" w:type="dxa"/>
            <w:tcBorders>
              <w:top w:val="nil"/>
              <w:left w:val="nil"/>
              <w:bottom w:val="nil"/>
              <w:right w:val="nil"/>
            </w:tcBorders>
            <w:noWrap/>
            <w:vAlign w:val="bottom"/>
          </w:tcPr>
          <w:p w:rsidR="006C0283" w:rsidRPr="00387BB5" w:rsidRDefault="006C0283" w:rsidP="00474B75">
            <w:pPr>
              <w:spacing w:before="60" w:line="200" w:lineRule="exact"/>
              <w:jc w:val="left"/>
            </w:pPr>
            <w:r w:rsidRPr="00387BB5">
              <w:t>2006</w:t>
            </w:r>
          </w:p>
        </w:tc>
        <w:tc>
          <w:tcPr>
            <w:tcW w:w="2044" w:type="dxa"/>
            <w:gridSpan w:val="5"/>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r w:rsidRPr="00387BB5">
              <w:t>2 586</w:t>
            </w:r>
          </w:p>
        </w:tc>
      </w:tr>
      <w:tr w:rsidR="006C0283" w:rsidRPr="00387BB5" w:rsidTr="00474B75">
        <w:trPr>
          <w:trHeight w:val="255"/>
        </w:trPr>
        <w:tc>
          <w:tcPr>
            <w:tcW w:w="1414" w:type="dxa"/>
            <w:tcBorders>
              <w:top w:val="nil"/>
              <w:left w:val="nil"/>
              <w:bottom w:val="nil"/>
              <w:right w:val="nil"/>
            </w:tcBorders>
            <w:noWrap/>
            <w:vAlign w:val="bottom"/>
          </w:tcPr>
          <w:p w:rsidR="006C0283" w:rsidRPr="00387BB5" w:rsidRDefault="006C0283" w:rsidP="00474B75">
            <w:pPr>
              <w:spacing w:before="60" w:line="200" w:lineRule="exact"/>
            </w:pPr>
          </w:p>
        </w:tc>
        <w:tc>
          <w:tcPr>
            <w:tcW w:w="994" w:type="dxa"/>
            <w:tcBorders>
              <w:top w:val="nil"/>
              <w:left w:val="nil"/>
              <w:bottom w:val="nil"/>
              <w:right w:val="nil"/>
            </w:tcBorders>
            <w:noWrap/>
            <w:vAlign w:val="bottom"/>
          </w:tcPr>
          <w:p w:rsidR="006C0283" w:rsidRPr="00387BB5" w:rsidRDefault="006C0283" w:rsidP="00474B75">
            <w:pPr>
              <w:spacing w:before="60" w:line="200" w:lineRule="exact"/>
              <w:jc w:val="left"/>
            </w:pPr>
            <w:r w:rsidRPr="00387BB5">
              <w:t>2007</w:t>
            </w:r>
          </w:p>
        </w:tc>
        <w:tc>
          <w:tcPr>
            <w:tcW w:w="2044" w:type="dxa"/>
            <w:gridSpan w:val="5"/>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r w:rsidRPr="00387BB5">
              <w:t>7 061</w:t>
            </w:r>
          </w:p>
        </w:tc>
      </w:tr>
      <w:tr w:rsidR="006C0283" w:rsidRPr="00387BB5" w:rsidTr="00474B75">
        <w:trPr>
          <w:trHeight w:val="255"/>
        </w:trPr>
        <w:tc>
          <w:tcPr>
            <w:tcW w:w="1414" w:type="dxa"/>
            <w:tcBorders>
              <w:top w:val="nil"/>
              <w:left w:val="nil"/>
              <w:bottom w:val="nil"/>
              <w:right w:val="nil"/>
            </w:tcBorders>
            <w:noWrap/>
            <w:vAlign w:val="bottom"/>
          </w:tcPr>
          <w:p w:rsidR="006C0283" w:rsidRPr="00387BB5" w:rsidRDefault="006C0283" w:rsidP="00474B75">
            <w:pPr>
              <w:spacing w:before="60" w:line="200" w:lineRule="exact"/>
            </w:pPr>
          </w:p>
        </w:tc>
        <w:tc>
          <w:tcPr>
            <w:tcW w:w="994" w:type="dxa"/>
            <w:tcBorders>
              <w:top w:val="nil"/>
              <w:left w:val="nil"/>
              <w:bottom w:val="nil"/>
              <w:right w:val="nil"/>
            </w:tcBorders>
            <w:noWrap/>
            <w:vAlign w:val="bottom"/>
          </w:tcPr>
          <w:p w:rsidR="006C0283" w:rsidRPr="00387BB5" w:rsidRDefault="006C0283" w:rsidP="00474B75">
            <w:pPr>
              <w:spacing w:before="60" w:line="200" w:lineRule="exact"/>
              <w:jc w:val="left"/>
            </w:pPr>
            <w:r w:rsidRPr="00387BB5">
              <w:t>2008</w:t>
            </w:r>
          </w:p>
        </w:tc>
        <w:tc>
          <w:tcPr>
            <w:tcW w:w="2044" w:type="dxa"/>
            <w:gridSpan w:val="5"/>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r w:rsidRPr="00387BB5">
              <w:t>18 318</w:t>
            </w:r>
          </w:p>
        </w:tc>
      </w:tr>
      <w:tr w:rsidR="006C0283" w:rsidRPr="00387BB5" w:rsidTr="00474B75">
        <w:trPr>
          <w:trHeight w:val="255"/>
        </w:trPr>
        <w:tc>
          <w:tcPr>
            <w:tcW w:w="1414" w:type="dxa"/>
            <w:tcBorders>
              <w:top w:val="nil"/>
              <w:left w:val="nil"/>
              <w:bottom w:val="nil"/>
              <w:right w:val="nil"/>
            </w:tcBorders>
            <w:noWrap/>
            <w:vAlign w:val="bottom"/>
          </w:tcPr>
          <w:p w:rsidR="006C0283" w:rsidRPr="00387BB5" w:rsidRDefault="006C0283" w:rsidP="00474B75">
            <w:pPr>
              <w:spacing w:before="60" w:line="200" w:lineRule="exact"/>
            </w:pPr>
          </w:p>
        </w:tc>
        <w:tc>
          <w:tcPr>
            <w:tcW w:w="994" w:type="dxa"/>
            <w:tcBorders>
              <w:top w:val="nil"/>
              <w:left w:val="nil"/>
              <w:bottom w:val="nil"/>
              <w:right w:val="nil"/>
            </w:tcBorders>
            <w:noWrap/>
            <w:vAlign w:val="bottom"/>
          </w:tcPr>
          <w:p w:rsidR="006C0283" w:rsidRPr="00387BB5" w:rsidRDefault="006C0283" w:rsidP="00474B75">
            <w:pPr>
              <w:spacing w:before="60" w:line="200" w:lineRule="exact"/>
              <w:jc w:val="left"/>
            </w:pPr>
            <w:r w:rsidRPr="00387BB5">
              <w:t>2009</w:t>
            </w:r>
          </w:p>
        </w:tc>
        <w:tc>
          <w:tcPr>
            <w:tcW w:w="2044" w:type="dxa"/>
            <w:gridSpan w:val="5"/>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single" w:sz="4" w:space="0" w:color="auto"/>
              <w:right w:val="nil"/>
            </w:tcBorders>
            <w:noWrap/>
            <w:vAlign w:val="bottom"/>
          </w:tcPr>
          <w:p w:rsidR="006C0283" w:rsidRPr="00387BB5" w:rsidRDefault="006C0283" w:rsidP="00474B75">
            <w:pPr>
              <w:spacing w:before="60" w:line="200" w:lineRule="exact"/>
              <w:jc w:val="right"/>
            </w:pPr>
            <w:r w:rsidRPr="00387BB5">
              <w:t>4 192</w:t>
            </w:r>
          </w:p>
        </w:tc>
      </w:tr>
      <w:tr w:rsidR="006C0283" w:rsidRPr="00387BB5" w:rsidTr="00474B75">
        <w:trPr>
          <w:trHeight w:val="255"/>
        </w:trPr>
        <w:tc>
          <w:tcPr>
            <w:tcW w:w="1414" w:type="dxa"/>
            <w:tcBorders>
              <w:top w:val="nil"/>
              <w:left w:val="nil"/>
              <w:bottom w:val="nil"/>
              <w:right w:val="nil"/>
            </w:tcBorders>
            <w:noWrap/>
            <w:vAlign w:val="bottom"/>
          </w:tcPr>
          <w:p w:rsidR="006C0283" w:rsidRPr="00387BB5" w:rsidRDefault="006C0283" w:rsidP="00474B75">
            <w:pPr>
              <w:spacing w:before="60" w:line="200" w:lineRule="exact"/>
            </w:pPr>
          </w:p>
        </w:tc>
        <w:tc>
          <w:tcPr>
            <w:tcW w:w="994" w:type="dxa"/>
            <w:tcBorders>
              <w:top w:val="nil"/>
              <w:left w:val="nil"/>
              <w:bottom w:val="nil"/>
              <w:right w:val="nil"/>
            </w:tcBorders>
            <w:noWrap/>
            <w:vAlign w:val="bottom"/>
          </w:tcPr>
          <w:p w:rsidR="006C0283" w:rsidRPr="00387BB5" w:rsidRDefault="006C0283" w:rsidP="00474B75">
            <w:pPr>
              <w:spacing w:before="60" w:line="200" w:lineRule="exact"/>
            </w:pPr>
          </w:p>
        </w:tc>
        <w:tc>
          <w:tcPr>
            <w:tcW w:w="2044" w:type="dxa"/>
            <w:gridSpan w:val="5"/>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r w:rsidRPr="00387BB5">
              <w:t>36 428</w:t>
            </w:r>
          </w:p>
        </w:tc>
      </w:tr>
      <w:tr w:rsidR="006C0283" w:rsidRPr="00387BB5" w:rsidTr="00474B75">
        <w:trPr>
          <w:trHeight w:val="255"/>
        </w:trPr>
        <w:tc>
          <w:tcPr>
            <w:tcW w:w="1414" w:type="dxa"/>
            <w:tcBorders>
              <w:top w:val="nil"/>
              <w:left w:val="nil"/>
              <w:bottom w:val="nil"/>
              <w:right w:val="nil"/>
            </w:tcBorders>
            <w:noWrap/>
            <w:vAlign w:val="bottom"/>
          </w:tcPr>
          <w:p w:rsidR="006C0283" w:rsidRPr="00387BB5" w:rsidRDefault="006C0283" w:rsidP="00474B75">
            <w:pPr>
              <w:spacing w:before="60" w:line="200" w:lineRule="exact"/>
            </w:pPr>
          </w:p>
        </w:tc>
        <w:tc>
          <w:tcPr>
            <w:tcW w:w="994" w:type="dxa"/>
            <w:tcBorders>
              <w:top w:val="nil"/>
              <w:left w:val="nil"/>
              <w:bottom w:val="nil"/>
              <w:right w:val="nil"/>
            </w:tcBorders>
            <w:noWrap/>
            <w:vAlign w:val="bottom"/>
          </w:tcPr>
          <w:p w:rsidR="006C0283" w:rsidRPr="00387BB5" w:rsidRDefault="006C0283" w:rsidP="00474B75">
            <w:pPr>
              <w:spacing w:before="60" w:line="200" w:lineRule="exact"/>
            </w:pPr>
          </w:p>
        </w:tc>
        <w:tc>
          <w:tcPr>
            <w:tcW w:w="2044" w:type="dxa"/>
            <w:gridSpan w:val="5"/>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p>
        </w:tc>
      </w:tr>
      <w:tr w:rsidR="006C0283" w:rsidRPr="00387BB5" w:rsidTr="00474B75">
        <w:trPr>
          <w:trHeight w:val="255"/>
        </w:trPr>
        <w:tc>
          <w:tcPr>
            <w:tcW w:w="1414" w:type="dxa"/>
            <w:tcBorders>
              <w:top w:val="nil"/>
              <w:left w:val="nil"/>
              <w:bottom w:val="nil"/>
              <w:right w:val="nil"/>
            </w:tcBorders>
            <w:noWrap/>
            <w:vAlign w:val="bottom"/>
          </w:tcPr>
          <w:p w:rsidR="006C0283" w:rsidRPr="00387BB5" w:rsidRDefault="006C0283" w:rsidP="00474B75">
            <w:pPr>
              <w:spacing w:before="60" w:line="200" w:lineRule="exact"/>
            </w:pPr>
          </w:p>
        </w:tc>
        <w:tc>
          <w:tcPr>
            <w:tcW w:w="3038" w:type="dxa"/>
            <w:gridSpan w:val="6"/>
            <w:tcBorders>
              <w:top w:val="nil"/>
              <w:left w:val="nil"/>
              <w:bottom w:val="nil"/>
              <w:right w:val="nil"/>
            </w:tcBorders>
            <w:noWrap/>
            <w:vAlign w:val="bottom"/>
          </w:tcPr>
          <w:p w:rsidR="006C0283" w:rsidRPr="00387BB5" w:rsidRDefault="006C0283" w:rsidP="00474B75">
            <w:pPr>
              <w:spacing w:before="60" w:line="200" w:lineRule="exact"/>
              <w:jc w:val="left"/>
            </w:pPr>
            <w:r w:rsidRPr="00387BB5">
              <w:t>5 års genomsnitt</w:t>
            </w: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r w:rsidRPr="00387BB5">
              <w:t>7 286</w:t>
            </w:r>
          </w:p>
        </w:tc>
      </w:tr>
      <w:tr w:rsidR="006C0283" w:rsidRPr="00387BB5" w:rsidTr="00474B75">
        <w:trPr>
          <w:trHeight w:val="255"/>
        </w:trPr>
        <w:tc>
          <w:tcPr>
            <w:tcW w:w="1414" w:type="dxa"/>
            <w:tcBorders>
              <w:top w:val="nil"/>
              <w:left w:val="nil"/>
              <w:bottom w:val="nil"/>
              <w:right w:val="nil"/>
            </w:tcBorders>
            <w:noWrap/>
            <w:vAlign w:val="bottom"/>
          </w:tcPr>
          <w:p w:rsidR="006C0283" w:rsidRPr="00387BB5" w:rsidRDefault="006C0283" w:rsidP="00474B75">
            <w:pPr>
              <w:spacing w:before="60" w:line="200" w:lineRule="exact"/>
            </w:pPr>
          </w:p>
        </w:tc>
        <w:tc>
          <w:tcPr>
            <w:tcW w:w="1301" w:type="dxa"/>
            <w:gridSpan w:val="2"/>
            <w:tcBorders>
              <w:top w:val="nil"/>
              <w:left w:val="nil"/>
              <w:bottom w:val="nil"/>
              <w:right w:val="nil"/>
            </w:tcBorders>
            <w:noWrap/>
            <w:vAlign w:val="bottom"/>
          </w:tcPr>
          <w:p w:rsidR="006C0283" w:rsidRPr="00387BB5" w:rsidRDefault="006C0283" w:rsidP="00474B75">
            <w:pPr>
              <w:spacing w:before="60" w:line="200" w:lineRule="exact"/>
            </w:pPr>
          </w:p>
        </w:tc>
        <w:tc>
          <w:tcPr>
            <w:tcW w:w="1737" w:type="dxa"/>
            <w:gridSpan w:val="4"/>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pPr>
          </w:p>
        </w:tc>
      </w:tr>
      <w:tr w:rsidR="006C0283" w:rsidRPr="00387BB5" w:rsidTr="00474B75">
        <w:trPr>
          <w:trHeight w:val="255"/>
        </w:trPr>
        <w:tc>
          <w:tcPr>
            <w:tcW w:w="2715" w:type="dxa"/>
            <w:gridSpan w:val="3"/>
            <w:tcBorders>
              <w:top w:val="nil"/>
              <w:left w:val="nil"/>
              <w:bottom w:val="nil"/>
              <w:right w:val="nil"/>
            </w:tcBorders>
            <w:noWrap/>
            <w:vAlign w:val="bottom"/>
          </w:tcPr>
          <w:p w:rsidR="006C0283" w:rsidRPr="00387BB5" w:rsidRDefault="006C0283" w:rsidP="00474B75">
            <w:pPr>
              <w:spacing w:before="60" w:line="200" w:lineRule="exact"/>
              <w:jc w:val="left"/>
              <w:rPr>
                <w:b/>
                <w:bCs/>
              </w:rPr>
            </w:pPr>
            <w:r w:rsidRPr="00387BB5">
              <w:rPr>
                <w:b/>
                <w:bCs/>
              </w:rPr>
              <w:t>3. Beräknad inleverans</w:t>
            </w:r>
          </w:p>
        </w:tc>
        <w:tc>
          <w:tcPr>
            <w:tcW w:w="1737" w:type="dxa"/>
            <w:gridSpan w:val="4"/>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pPr>
          </w:p>
        </w:tc>
      </w:tr>
      <w:tr w:rsidR="006C0283" w:rsidRPr="00387BB5" w:rsidTr="00474B75">
        <w:trPr>
          <w:trHeight w:val="255"/>
        </w:trPr>
        <w:tc>
          <w:tcPr>
            <w:tcW w:w="1414" w:type="dxa"/>
            <w:tcBorders>
              <w:top w:val="nil"/>
              <w:left w:val="nil"/>
              <w:bottom w:val="nil"/>
              <w:right w:val="nil"/>
            </w:tcBorders>
            <w:noWrap/>
            <w:vAlign w:val="bottom"/>
          </w:tcPr>
          <w:p w:rsidR="006C0283" w:rsidRPr="00387BB5" w:rsidRDefault="006C0283" w:rsidP="00474B75">
            <w:pPr>
              <w:spacing w:before="60" w:line="200" w:lineRule="exact"/>
            </w:pPr>
          </w:p>
        </w:tc>
        <w:tc>
          <w:tcPr>
            <w:tcW w:w="1301" w:type="dxa"/>
            <w:gridSpan w:val="2"/>
            <w:tcBorders>
              <w:top w:val="nil"/>
              <w:left w:val="nil"/>
              <w:bottom w:val="nil"/>
              <w:right w:val="nil"/>
            </w:tcBorders>
            <w:noWrap/>
            <w:vAlign w:val="bottom"/>
          </w:tcPr>
          <w:p w:rsidR="006C0283" w:rsidRPr="00387BB5" w:rsidRDefault="006C0283" w:rsidP="00474B75">
            <w:pPr>
              <w:spacing w:before="60" w:line="200" w:lineRule="exact"/>
            </w:pPr>
          </w:p>
        </w:tc>
        <w:tc>
          <w:tcPr>
            <w:tcW w:w="1737" w:type="dxa"/>
            <w:gridSpan w:val="4"/>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pPr>
          </w:p>
        </w:tc>
      </w:tr>
      <w:tr w:rsidR="006C0283" w:rsidRPr="00387BB5" w:rsidTr="00474B75">
        <w:trPr>
          <w:trHeight w:val="255"/>
        </w:trPr>
        <w:tc>
          <w:tcPr>
            <w:tcW w:w="1414" w:type="dxa"/>
            <w:tcBorders>
              <w:top w:val="nil"/>
              <w:left w:val="nil"/>
              <w:bottom w:val="nil"/>
              <w:right w:val="nil"/>
            </w:tcBorders>
            <w:noWrap/>
            <w:vAlign w:val="bottom"/>
          </w:tcPr>
          <w:p w:rsidR="006C0283" w:rsidRPr="00387BB5" w:rsidRDefault="006C0283" w:rsidP="00474B75">
            <w:pPr>
              <w:spacing w:before="60" w:line="200" w:lineRule="exact"/>
            </w:pPr>
          </w:p>
        </w:tc>
        <w:tc>
          <w:tcPr>
            <w:tcW w:w="1301" w:type="dxa"/>
            <w:gridSpan w:val="2"/>
            <w:tcBorders>
              <w:top w:val="nil"/>
              <w:left w:val="nil"/>
              <w:bottom w:val="nil"/>
              <w:right w:val="nil"/>
            </w:tcBorders>
            <w:noWrap/>
            <w:vAlign w:val="bottom"/>
          </w:tcPr>
          <w:p w:rsidR="006C0283" w:rsidRPr="00387BB5" w:rsidRDefault="006C0283" w:rsidP="00474B75">
            <w:pPr>
              <w:spacing w:before="60" w:line="200" w:lineRule="exact"/>
            </w:pPr>
          </w:p>
        </w:tc>
        <w:tc>
          <w:tcPr>
            <w:tcW w:w="1737" w:type="dxa"/>
            <w:gridSpan w:val="4"/>
            <w:tcBorders>
              <w:top w:val="nil"/>
              <w:left w:val="nil"/>
              <w:bottom w:val="nil"/>
              <w:right w:val="nil"/>
            </w:tcBorders>
            <w:noWrap/>
            <w:vAlign w:val="bottom"/>
          </w:tcPr>
          <w:p w:rsidR="006C0283" w:rsidRPr="00387BB5" w:rsidRDefault="006C0283" w:rsidP="00474B75">
            <w:pPr>
              <w:spacing w:before="60" w:line="200" w:lineRule="exact"/>
              <w:jc w:val="left"/>
            </w:pPr>
            <w:r w:rsidRPr="00387BB5">
              <w:t>7 286 x 80 % =</w:t>
            </w: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r w:rsidRPr="00387BB5">
              <w:t>5 828</w:t>
            </w:r>
          </w:p>
        </w:tc>
      </w:tr>
      <w:tr w:rsidR="006C0283" w:rsidRPr="00387BB5" w:rsidTr="00474B75">
        <w:trPr>
          <w:trHeight w:val="255"/>
        </w:trPr>
        <w:tc>
          <w:tcPr>
            <w:tcW w:w="1414" w:type="dxa"/>
            <w:tcBorders>
              <w:top w:val="nil"/>
              <w:left w:val="nil"/>
              <w:bottom w:val="nil"/>
              <w:right w:val="nil"/>
            </w:tcBorders>
            <w:noWrap/>
            <w:vAlign w:val="bottom"/>
          </w:tcPr>
          <w:p w:rsidR="006C0283" w:rsidRPr="00387BB5" w:rsidRDefault="006C0283" w:rsidP="00474B75">
            <w:pPr>
              <w:spacing w:before="60" w:line="200" w:lineRule="exact"/>
            </w:pPr>
          </w:p>
        </w:tc>
        <w:tc>
          <w:tcPr>
            <w:tcW w:w="1301" w:type="dxa"/>
            <w:gridSpan w:val="2"/>
            <w:tcBorders>
              <w:top w:val="nil"/>
              <w:left w:val="nil"/>
              <w:bottom w:val="nil"/>
              <w:right w:val="nil"/>
            </w:tcBorders>
            <w:noWrap/>
            <w:vAlign w:val="bottom"/>
          </w:tcPr>
          <w:p w:rsidR="006C0283" w:rsidRPr="00387BB5" w:rsidRDefault="006C0283" w:rsidP="00474B75">
            <w:pPr>
              <w:spacing w:before="60" w:line="200" w:lineRule="exact"/>
            </w:pPr>
          </w:p>
        </w:tc>
        <w:tc>
          <w:tcPr>
            <w:tcW w:w="1737" w:type="dxa"/>
            <w:gridSpan w:val="4"/>
            <w:tcBorders>
              <w:top w:val="nil"/>
              <w:left w:val="nil"/>
              <w:bottom w:val="nil"/>
              <w:right w:val="nil"/>
            </w:tcBorders>
            <w:noWrap/>
            <w:vAlign w:val="bottom"/>
          </w:tcPr>
          <w:p w:rsidR="006C0283" w:rsidRPr="00387BB5" w:rsidRDefault="006C0283" w:rsidP="00474B75">
            <w:pPr>
              <w:spacing w:before="60" w:line="200" w:lineRule="exact"/>
              <w:jc w:val="left"/>
            </w:pPr>
            <w:r w:rsidRPr="00387BB5">
              <w:t>Avrundat</w:t>
            </w: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r w:rsidRPr="00387BB5">
              <w:t>5 800</w:t>
            </w:r>
          </w:p>
        </w:tc>
      </w:tr>
      <w:tr w:rsidR="006C0283" w:rsidRPr="00387BB5" w:rsidTr="00474B75">
        <w:trPr>
          <w:trHeight w:val="255"/>
        </w:trPr>
        <w:tc>
          <w:tcPr>
            <w:tcW w:w="1414" w:type="dxa"/>
            <w:tcBorders>
              <w:top w:val="nil"/>
              <w:left w:val="nil"/>
              <w:bottom w:val="nil"/>
              <w:right w:val="nil"/>
            </w:tcBorders>
            <w:noWrap/>
            <w:vAlign w:val="bottom"/>
          </w:tcPr>
          <w:p w:rsidR="006C0283" w:rsidRPr="00387BB5" w:rsidRDefault="006C0283" w:rsidP="00474B75">
            <w:pPr>
              <w:spacing w:before="60" w:line="200" w:lineRule="exact"/>
            </w:pPr>
          </w:p>
        </w:tc>
        <w:tc>
          <w:tcPr>
            <w:tcW w:w="1301" w:type="dxa"/>
            <w:gridSpan w:val="2"/>
            <w:tcBorders>
              <w:top w:val="nil"/>
              <w:left w:val="nil"/>
              <w:bottom w:val="nil"/>
              <w:right w:val="nil"/>
            </w:tcBorders>
            <w:noWrap/>
            <w:vAlign w:val="bottom"/>
          </w:tcPr>
          <w:p w:rsidR="006C0283" w:rsidRPr="00387BB5" w:rsidRDefault="006C0283" w:rsidP="00474B75">
            <w:pPr>
              <w:spacing w:before="60" w:line="200" w:lineRule="exact"/>
            </w:pPr>
          </w:p>
        </w:tc>
        <w:tc>
          <w:tcPr>
            <w:tcW w:w="1737" w:type="dxa"/>
            <w:gridSpan w:val="4"/>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p>
        </w:tc>
      </w:tr>
      <w:tr w:rsidR="006C0283" w:rsidRPr="00387BB5" w:rsidTr="00474B75">
        <w:trPr>
          <w:trHeight w:val="255"/>
        </w:trPr>
        <w:tc>
          <w:tcPr>
            <w:tcW w:w="2715" w:type="dxa"/>
            <w:gridSpan w:val="3"/>
            <w:tcBorders>
              <w:top w:val="nil"/>
              <w:left w:val="nil"/>
              <w:bottom w:val="nil"/>
              <w:right w:val="nil"/>
            </w:tcBorders>
            <w:noWrap/>
            <w:vAlign w:val="bottom"/>
          </w:tcPr>
          <w:p w:rsidR="006C0283" w:rsidRPr="00387BB5" w:rsidRDefault="006C0283" w:rsidP="00474B75">
            <w:pPr>
              <w:spacing w:before="60" w:line="200" w:lineRule="exact"/>
              <w:jc w:val="left"/>
              <w:rPr>
                <w:b/>
                <w:bCs/>
              </w:rPr>
            </w:pPr>
            <w:r w:rsidRPr="00387BB5">
              <w:rPr>
                <w:b/>
                <w:bCs/>
              </w:rPr>
              <w:t>4. Beräknad fondering</w:t>
            </w:r>
          </w:p>
        </w:tc>
        <w:tc>
          <w:tcPr>
            <w:tcW w:w="1737" w:type="dxa"/>
            <w:gridSpan w:val="4"/>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p>
        </w:tc>
      </w:tr>
      <w:tr w:rsidR="006C0283" w:rsidRPr="00387BB5" w:rsidTr="00474B75">
        <w:trPr>
          <w:trHeight w:val="255"/>
        </w:trPr>
        <w:tc>
          <w:tcPr>
            <w:tcW w:w="1414" w:type="dxa"/>
            <w:tcBorders>
              <w:top w:val="nil"/>
              <w:left w:val="nil"/>
              <w:bottom w:val="nil"/>
              <w:right w:val="nil"/>
            </w:tcBorders>
            <w:noWrap/>
            <w:vAlign w:val="bottom"/>
          </w:tcPr>
          <w:p w:rsidR="006C0283" w:rsidRPr="00387BB5" w:rsidRDefault="006C0283" w:rsidP="00474B75">
            <w:pPr>
              <w:spacing w:before="60" w:line="200" w:lineRule="exact"/>
            </w:pPr>
          </w:p>
        </w:tc>
        <w:tc>
          <w:tcPr>
            <w:tcW w:w="1301" w:type="dxa"/>
            <w:gridSpan w:val="2"/>
            <w:tcBorders>
              <w:top w:val="nil"/>
              <w:left w:val="nil"/>
              <w:bottom w:val="nil"/>
              <w:right w:val="nil"/>
            </w:tcBorders>
            <w:noWrap/>
            <w:vAlign w:val="bottom"/>
          </w:tcPr>
          <w:p w:rsidR="006C0283" w:rsidRPr="00387BB5" w:rsidRDefault="006C0283" w:rsidP="00474B75">
            <w:pPr>
              <w:spacing w:before="60" w:line="200" w:lineRule="exact"/>
            </w:pPr>
          </w:p>
        </w:tc>
        <w:tc>
          <w:tcPr>
            <w:tcW w:w="1737" w:type="dxa"/>
            <w:gridSpan w:val="4"/>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p>
        </w:tc>
      </w:tr>
      <w:tr w:rsidR="006C0283" w:rsidRPr="00387BB5" w:rsidTr="00474B75">
        <w:trPr>
          <w:trHeight w:val="255"/>
        </w:trPr>
        <w:tc>
          <w:tcPr>
            <w:tcW w:w="4452" w:type="dxa"/>
            <w:gridSpan w:val="7"/>
            <w:tcBorders>
              <w:top w:val="nil"/>
              <w:left w:val="nil"/>
              <w:right w:val="nil"/>
            </w:tcBorders>
            <w:noWrap/>
            <w:vAlign w:val="bottom"/>
          </w:tcPr>
          <w:p w:rsidR="006C0283" w:rsidRPr="00387BB5" w:rsidRDefault="006C0283" w:rsidP="00474B75">
            <w:pPr>
              <w:spacing w:before="60" w:line="200" w:lineRule="exact"/>
              <w:jc w:val="left"/>
              <w:rPr>
                <w:i/>
                <w:iCs/>
              </w:rPr>
            </w:pPr>
            <w:r w:rsidRPr="00387BB5">
              <w:rPr>
                <w:i/>
                <w:iCs/>
              </w:rPr>
              <w:t>Till Riksbankens dispositionsfond förs</w:t>
            </w:r>
          </w:p>
        </w:tc>
        <w:tc>
          <w:tcPr>
            <w:tcW w:w="960" w:type="dxa"/>
            <w:tcBorders>
              <w:top w:val="nil"/>
              <w:left w:val="nil"/>
              <w:right w:val="nil"/>
            </w:tcBorders>
            <w:noWrap/>
            <w:vAlign w:val="bottom"/>
          </w:tcPr>
          <w:p w:rsidR="006C0283" w:rsidRPr="00387BB5" w:rsidRDefault="006C0283" w:rsidP="00474B75">
            <w:pPr>
              <w:spacing w:before="60" w:line="200" w:lineRule="exact"/>
              <w:jc w:val="right"/>
            </w:pPr>
          </w:p>
        </w:tc>
      </w:tr>
      <w:tr w:rsidR="006C0283" w:rsidRPr="00387BB5" w:rsidTr="00474B75">
        <w:trPr>
          <w:trHeight w:val="255"/>
        </w:trPr>
        <w:tc>
          <w:tcPr>
            <w:tcW w:w="2895" w:type="dxa"/>
            <w:gridSpan w:val="4"/>
            <w:tcBorders>
              <w:top w:val="nil"/>
              <w:left w:val="nil"/>
              <w:bottom w:val="nil"/>
              <w:right w:val="nil"/>
            </w:tcBorders>
            <w:noWrap/>
            <w:vAlign w:val="bottom"/>
          </w:tcPr>
          <w:p w:rsidR="006C0283" w:rsidRPr="00387BB5" w:rsidRDefault="006C0283" w:rsidP="00474B75">
            <w:pPr>
              <w:spacing w:before="60" w:line="200" w:lineRule="exact"/>
              <w:jc w:val="left"/>
            </w:pPr>
            <w:r w:rsidRPr="00387BB5">
              <w:t>Valutakursvinst</w:t>
            </w:r>
          </w:p>
        </w:tc>
        <w:tc>
          <w:tcPr>
            <w:tcW w:w="1557" w:type="dxa"/>
            <w:gridSpan w:val="3"/>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r w:rsidRPr="00387BB5">
              <w:t>2 797</w:t>
            </w:r>
          </w:p>
        </w:tc>
      </w:tr>
      <w:tr w:rsidR="006C0283" w:rsidRPr="00387BB5" w:rsidTr="00474B75">
        <w:trPr>
          <w:trHeight w:val="255"/>
        </w:trPr>
        <w:tc>
          <w:tcPr>
            <w:tcW w:w="2895" w:type="dxa"/>
            <w:gridSpan w:val="4"/>
            <w:tcBorders>
              <w:top w:val="nil"/>
              <w:left w:val="nil"/>
              <w:bottom w:val="nil"/>
              <w:right w:val="nil"/>
            </w:tcBorders>
            <w:noWrap/>
            <w:vAlign w:val="bottom"/>
          </w:tcPr>
          <w:p w:rsidR="006C0283" w:rsidRPr="00387BB5" w:rsidRDefault="006C0283" w:rsidP="00474B75">
            <w:pPr>
              <w:spacing w:before="60" w:line="200" w:lineRule="exact"/>
              <w:jc w:val="left"/>
            </w:pPr>
            <w:r w:rsidRPr="00387BB5">
              <w:t>Guldvärdevinst</w:t>
            </w:r>
          </w:p>
        </w:tc>
        <w:tc>
          <w:tcPr>
            <w:tcW w:w="1557" w:type="dxa"/>
            <w:gridSpan w:val="3"/>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r w:rsidRPr="00387BB5">
              <w:t>1 592</w:t>
            </w:r>
          </w:p>
        </w:tc>
      </w:tr>
      <w:tr w:rsidR="006C0283" w:rsidRPr="00387BB5" w:rsidTr="00474B75">
        <w:trPr>
          <w:trHeight w:val="255"/>
        </w:trPr>
        <w:tc>
          <w:tcPr>
            <w:tcW w:w="2895" w:type="dxa"/>
            <w:gridSpan w:val="4"/>
            <w:tcBorders>
              <w:top w:val="nil"/>
              <w:left w:val="nil"/>
              <w:bottom w:val="nil"/>
              <w:right w:val="nil"/>
            </w:tcBorders>
            <w:noWrap/>
            <w:vAlign w:val="bottom"/>
          </w:tcPr>
          <w:p w:rsidR="006C0283" w:rsidRPr="00387BB5" w:rsidRDefault="006C0283" w:rsidP="00474B75">
            <w:pPr>
              <w:spacing w:before="60" w:line="200" w:lineRule="exact"/>
              <w:jc w:val="left"/>
            </w:pPr>
            <w:r w:rsidRPr="00387BB5">
              <w:t>10 % av 5 års genomsnitt</w:t>
            </w:r>
          </w:p>
        </w:tc>
        <w:tc>
          <w:tcPr>
            <w:tcW w:w="1557" w:type="dxa"/>
            <w:gridSpan w:val="3"/>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single" w:sz="4" w:space="0" w:color="auto"/>
              <w:right w:val="nil"/>
            </w:tcBorders>
            <w:noWrap/>
            <w:vAlign w:val="bottom"/>
          </w:tcPr>
          <w:p w:rsidR="006C0283" w:rsidRPr="00387BB5" w:rsidRDefault="006C0283" w:rsidP="00474B75">
            <w:pPr>
              <w:spacing w:before="60" w:line="200" w:lineRule="exact"/>
              <w:jc w:val="right"/>
            </w:pPr>
            <w:r w:rsidRPr="00387BB5">
              <w:t>729</w:t>
            </w:r>
          </w:p>
        </w:tc>
      </w:tr>
      <w:tr w:rsidR="006C0283" w:rsidRPr="00387BB5" w:rsidTr="00474B75">
        <w:trPr>
          <w:trHeight w:val="255"/>
        </w:trPr>
        <w:tc>
          <w:tcPr>
            <w:tcW w:w="1414" w:type="dxa"/>
            <w:tcBorders>
              <w:top w:val="nil"/>
              <w:left w:val="nil"/>
              <w:bottom w:val="nil"/>
              <w:right w:val="nil"/>
            </w:tcBorders>
            <w:noWrap/>
            <w:vAlign w:val="bottom"/>
          </w:tcPr>
          <w:p w:rsidR="006C0283" w:rsidRPr="00387BB5" w:rsidRDefault="006C0283" w:rsidP="00474B75">
            <w:pPr>
              <w:spacing w:before="60" w:line="200" w:lineRule="exact"/>
            </w:pPr>
            <w:r w:rsidRPr="00387BB5">
              <w:t>Summa</w:t>
            </w:r>
          </w:p>
        </w:tc>
        <w:tc>
          <w:tcPr>
            <w:tcW w:w="1481" w:type="dxa"/>
            <w:gridSpan w:val="3"/>
            <w:tcBorders>
              <w:top w:val="nil"/>
              <w:left w:val="nil"/>
              <w:bottom w:val="nil"/>
              <w:right w:val="nil"/>
            </w:tcBorders>
            <w:noWrap/>
            <w:vAlign w:val="bottom"/>
          </w:tcPr>
          <w:p w:rsidR="006C0283" w:rsidRPr="00387BB5" w:rsidRDefault="006C0283" w:rsidP="00474B75">
            <w:pPr>
              <w:spacing w:before="60" w:line="200" w:lineRule="exact"/>
            </w:pPr>
          </w:p>
        </w:tc>
        <w:tc>
          <w:tcPr>
            <w:tcW w:w="1557" w:type="dxa"/>
            <w:gridSpan w:val="3"/>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r w:rsidRPr="00387BB5">
              <w:t>5 118</w:t>
            </w:r>
          </w:p>
        </w:tc>
      </w:tr>
      <w:tr w:rsidR="006C0283" w:rsidRPr="00387BB5" w:rsidTr="00474B75">
        <w:trPr>
          <w:trHeight w:val="255"/>
        </w:trPr>
        <w:tc>
          <w:tcPr>
            <w:tcW w:w="1414" w:type="dxa"/>
            <w:tcBorders>
              <w:top w:val="nil"/>
              <w:left w:val="nil"/>
              <w:bottom w:val="nil"/>
              <w:right w:val="nil"/>
            </w:tcBorders>
            <w:noWrap/>
            <w:vAlign w:val="bottom"/>
          </w:tcPr>
          <w:p w:rsidR="006C0283" w:rsidRPr="00387BB5" w:rsidRDefault="006C0283" w:rsidP="00474B75">
            <w:pPr>
              <w:spacing w:before="60" w:line="200" w:lineRule="exact"/>
            </w:pPr>
          </w:p>
        </w:tc>
        <w:tc>
          <w:tcPr>
            <w:tcW w:w="1481" w:type="dxa"/>
            <w:gridSpan w:val="3"/>
            <w:tcBorders>
              <w:top w:val="nil"/>
              <w:left w:val="nil"/>
              <w:bottom w:val="nil"/>
              <w:right w:val="nil"/>
            </w:tcBorders>
            <w:noWrap/>
            <w:vAlign w:val="bottom"/>
          </w:tcPr>
          <w:p w:rsidR="006C0283" w:rsidRPr="00387BB5" w:rsidRDefault="006C0283" w:rsidP="00474B75">
            <w:pPr>
              <w:spacing w:before="60" w:line="200" w:lineRule="exact"/>
            </w:pPr>
          </w:p>
        </w:tc>
        <w:tc>
          <w:tcPr>
            <w:tcW w:w="1557" w:type="dxa"/>
            <w:gridSpan w:val="3"/>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pPr>
          </w:p>
        </w:tc>
      </w:tr>
      <w:tr w:rsidR="006C0283" w:rsidRPr="00387BB5" w:rsidTr="00474B75">
        <w:trPr>
          <w:trHeight w:val="255"/>
        </w:trPr>
        <w:tc>
          <w:tcPr>
            <w:tcW w:w="5412" w:type="dxa"/>
            <w:gridSpan w:val="8"/>
            <w:tcBorders>
              <w:top w:val="nil"/>
              <w:left w:val="nil"/>
              <w:bottom w:val="nil"/>
              <w:right w:val="nil"/>
            </w:tcBorders>
            <w:noWrap/>
            <w:vAlign w:val="bottom"/>
          </w:tcPr>
          <w:p w:rsidR="006C0283" w:rsidRPr="00387BB5" w:rsidRDefault="006C0283" w:rsidP="00474B75">
            <w:pPr>
              <w:spacing w:before="60" w:line="200" w:lineRule="exact"/>
              <w:rPr>
                <w:i/>
                <w:iCs/>
              </w:rPr>
            </w:pPr>
            <w:r w:rsidRPr="00387BB5">
              <w:rPr>
                <w:i/>
                <w:iCs/>
              </w:rPr>
              <w:t>Till Riksbankens resultatutjämningsfond förs</w:t>
            </w:r>
          </w:p>
        </w:tc>
      </w:tr>
      <w:tr w:rsidR="006C0283" w:rsidRPr="00387BB5" w:rsidTr="00474B75">
        <w:trPr>
          <w:trHeight w:val="255"/>
        </w:trPr>
        <w:tc>
          <w:tcPr>
            <w:tcW w:w="3255" w:type="dxa"/>
            <w:gridSpan w:val="6"/>
            <w:tcBorders>
              <w:top w:val="nil"/>
              <w:left w:val="nil"/>
              <w:bottom w:val="nil"/>
              <w:right w:val="nil"/>
            </w:tcBorders>
            <w:noWrap/>
            <w:vAlign w:val="bottom"/>
          </w:tcPr>
          <w:p w:rsidR="006C0283" w:rsidRPr="00387BB5" w:rsidRDefault="006C0283" w:rsidP="00474B75">
            <w:pPr>
              <w:spacing w:before="60" w:line="200" w:lineRule="exact"/>
            </w:pPr>
            <w:r w:rsidRPr="00387BB5">
              <w:t>10 % av 5 års genomsnitt</w:t>
            </w:r>
          </w:p>
        </w:tc>
        <w:tc>
          <w:tcPr>
            <w:tcW w:w="1197" w:type="dxa"/>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r w:rsidRPr="00387BB5">
              <w:t>729</w:t>
            </w:r>
          </w:p>
        </w:tc>
      </w:tr>
      <w:tr w:rsidR="006C0283" w:rsidRPr="00387BB5" w:rsidTr="00474B75">
        <w:trPr>
          <w:trHeight w:val="255"/>
        </w:trPr>
        <w:tc>
          <w:tcPr>
            <w:tcW w:w="3255" w:type="dxa"/>
            <w:gridSpan w:val="6"/>
            <w:tcBorders>
              <w:top w:val="nil"/>
              <w:left w:val="nil"/>
              <w:bottom w:val="nil"/>
              <w:right w:val="nil"/>
            </w:tcBorders>
            <w:noWrap/>
            <w:vAlign w:val="bottom"/>
          </w:tcPr>
          <w:p w:rsidR="006C0283" w:rsidRPr="00387BB5" w:rsidRDefault="006C0283" w:rsidP="00474B75">
            <w:pPr>
              <w:spacing w:before="60" w:line="200" w:lineRule="exact"/>
            </w:pPr>
            <w:r w:rsidRPr="00387BB5">
              <w:t>Orealiserad priseffektförlust</w:t>
            </w:r>
          </w:p>
        </w:tc>
        <w:tc>
          <w:tcPr>
            <w:tcW w:w="1197" w:type="dxa"/>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r w:rsidRPr="00387BB5">
              <w:t>5 623</w:t>
            </w:r>
          </w:p>
        </w:tc>
      </w:tr>
      <w:tr w:rsidR="006C0283" w:rsidRPr="00387BB5" w:rsidTr="00474B75">
        <w:trPr>
          <w:trHeight w:val="255"/>
        </w:trPr>
        <w:tc>
          <w:tcPr>
            <w:tcW w:w="3255" w:type="dxa"/>
            <w:gridSpan w:val="6"/>
            <w:tcBorders>
              <w:top w:val="nil"/>
              <w:left w:val="nil"/>
              <w:bottom w:val="nil"/>
              <w:right w:val="nil"/>
            </w:tcBorders>
            <w:noWrap/>
            <w:vAlign w:val="bottom"/>
          </w:tcPr>
          <w:p w:rsidR="006C0283" w:rsidRPr="00387BB5" w:rsidRDefault="006C0283" w:rsidP="00474B75">
            <w:pPr>
              <w:spacing w:before="60" w:line="200" w:lineRule="exact"/>
            </w:pPr>
            <w:r w:rsidRPr="00387BB5">
              <w:t>Avrundning inleverans</w:t>
            </w:r>
          </w:p>
        </w:tc>
        <w:tc>
          <w:tcPr>
            <w:tcW w:w="1197" w:type="dxa"/>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r w:rsidRPr="00387BB5">
              <w:t>28</w:t>
            </w:r>
          </w:p>
        </w:tc>
      </w:tr>
      <w:tr w:rsidR="006C0283" w:rsidRPr="00387BB5" w:rsidTr="00474B75">
        <w:trPr>
          <w:trHeight w:val="255"/>
        </w:trPr>
        <w:tc>
          <w:tcPr>
            <w:tcW w:w="4452" w:type="dxa"/>
            <w:gridSpan w:val="7"/>
            <w:tcBorders>
              <w:top w:val="nil"/>
              <w:left w:val="nil"/>
              <w:bottom w:val="nil"/>
              <w:right w:val="nil"/>
            </w:tcBorders>
            <w:noWrap/>
            <w:vAlign w:val="bottom"/>
          </w:tcPr>
          <w:p w:rsidR="006C0283" w:rsidRPr="00387BB5" w:rsidRDefault="006C0283" w:rsidP="00474B75">
            <w:pPr>
              <w:spacing w:before="60" w:line="200" w:lineRule="exact"/>
            </w:pPr>
            <w:r w:rsidRPr="00387BB5">
              <w:t>Årets inleveransgrundande resultat</w:t>
            </w: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p>
        </w:tc>
      </w:tr>
      <w:tr w:rsidR="006C0283" w:rsidRPr="00387BB5" w:rsidTr="00474B75">
        <w:trPr>
          <w:trHeight w:val="255"/>
        </w:trPr>
        <w:tc>
          <w:tcPr>
            <w:tcW w:w="4452" w:type="dxa"/>
            <w:gridSpan w:val="7"/>
            <w:tcBorders>
              <w:top w:val="nil"/>
              <w:left w:val="nil"/>
              <w:bottom w:val="nil"/>
              <w:right w:val="nil"/>
            </w:tcBorders>
            <w:noWrap/>
            <w:vAlign w:val="bottom"/>
          </w:tcPr>
          <w:p w:rsidR="006C0283" w:rsidRPr="00387BB5" w:rsidRDefault="006C0283" w:rsidP="00474B75">
            <w:pPr>
              <w:spacing w:before="60" w:line="200" w:lineRule="exact"/>
            </w:pPr>
            <w:r w:rsidRPr="00387BB5">
              <w:t>minskat med 5 års genomsnitt</w:t>
            </w:r>
          </w:p>
        </w:tc>
        <w:tc>
          <w:tcPr>
            <w:tcW w:w="960" w:type="dxa"/>
            <w:tcBorders>
              <w:top w:val="nil"/>
              <w:left w:val="nil"/>
              <w:bottom w:val="single" w:sz="4" w:space="0" w:color="auto"/>
              <w:right w:val="nil"/>
            </w:tcBorders>
            <w:noWrap/>
            <w:vAlign w:val="bottom"/>
          </w:tcPr>
          <w:p w:rsidR="006C0283" w:rsidRPr="00387BB5" w:rsidRDefault="006C0283" w:rsidP="00474B75">
            <w:pPr>
              <w:spacing w:before="60" w:line="200" w:lineRule="exact"/>
              <w:jc w:val="right"/>
            </w:pPr>
            <w:r w:rsidRPr="00387BB5">
              <w:t>–3 094</w:t>
            </w:r>
          </w:p>
        </w:tc>
      </w:tr>
      <w:tr w:rsidR="006C0283" w:rsidRPr="00387BB5" w:rsidTr="00FF7E25">
        <w:trPr>
          <w:trHeight w:val="255"/>
        </w:trPr>
        <w:tc>
          <w:tcPr>
            <w:tcW w:w="1414" w:type="dxa"/>
            <w:tcBorders>
              <w:top w:val="nil"/>
              <w:left w:val="nil"/>
              <w:right w:val="nil"/>
            </w:tcBorders>
            <w:noWrap/>
            <w:vAlign w:val="bottom"/>
          </w:tcPr>
          <w:p w:rsidR="006C0283" w:rsidRPr="00387BB5" w:rsidRDefault="006C0283" w:rsidP="00474B75">
            <w:pPr>
              <w:spacing w:before="60" w:line="200" w:lineRule="exact"/>
            </w:pPr>
            <w:r w:rsidRPr="00387BB5">
              <w:t>Summa</w:t>
            </w:r>
          </w:p>
        </w:tc>
        <w:tc>
          <w:tcPr>
            <w:tcW w:w="994" w:type="dxa"/>
            <w:tcBorders>
              <w:top w:val="nil"/>
              <w:left w:val="nil"/>
              <w:right w:val="nil"/>
            </w:tcBorders>
            <w:noWrap/>
            <w:vAlign w:val="bottom"/>
          </w:tcPr>
          <w:p w:rsidR="006C0283" w:rsidRPr="00387BB5" w:rsidRDefault="006C0283" w:rsidP="00474B75">
            <w:pPr>
              <w:spacing w:before="60" w:line="200" w:lineRule="exact"/>
            </w:pPr>
          </w:p>
        </w:tc>
        <w:tc>
          <w:tcPr>
            <w:tcW w:w="2044" w:type="dxa"/>
            <w:gridSpan w:val="5"/>
            <w:tcBorders>
              <w:top w:val="nil"/>
              <w:left w:val="nil"/>
              <w:right w:val="nil"/>
            </w:tcBorders>
            <w:noWrap/>
            <w:vAlign w:val="bottom"/>
          </w:tcPr>
          <w:p w:rsidR="006C0283" w:rsidRPr="00387BB5" w:rsidRDefault="006C0283" w:rsidP="00474B75">
            <w:pPr>
              <w:spacing w:before="60" w:line="200" w:lineRule="exact"/>
            </w:pPr>
          </w:p>
        </w:tc>
        <w:tc>
          <w:tcPr>
            <w:tcW w:w="960" w:type="dxa"/>
            <w:tcBorders>
              <w:top w:val="nil"/>
              <w:left w:val="nil"/>
              <w:right w:val="nil"/>
            </w:tcBorders>
            <w:noWrap/>
            <w:vAlign w:val="bottom"/>
          </w:tcPr>
          <w:p w:rsidR="006C0283" w:rsidRPr="00387BB5" w:rsidRDefault="006C0283" w:rsidP="00474B75">
            <w:pPr>
              <w:spacing w:before="60" w:line="200" w:lineRule="exact"/>
              <w:jc w:val="right"/>
            </w:pPr>
            <w:r w:rsidRPr="00387BB5">
              <w:t>3 286</w:t>
            </w:r>
          </w:p>
        </w:tc>
      </w:tr>
      <w:tr w:rsidR="006C0283" w:rsidRPr="00387BB5" w:rsidTr="00FF7E25">
        <w:trPr>
          <w:trHeight w:val="255"/>
        </w:trPr>
        <w:tc>
          <w:tcPr>
            <w:tcW w:w="4452" w:type="dxa"/>
            <w:gridSpan w:val="7"/>
            <w:tcBorders>
              <w:top w:val="nil"/>
              <w:left w:val="nil"/>
              <w:right w:val="nil"/>
            </w:tcBorders>
            <w:noWrap/>
            <w:vAlign w:val="bottom"/>
          </w:tcPr>
          <w:p w:rsidR="006C0283" w:rsidRPr="00387BB5" w:rsidRDefault="006C0283" w:rsidP="00FF7E25">
            <w:pPr>
              <w:spacing w:before="60" w:line="200" w:lineRule="exact"/>
              <w:jc w:val="left"/>
              <w:rPr>
                <w:b/>
                <w:bCs/>
              </w:rPr>
            </w:pPr>
            <w:r w:rsidRPr="00387BB5">
              <w:rPr>
                <w:b/>
                <w:bCs/>
              </w:rPr>
              <w:t>5. Förslag till vinstdisposition</w:t>
            </w:r>
          </w:p>
        </w:tc>
        <w:tc>
          <w:tcPr>
            <w:tcW w:w="960" w:type="dxa"/>
            <w:tcBorders>
              <w:top w:val="nil"/>
              <w:left w:val="nil"/>
              <w:right w:val="nil"/>
            </w:tcBorders>
            <w:noWrap/>
            <w:vAlign w:val="bottom"/>
          </w:tcPr>
          <w:p w:rsidR="006C0283" w:rsidRPr="00387BB5" w:rsidRDefault="006C0283" w:rsidP="00474B75">
            <w:pPr>
              <w:spacing w:before="60" w:line="200" w:lineRule="exact"/>
              <w:jc w:val="right"/>
            </w:pPr>
          </w:p>
        </w:tc>
      </w:tr>
      <w:tr w:rsidR="006C0283" w:rsidRPr="00387BB5" w:rsidTr="00474B75">
        <w:trPr>
          <w:trHeight w:val="255"/>
        </w:trPr>
        <w:tc>
          <w:tcPr>
            <w:tcW w:w="1414" w:type="dxa"/>
            <w:tcBorders>
              <w:top w:val="nil"/>
              <w:left w:val="nil"/>
              <w:bottom w:val="nil"/>
              <w:right w:val="nil"/>
            </w:tcBorders>
            <w:noWrap/>
            <w:vAlign w:val="bottom"/>
          </w:tcPr>
          <w:p w:rsidR="006C0283" w:rsidRPr="00387BB5" w:rsidRDefault="006C0283" w:rsidP="00FF7E25">
            <w:pPr>
              <w:spacing w:before="60" w:line="200" w:lineRule="exact"/>
              <w:jc w:val="left"/>
            </w:pPr>
          </w:p>
        </w:tc>
        <w:tc>
          <w:tcPr>
            <w:tcW w:w="994" w:type="dxa"/>
            <w:tcBorders>
              <w:top w:val="nil"/>
              <w:left w:val="nil"/>
              <w:bottom w:val="nil"/>
              <w:right w:val="nil"/>
            </w:tcBorders>
            <w:noWrap/>
            <w:vAlign w:val="bottom"/>
          </w:tcPr>
          <w:p w:rsidR="006C0283" w:rsidRPr="00387BB5" w:rsidRDefault="006C0283" w:rsidP="00FF7E25">
            <w:pPr>
              <w:spacing w:before="60" w:line="200" w:lineRule="exact"/>
              <w:jc w:val="left"/>
            </w:pPr>
          </w:p>
        </w:tc>
        <w:tc>
          <w:tcPr>
            <w:tcW w:w="2044" w:type="dxa"/>
            <w:gridSpan w:val="5"/>
            <w:tcBorders>
              <w:top w:val="nil"/>
              <w:left w:val="nil"/>
              <w:bottom w:val="nil"/>
              <w:right w:val="nil"/>
            </w:tcBorders>
            <w:noWrap/>
            <w:vAlign w:val="bottom"/>
          </w:tcPr>
          <w:p w:rsidR="006C0283" w:rsidRPr="00387BB5" w:rsidRDefault="006C0283" w:rsidP="00FF7E25">
            <w:pPr>
              <w:spacing w:before="60" w:line="200" w:lineRule="exact"/>
              <w:jc w:val="left"/>
            </w:pP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p>
        </w:tc>
      </w:tr>
      <w:tr w:rsidR="006C0283" w:rsidRPr="00387BB5" w:rsidTr="00474B75">
        <w:trPr>
          <w:trHeight w:val="255"/>
        </w:trPr>
        <w:tc>
          <w:tcPr>
            <w:tcW w:w="2408" w:type="dxa"/>
            <w:gridSpan w:val="2"/>
            <w:tcBorders>
              <w:top w:val="nil"/>
              <w:left w:val="nil"/>
              <w:bottom w:val="nil"/>
              <w:right w:val="nil"/>
            </w:tcBorders>
            <w:noWrap/>
            <w:vAlign w:val="bottom"/>
          </w:tcPr>
          <w:p w:rsidR="006C0283" w:rsidRPr="00387BB5" w:rsidRDefault="006C0283" w:rsidP="00FF7E25">
            <w:pPr>
              <w:spacing w:before="60" w:line="200" w:lineRule="exact"/>
              <w:jc w:val="left"/>
            </w:pPr>
            <w:r w:rsidRPr="00387BB5">
              <w:t>Inleverans till statsverket</w:t>
            </w:r>
          </w:p>
        </w:tc>
        <w:tc>
          <w:tcPr>
            <w:tcW w:w="2044" w:type="dxa"/>
            <w:gridSpan w:val="5"/>
            <w:tcBorders>
              <w:top w:val="nil"/>
              <w:left w:val="nil"/>
              <w:bottom w:val="nil"/>
              <w:right w:val="nil"/>
            </w:tcBorders>
            <w:noWrap/>
            <w:vAlign w:val="bottom"/>
          </w:tcPr>
          <w:p w:rsidR="006C0283" w:rsidRPr="00387BB5" w:rsidRDefault="006C0283" w:rsidP="00FF7E25">
            <w:pPr>
              <w:spacing w:before="60" w:line="200" w:lineRule="exact"/>
              <w:jc w:val="left"/>
            </w:pP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r w:rsidRPr="00387BB5">
              <w:t>5 800</w:t>
            </w:r>
          </w:p>
        </w:tc>
      </w:tr>
      <w:tr w:rsidR="006C0283" w:rsidRPr="00387BB5" w:rsidTr="00474B75">
        <w:trPr>
          <w:trHeight w:val="255"/>
        </w:trPr>
        <w:tc>
          <w:tcPr>
            <w:tcW w:w="4452" w:type="dxa"/>
            <w:gridSpan w:val="7"/>
            <w:tcBorders>
              <w:top w:val="nil"/>
              <w:left w:val="nil"/>
              <w:bottom w:val="nil"/>
              <w:right w:val="nil"/>
            </w:tcBorders>
            <w:noWrap/>
            <w:vAlign w:val="bottom"/>
          </w:tcPr>
          <w:p w:rsidR="006C0283" w:rsidRPr="00387BB5" w:rsidRDefault="006C0283" w:rsidP="00FF7E25">
            <w:pPr>
              <w:spacing w:before="60" w:line="200" w:lineRule="exact"/>
              <w:jc w:val="left"/>
            </w:pPr>
            <w:r w:rsidRPr="00387BB5">
              <w:t>Till Riksbankens dispositionsfond förs</w:t>
            </w: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r w:rsidRPr="00387BB5">
              <w:t>5 118</w:t>
            </w:r>
          </w:p>
        </w:tc>
      </w:tr>
      <w:tr w:rsidR="006C0283" w:rsidRPr="00387BB5" w:rsidTr="00474B75">
        <w:trPr>
          <w:trHeight w:val="255"/>
        </w:trPr>
        <w:tc>
          <w:tcPr>
            <w:tcW w:w="4452" w:type="dxa"/>
            <w:gridSpan w:val="7"/>
            <w:tcBorders>
              <w:top w:val="nil"/>
              <w:left w:val="nil"/>
              <w:bottom w:val="nil"/>
              <w:right w:val="nil"/>
            </w:tcBorders>
            <w:noWrap/>
            <w:vAlign w:val="bottom"/>
          </w:tcPr>
          <w:p w:rsidR="006C0283" w:rsidRPr="00387BB5" w:rsidRDefault="006C0283" w:rsidP="00FF7E25">
            <w:pPr>
              <w:spacing w:before="60" w:line="200" w:lineRule="exact"/>
              <w:jc w:val="left"/>
            </w:pPr>
            <w:r w:rsidRPr="00387BB5">
              <w:t>Till Riksbankens resultatutjämningsfond förs</w:t>
            </w:r>
          </w:p>
        </w:tc>
        <w:tc>
          <w:tcPr>
            <w:tcW w:w="960" w:type="dxa"/>
            <w:tcBorders>
              <w:top w:val="nil"/>
              <w:left w:val="nil"/>
              <w:bottom w:val="single" w:sz="4" w:space="0" w:color="auto"/>
              <w:right w:val="nil"/>
            </w:tcBorders>
            <w:noWrap/>
            <w:vAlign w:val="bottom"/>
          </w:tcPr>
          <w:p w:rsidR="006C0283" w:rsidRPr="00387BB5" w:rsidRDefault="006C0283" w:rsidP="00474B75">
            <w:pPr>
              <w:spacing w:before="60" w:line="200" w:lineRule="exact"/>
              <w:jc w:val="right"/>
            </w:pPr>
            <w:r w:rsidRPr="00387BB5">
              <w:t>3 286</w:t>
            </w:r>
          </w:p>
        </w:tc>
      </w:tr>
      <w:tr w:rsidR="006C0283" w:rsidRPr="00387BB5" w:rsidTr="00474B75">
        <w:trPr>
          <w:trHeight w:val="255"/>
        </w:trPr>
        <w:tc>
          <w:tcPr>
            <w:tcW w:w="3255" w:type="dxa"/>
            <w:gridSpan w:val="6"/>
            <w:tcBorders>
              <w:top w:val="nil"/>
              <w:left w:val="nil"/>
              <w:bottom w:val="nil"/>
              <w:right w:val="nil"/>
            </w:tcBorders>
            <w:noWrap/>
            <w:vAlign w:val="bottom"/>
          </w:tcPr>
          <w:p w:rsidR="006C0283" w:rsidRPr="00387BB5" w:rsidRDefault="006C0283" w:rsidP="00FF7E25">
            <w:pPr>
              <w:spacing w:before="60" w:line="200" w:lineRule="exact"/>
              <w:jc w:val="left"/>
            </w:pPr>
            <w:r w:rsidRPr="00387BB5">
              <w:t>Redovisat resultat</w:t>
            </w:r>
          </w:p>
        </w:tc>
        <w:tc>
          <w:tcPr>
            <w:tcW w:w="1197" w:type="dxa"/>
            <w:tcBorders>
              <w:top w:val="nil"/>
              <w:left w:val="nil"/>
              <w:bottom w:val="nil"/>
              <w:right w:val="nil"/>
            </w:tcBorders>
            <w:noWrap/>
            <w:vAlign w:val="bottom"/>
          </w:tcPr>
          <w:p w:rsidR="006C0283" w:rsidRPr="00387BB5" w:rsidRDefault="006C0283" w:rsidP="00474B75">
            <w:pPr>
              <w:spacing w:before="60" w:line="200" w:lineRule="exact"/>
            </w:pPr>
          </w:p>
        </w:tc>
        <w:tc>
          <w:tcPr>
            <w:tcW w:w="960" w:type="dxa"/>
            <w:tcBorders>
              <w:top w:val="nil"/>
              <w:left w:val="nil"/>
              <w:bottom w:val="nil"/>
              <w:right w:val="nil"/>
            </w:tcBorders>
            <w:noWrap/>
            <w:vAlign w:val="bottom"/>
          </w:tcPr>
          <w:p w:rsidR="006C0283" w:rsidRPr="00387BB5" w:rsidRDefault="006C0283" w:rsidP="00474B75">
            <w:pPr>
              <w:spacing w:before="60" w:line="200" w:lineRule="exact"/>
              <w:jc w:val="right"/>
            </w:pPr>
            <w:r w:rsidRPr="00387BB5">
              <w:t>14 204</w:t>
            </w:r>
          </w:p>
        </w:tc>
      </w:tr>
    </w:tbl>
    <w:p w:rsidR="00C911BC" w:rsidRPr="00387BB5" w:rsidRDefault="00C911BC" w:rsidP="00C911BC"/>
    <w:p w:rsidR="00C911BC" w:rsidRPr="00387BB5" w:rsidRDefault="00C911BC" w:rsidP="00C911BC">
      <w:pPr>
        <w:pStyle w:val="Normaltindrag"/>
      </w:pPr>
      <w:bookmarkStart w:id="13" w:name="Nästa_Reservation"/>
      <w:bookmarkEnd w:id="13"/>
    </w:p>
    <w:p w:rsidR="00073628" w:rsidRPr="00387BB5" w:rsidRDefault="00073628" w:rsidP="00C911BC"/>
    <w:p w:rsidR="00073628" w:rsidRPr="00387BB5" w:rsidRDefault="00073628" w:rsidP="00073628">
      <w:pPr>
        <w:pStyle w:val="Tryckort"/>
        <w:framePr w:wrap="around"/>
      </w:pPr>
      <w:r w:rsidRPr="00387BB5">
        <w:t>Elanders, Vällingby  2010</w:t>
      </w:r>
    </w:p>
    <w:p w:rsidR="00C911BC" w:rsidRPr="00387BB5" w:rsidRDefault="00C911BC" w:rsidP="00073628">
      <w:pPr>
        <w:pStyle w:val="Normaltindrag"/>
      </w:pPr>
    </w:p>
    <w:sectPr w:rsidR="00C911BC" w:rsidRPr="00387BB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5BC5" w:rsidRPr="00387BB5" w:rsidRDefault="00CC5BC5">
      <w:r w:rsidRPr="00387BB5">
        <w:separator/>
      </w:r>
    </w:p>
  </w:endnote>
  <w:endnote w:type="continuationSeparator" w:id="0">
    <w:p w:rsidR="00CC5BC5" w:rsidRPr="00387BB5" w:rsidRDefault="00CC5BC5">
      <w:r w:rsidRPr="00387B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fotV"/>
      <w:framePr w:w="8732" w:h="284" w:hRule="exact" w:hSpace="0" w:vSpace="0" w:wrap="around" w:xAlign="inside" w:y="13042" w:anchorLock="0"/>
    </w:pP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Pr="00387BB5">
      <w:t>2</w:t>
    </w:r>
    <w:r w:rsidRPr="00387BB5">
      <w:fldChar w:fldCharType="end"/>
    </w:r>
  </w:p>
  <w:p w:rsidR="00CC5BC5" w:rsidRPr="00387BB5" w:rsidRDefault="00CC5BC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fotV"/>
      <w:framePr w:w="8732" w:h="284" w:hRule="exact" w:hSpace="0" w:vSpace="0" w:wrap="around" w:xAlign="inside" w:y="13042" w:anchorLock="0"/>
    </w:pP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Pr="00387BB5">
      <w:t>6</w:t>
    </w:r>
    <w:r w:rsidRPr="00387BB5">
      <w:fldChar w:fldCharType="end"/>
    </w:r>
  </w:p>
  <w:p w:rsidR="00CC5BC5" w:rsidRPr="00387BB5" w:rsidRDefault="00CC5BC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fotH"/>
      <w:framePr w:w="8732" w:h="284" w:hRule="exact" w:hSpace="0" w:vSpace="0" w:wrap="around" w:xAlign="inside" w:y="13042" w:anchorLock="0"/>
    </w:pP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006D624A" w:rsidRPr="00387BB5">
      <w:t>5</w:t>
    </w:r>
    <w:r w:rsidRPr="00387BB5">
      <w:fldChar w:fldCharType="end"/>
    </w:r>
  </w:p>
  <w:p w:rsidR="00CC5BC5" w:rsidRPr="00387BB5" w:rsidRDefault="00CC5BC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fotV"/>
      <w:framePr w:w="8732" w:h="284" w:hRule="exact" w:hSpace="0" w:vSpace="0" w:wrap="around" w:xAlign="inside" w:y="13042" w:anchorLock="0"/>
    </w:pPr>
    <w:r w:rsidRPr="00387BB5">
      <w:fldChar w:fldCharType="begin" w:fldLock="1"/>
    </w:r>
    <w:r w:rsidRPr="00387BB5">
      <w:instrText xml:space="preserve"> if </w:instrText>
    </w:r>
    <w:r w:rsidRPr="00387BB5">
      <w:fldChar w:fldCharType="begin" w:fldLock="1"/>
    </w:r>
    <w:r w:rsidRPr="00387BB5">
      <w:instrText xml:space="preserve"> = </w:instrText>
    </w:r>
    <w:r w:rsidRPr="00387BB5">
      <w:fldChar w:fldCharType="begin" w:fldLock="1"/>
    </w:r>
    <w:r w:rsidRPr="00387BB5">
      <w:instrText xml:space="preserve"> = </w:instrText>
    </w:r>
    <w:r w:rsidRPr="00387BB5">
      <w:fldChar w:fldCharType="begin" w:fldLock="1"/>
    </w:r>
    <w:r w:rsidRPr="00387BB5">
      <w:instrText xml:space="preserve"> page</w:instrText>
    </w:r>
    <w:r w:rsidRPr="00387BB5">
      <w:fldChar w:fldCharType="separate"/>
    </w:r>
    <w:r w:rsidR="006D624A" w:rsidRPr="00387BB5">
      <w:instrText>4</w:instrText>
    </w:r>
    <w:r w:rsidRPr="00387BB5">
      <w:fldChar w:fldCharType="end"/>
    </w:r>
    <w:r w:rsidRPr="00387BB5">
      <w:instrText xml:space="preserve">/2 </w:instrText>
    </w:r>
    <w:r w:rsidRPr="00387BB5">
      <w:fldChar w:fldCharType="separate"/>
    </w:r>
    <w:r w:rsidR="006D624A" w:rsidRPr="00387BB5">
      <w:instrText>2</w:instrText>
    </w:r>
    <w:r w:rsidRPr="00387BB5">
      <w:fldChar w:fldCharType="end"/>
    </w:r>
    <w:r w:rsidRPr="00387BB5">
      <w:instrText xml:space="preserve"> - </w:instrText>
    </w:r>
    <w:r w:rsidRPr="00387BB5">
      <w:fldChar w:fldCharType="begin" w:fldLock="1"/>
    </w:r>
    <w:r w:rsidRPr="00387BB5">
      <w:instrText xml:space="preserve"> = int(</w:instrText>
    </w:r>
    <w:r w:rsidRPr="00387BB5">
      <w:fldChar w:fldCharType="begin" w:fldLock="1"/>
    </w:r>
    <w:r w:rsidRPr="00387BB5">
      <w:instrText xml:space="preserve"> page</w:instrText>
    </w:r>
    <w:r w:rsidRPr="00387BB5">
      <w:fldChar w:fldCharType="separate"/>
    </w:r>
    <w:r w:rsidR="006D624A" w:rsidRPr="00387BB5">
      <w:instrText>4</w:instrText>
    </w:r>
    <w:r w:rsidRPr="00387BB5">
      <w:fldChar w:fldCharType="end"/>
    </w:r>
    <w:r w:rsidRPr="00387BB5">
      <w:instrText xml:space="preserve">/2) </w:instrText>
    </w:r>
    <w:r w:rsidRPr="00387BB5">
      <w:fldChar w:fldCharType="separate"/>
    </w:r>
    <w:r w:rsidR="006D624A" w:rsidRPr="00387BB5">
      <w:instrText>2</w:instrText>
    </w:r>
    <w:r w:rsidRPr="00387BB5">
      <w:fldChar w:fldCharType="end"/>
    </w:r>
    <w:r w:rsidRPr="00387BB5">
      <w:fldChar w:fldCharType="separate"/>
    </w:r>
    <w:r w:rsidR="006D624A" w:rsidRPr="00387BB5">
      <w:instrText>0</w:instrText>
    </w:r>
    <w:r w:rsidRPr="00387BB5">
      <w:fldChar w:fldCharType="end"/>
    </w:r>
    <w:r w:rsidRPr="00387BB5">
      <w:instrText xml:space="preserve"> = 0 "</w:instrText>
    </w: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006D624A" w:rsidRPr="00387BB5">
      <w:instrText>4</w:instrText>
    </w:r>
    <w:r w:rsidRPr="00387BB5">
      <w:fldChar w:fldCharType="end"/>
    </w:r>
  </w:p>
  <w:p w:rsidR="006D624A" w:rsidRPr="00387BB5" w:rsidRDefault="00CC5BC5">
    <w:pPr>
      <w:pStyle w:val="SidfotV"/>
      <w:framePr w:w="8732" w:h="284" w:hRule="exact" w:hSpace="0" w:vSpace="0" w:wrap="around" w:xAlign="inside" w:y="13042" w:anchorLock="0"/>
    </w:pPr>
    <w:r w:rsidRPr="00387BB5">
      <w:instrText>""</w:instrText>
    </w: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Pr="00387BB5">
      <w:instrText>5</w:instrText>
    </w:r>
    <w:r w:rsidRPr="00387BB5">
      <w:fldChar w:fldCharType="end"/>
    </w:r>
    <w:r w:rsidRPr="00387BB5">
      <w:instrText>"</w:instrText>
    </w:r>
    <w:r w:rsidRPr="00387BB5">
      <w:fldChar w:fldCharType="separate"/>
    </w:r>
    <w:r w:rsidR="006D624A" w:rsidRPr="00387BB5">
      <w:t>4</w:t>
    </w:r>
  </w:p>
  <w:p w:rsidR="00CC5BC5" w:rsidRPr="00387BB5" w:rsidRDefault="00CC5BC5">
    <w:pPr>
      <w:pStyle w:val="SidfotH"/>
      <w:framePr w:w="8732" w:h="284" w:hRule="exact" w:hSpace="0" w:vSpace="0" w:wrap="around" w:xAlign="inside" w:y="13042" w:anchorLock="0"/>
    </w:pPr>
    <w:r w:rsidRPr="00387BB5">
      <w:fldChar w:fldCharType="end"/>
    </w:r>
  </w:p>
  <w:p w:rsidR="00CC5BC5" w:rsidRPr="00387BB5" w:rsidRDefault="00CC5BC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fotV"/>
      <w:framePr w:w="8732" w:h="284" w:hRule="exact" w:hSpace="0" w:vSpace="0" w:wrap="around" w:xAlign="inside" w:y="13042" w:anchorLock="0"/>
    </w:pP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006D624A" w:rsidRPr="00387BB5">
      <w:t>8</w:t>
    </w:r>
    <w:r w:rsidRPr="00387BB5">
      <w:fldChar w:fldCharType="end"/>
    </w:r>
  </w:p>
  <w:p w:rsidR="00CC5BC5" w:rsidRPr="00387BB5" w:rsidRDefault="00CC5BC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fotH"/>
      <w:framePr w:w="8732" w:h="284" w:hRule="exact" w:hSpace="0" w:vSpace="0" w:wrap="around" w:xAlign="inside" w:y="13042" w:anchorLock="0"/>
    </w:pP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006D624A" w:rsidRPr="00387BB5">
      <w:t>9</w:t>
    </w:r>
    <w:r w:rsidRPr="00387BB5">
      <w:fldChar w:fldCharType="end"/>
    </w:r>
  </w:p>
  <w:p w:rsidR="00CC5BC5" w:rsidRPr="00387BB5" w:rsidRDefault="00CC5BC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fotV"/>
      <w:framePr w:w="8732" w:h="284" w:hRule="exact" w:hSpace="0" w:vSpace="0" w:wrap="around" w:xAlign="inside" w:y="13042" w:anchorLock="0"/>
    </w:pPr>
    <w:r w:rsidRPr="00387BB5">
      <w:fldChar w:fldCharType="begin" w:fldLock="1"/>
    </w:r>
    <w:r w:rsidRPr="00387BB5">
      <w:instrText xml:space="preserve"> if </w:instrText>
    </w:r>
    <w:r w:rsidRPr="00387BB5">
      <w:fldChar w:fldCharType="begin" w:fldLock="1"/>
    </w:r>
    <w:r w:rsidRPr="00387BB5">
      <w:instrText xml:space="preserve"> = </w:instrText>
    </w:r>
    <w:r w:rsidRPr="00387BB5">
      <w:fldChar w:fldCharType="begin" w:fldLock="1"/>
    </w:r>
    <w:r w:rsidRPr="00387BB5">
      <w:instrText xml:space="preserve"> = </w:instrText>
    </w:r>
    <w:r w:rsidRPr="00387BB5">
      <w:fldChar w:fldCharType="begin" w:fldLock="1"/>
    </w:r>
    <w:r w:rsidRPr="00387BB5">
      <w:instrText xml:space="preserve"> page</w:instrText>
    </w:r>
    <w:r w:rsidRPr="00387BB5">
      <w:fldChar w:fldCharType="separate"/>
    </w:r>
    <w:r w:rsidR="006D624A" w:rsidRPr="00387BB5">
      <w:instrText>6</w:instrText>
    </w:r>
    <w:r w:rsidRPr="00387BB5">
      <w:fldChar w:fldCharType="end"/>
    </w:r>
    <w:r w:rsidRPr="00387BB5">
      <w:instrText xml:space="preserve">/2 </w:instrText>
    </w:r>
    <w:r w:rsidRPr="00387BB5">
      <w:fldChar w:fldCharType="separate"/>
    </w:r>
    <w:r w:rsidR="006D624A" w:rsidRPr="00387BB5">
      <w:instrText>3</w:instrText>
    </w:r>
    <w:r w:rsidRPr="00387BB5">
      <w:fldChar w:fldCharType="end"/>
    </w:r>
    <w:r w:rsidRPr="00387BB5">
      <w:instrText xml:space="preserve"> - </w:instrText>
    </w:r>
    <w:r w:rsidRPr="00387BB5">
      <w:fldChar w:fldCharType="begin" w:fldLock="1"/>
    </w:r>
    <w:r w:rsidRPr="00387BB5">
      <w:instrText xml:space="preserve"> = int(</w:instrText>
    </w:r>
    <w:r w:rsidRPr="00387BB5">
      <w:fldChar w:fldCharType="begin" w:fldLock="1"/>
    </w:r>
    <w:r w:rsidRPr="00387BB5">
      <w:instrText xml:space="preserve"> page</w:instrText>
    </w:r>
    <w:r w:rsidRPr="00387BB5">
      <w:fldChar w:fldCharType="separate"/>
    </w:r>
    <w:r w:rsidR="006D624A" w:rsidRPr="00387BB5">
      <w:instrText>6</w:instrText>
    </w:r>
    <w:r w:rsidRPr="00387BB5">
      <w:fldChar w:fldCharType="end"/>
    </w:r>
    <w:r w:rsidRPr="00387BB5">
      <w:instrText xml:space="preserve">/2) </w:instrText>
    </w:r>
    <w:r w:rsidRPr="00387BB5">
      <w:fldChar w:fldCharType="separate"/>
    </w:r>
    <w:r w:rsidR="006D624A" w:rsidRPr="00387BB5">
      <w:instrText>3</w:instrText>
    </w:r>
    <w:r w:rsidRPr="00387BB5">
      <w:fldChar w:fldCharType="end"/>
    </w:r>
    <w:r w:rsidRPr="00387BB5">
      <w:fldChar w:fldCharType="separate"/>
    </w:r>
    <w:r w:rsidR="006D624A" w:rsidRPr="00387BB5">
      <w:instrText>0</w:instrText>
    </w:r>
    <w:r w:rsidRPr="00387BB5">
      <w:fldChar w:fldCharType="end"/>
    </w:r>
    <w:r w:rsidRPr="00387BB5">
      <w:instrText xml:space="preserve"> = 0 "</w:instrText>
    </w: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006D624A" w:rsidRPr="00387BB5">
      <w:instrText>6</w:instrText>
    </w:r>
    <w:r w:rsidRPr="00387BB5">
      <w:fldChar w:fldCharType="end"/>
    </w:r>
  </w:p>
  <w:p w:rsidR="006D624A" w:rsidRPr="00387BB5" w:rsidRDefault="00CC5BC5">
    <w:pPr>
      <w:pStyle w:val="SidfotV"/>
      <w:framePr w:w="8732" w:h="284" w:hRule="exact" w:hSpace="0" w:vSpace="0" w:wrap="around" w:xAlign="inside" w:y="13042" w:anchorLock="0"/>
    </w:pPr>
    <w:r w:rsidRPr="00387BB5">
      <w:instrText>""</w:instrText>
    </w: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Pr="00387BB5">
      <w:instrText>7</w:instrText>
    </w:r>
    <w:r w:rsidRPr="00387BB5">
      <w:fldChar w:fldCharType="end"/>
    </w:r>
    <w:r w:rsidRPr="00387BB5">
      <w:instrText>"</w:instrText>
    </w:r>
    <w:r w:rsidRPr="00387BB5">
      <w:fldChar w:fldCharType="separate"/>
    </w:r>
    <w:r w:rsidR="006D624A" w:rsidRPr="00387BB5">
      <w:t>6</w:t>
    </w:r>
  </w:p>
  <w:p w:rsidR="00CC5BC5" w:rsidRPr="00387BB5" w:rsidRDefault="00CC5BC5">
    <w:pPr>
      <w:pStyle w:val="SidfotH"/>
      <w:framePr w:w="8732" w:h="284" w:hRule="exact" w:hSpace="0" w:vSpace="0" w:wrap="around" w:xAlign="inside" w:y="13042" w:anchorLock="0"/>
    </w:pPr>
    <w:r w:rsidRPr="00387BB5">
      <w:fldChar w:fldCharType="end"/>
    </w:r>
  </w:p>
  <w:p w:rsidR="00CC5BC5" w:rsidRPr="00387BB5" w:rsidRDefault="00CC5BC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fotV"/>
      <w:framePr w:w="8732" w:h="284" w:hRule="exact" w:hSpace="0" w:vSpace="0" w:wrap="around" w:xAlign="inside" w:y="13042" w:anchorLock="0"/>
    </w:pP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Pr="00387BB5">
      <w:t>12</w:t>
    </w:r>
    <w:r w:rsidRPr="00387BB5">
      <w:fldChar w:fldCharType="end"/>
    </w:r>
  </w:p>
  <w:p w:rsidR="00CC5BC5" w:rsidRPr="00387BB5" w:rsidRDefault="00CC5BC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fotH"/>
      <w:framePr w:w="8732" w:h="284" w:hRule="exact" w:hSpace="0" w:vSpace="0" w:wrap="around" w:xAlign="inside" w:y="13042" w:anchorLock="0"/>
    </w:pP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006D624A" w:rsidRPr="00387BB5">
      <w:t>11</w:t>
    </w:r>
    <w:r w:rsidRPr="00387BB5">
      <w:fldChar w:fldCharType="end"/>
    </w:r>
  </w:p>
  <w:p w:rsidR="00CC5BC5" w:rsidRPr="00387BB5" w:rsidRDefault="00CC5BC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fotV"/>
      <w:framePr w:w="8732" w:h="284" w:hRule="exact" w:hSpace="0" w:vSpace="0" w:wrap="around" w:xAlign="inside" w:y="13042" w:anchorLock="0"/>
    </w:pPr>
    <w:r w:rsidRPr="00387BB5">
      <w:fldChar w:fldCharType="begin" w:fldLock="1"/>
    </w:r>
    <w:r w:rsidRPr="00387BB5">
      <w:instrText xml:space="preserve"> if </w:instrText>
    </w:r>
    <w:r w:rsidRPr="00387BB5">
      <w:fldChar w:fldCharType="begin" w:fldLock="1"/>
    </w:r>
    <w:r w:rsidRPr="00387BB5">
      <w:instrText xml:space="preserve"> = </w:instrText>
    </w:r>
    <w:r w:rsidRPr="00387BB5">
      <w:fldChar w:fldCharType="begin" w:fldLock="1"/>
    </w:r>
    <w:r w:rsidRPr="00387BB5">
      <w:instrText xml:space="preserve"> = </w:instrText>
    </w:r>
    <w:r w:rsidRPr="00387BB5">
      <w:fldChar w:fldCharType="begin" w:fldLock="1"/>
    </w:r>
    <w:r w:rsidRPr="00387BB5">
      <w:instrText xml:space="preserve"> page</w:instrText>
    </w:r>
    <w:r w:rsidRPr="00387BB5">
      <w:fldChar w:fldCharType="separate"/>
    </w:r>
    <w:r w:rsidR="006D624A" w:rsidRPr="00387BB5">
      <w:instrText>10</w:instrText>
    </w:r>
    <w:r w:rsidRPr="00387BB5">
      <w:fldChar w:fldCharType="end"/>
    </w:r>
    <w:r w:rsidRPr="00387BB5">
      <w:instrText xml:space="preserve">/2 </w:instrText>
    </w:r>
    <w:r w:rsidRPr="00387BB5">
      <w:fldChar w:fldCharType="separate"/>
    </w:r>
    <w:r w:rsidR="006D624A" w:rsidRPr="00387BB5">
      <w:instrText>5</w:instrText>
    </w:r>
    <w:r w:rsidRPr="00387BB5">
      <w:fldChar w:fldCharType="end"/>
    </w:r>
    <w:r w:rsidRPr="00387BB5">
      <w:instrText xml:space="preserve"> - </w:instrText>
    </w:r>
    <w:r w:rsidRPr="00387BB5">
      <w:fldChar w:fldCharType="begin" w:fldLock="1"/>
    </w:r>
    <w:r w:rsidRPr="00387BB5">
      <w:instrText xml:space="preserve"> = int(</w:instrText>
    </w:r>
    <w:r w:rsidRPr="00387BB5">
      <w:fldChar w:fldCharType="begin" w:fldLock="1"/>
    </w:r>
    <w:r w:rsidRPr="00387BB5">
      <w:instrText xml:space="preserve"> page</w:instrText>
    </w:r>
    <w:r w:rsidRPr="00387BB5">
      <w:fldChar w:fldCharType="separate"/>
    </w:r>
    <w:r w:rsidR="006D624A" w:rsidRPr="00387BB5">
      <w:instrText>10</w:instrText>
    </w:r>
    <w:r w:rsidRPr="00387BB5">
      <w:fldChar w:fldCharType="end"/>
    </w:r>
    <w:r w:rsidRPr="00387BB5">
      <w:instrText xml:space="preserve">/2) </w:instrText>
    </w:r>
    <w:r w:rsidRPr="00387BB5">
      <w:fldChar w:fldCharType="separate"/>
    </w:r>
    <w:r w:rsidR="006D624A" w:rsidRPr="00387BB5">
      <w:instrText>5</w:instrText>
    </w:r>
    <w:r w:rsidRPr="00387BB5">
      <w:fldChar w:fldCharType="end"/>
    </w:r>
    <w:r w:rsidRPr="00387BB5">
      <w:fldChar w:fldCharType="separate"/>
    </w:r>
    <w:r w:rsidR="006D624A" w:rsidRPr="00387BB5">
      <w:instrText>0</w:instrText>
    </w:r>
    <w:r w:rsidRPr="00387BB5">
      <w:fldChar w:fldCharType="end"/>
    </w:r>
    <w:r w:rsidRPr="00387BB5">
      <w:instrText xml:space="preserve"> = 0 "</w:instrText>
    </w: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006D624A" w:rsidRPr="00387BB5">
      <w:instrText>10</w:instrText>
    </w:r>
    <w:r w:rsidRPr="00387BB5">
      <w:fldChar w:fldCharType="end"/>
    </w:r>
  </w:p>
  <w:p w:rsidR="006D624A" w:rsidRPr="00387BB5" w:rsidRDefault="00CC5BC5">
    <w:pPr>
      <w:pStyle w:val="SidfotV"/>
      <w:framePr w:w="8732" w:h="284" w:hRule="exact" w:hSpace="0" w:vSpace="0" w:wrap="around" w:xAlign="inside" w:y="13042" w:anchorLock="0"/>
    </w:pPr>
    <w:r w:rsidRPr="00387BB5">
      <w:instrText>""</w:instrText>
    </w: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Pr="00387BB5">
      <w:instrText>11</w:instrText>
    </w:r>
    <w:r w:rsidRPr="00387BB5">
      <w:fldChar w:fldCharType="end"/>
    </w:r>
    <w:r w:rsidRPr="00387BB5">
      <w:instrText>"</w:instrText>
    </w:r>
    <w:r w:rsidRPr="00387BB5">
      <w:fldChar w:fldCharType="separate"/>
    </w:r>
    <w:r w:rsidR="006D624A" w:rsidRPr="00387BB5">
      <w:t>10</w:t>
    </w:r>
  </w:p>
  <w:p w:rsidR="00CC5BC5" w:rsidRPr="00387BB5" w:rsidRDefault="00CC5BC5">
    <w:pPr>
      <w:pStyle w:val="SidfotH"/>
      <w:framePr w:w="8732" w:h="284" w:hRule="exact" w:hSpace="0" w:vSpace="0" w:wrap="around" w:xAlign="inside" w:y="13042" w:anchorLock="0"/>
    </w:pPr>
    <w:r w:rsidRPr="00387BB5">
      <w:fldChar w:fldCharType="end"/>
    </w:r>
  </w:p>
  <w:p w:rsidR="00CC5BC5" w:rsidRPr="00387BB5" w:rsidRDefault="00CC5BC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fotH"/>
      <w:framePr w:w="8732" w:h="284" w:hRule="exact" w:hSpace="0" w:vSpace="0" w:wrap="around" w:xAlign="inside" w:y="13042" w:anchorLock="0"/>
    </w:pP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Pr="00387BB5">
      <w:t>3</w:t>
    </w:r>
    <w:r w:rsidRPr="00387BB5">
      <w:fldChar w:fldCharType="end"/>
    </w:r>
  </w:p>
  <w:p w:rsidR="00CC5BC5" w:rsidRPr="00387BB5" w:rsidRDefault="00CC5BC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fotV"/>
      <w:framePr w:w="8732" w:h="284" w:hRule="exact" w:hSpace="0" w:vSpace="0" w:wrap="around" w:xAlign="inside" w:y="13042" w:anchorLock="0"/>
    </w:pPr>
    <w:r w:rsidRPr="00387BB5">
      <w:fldChar w:fldCharType="begin" w:fldLock="1"/>
    </w:r>
    <w:r w:rsidRPr="00387BB5">
      <w:instrText xml:space="preserve"> if </w:instrText>
    </w:r>
    <w:r w:rsidRPr="00387BB5">
      <w:fldChar w:fldCharType="begin" w:fldLock="1"/>
    </w:r>
    <w:r w:rsidRPr="00387BB5">
      <w:instrText xml:space="preserve"> = </w:instrText>
    </w:r>
    <w:r w:rsidRPr="00387BB5">
      <w:fldChar w:fldCharType="begin" w:fldLock="1"/>
    </w:r>
    <w:r w:rsidRPr="00387BB5">
      <w:instrText xml:space="preserve"> = </w:instrText>
    </w:r>
    <w:r w:rsidRPr="00387BB5">
      <w:fldChar w:fldCharType="begin" w:fldLock="1"/>
    </w:r>
    <w:r w:rsidRPr="00387BB5">
      <w:instrText xml:space="preserve"> page</w:instrText>
    </w:r>
    <w:r w:rsidRPr="00387BB5">
      <w:fldChar w:fldCharType="separate"/>
    </w:r>
    <w:r w:rsidR="00387BB5">
      <w:rPr>
        <w:noProof/>
      </w:rPr>
      <w:instrText>1</w:instrText>
    </w:r>
    <w:r w:rsidRPr="00387BB5">
      <w:fldChar w:fldCharType="end"/>
    </w:r>
    <w:r w:rsidRPr="00387BB5">
      <w:instrText xml:space="preserve">/2 </w:instrText>
    </w:r>
    <w:r w:rsidRPr="00387BB5">
      <w:fldChar w:fldCharType="separate"/>
    </w:r>
    <w:r w:rsidR="00387BB5">
      <w:rPr>
        <w:noProof/>
      </w:rPr>
      <w:instrText>0,5</w:instrText>
    </w:r>
    <w:r w:rsidRPr="00387BB5">
      <w:fldChar w:fldCharType="end"/>
    </w:r>
    <w:r w:rsidRPr="00387BB5">
      <w:instrText xml:space="preserve"> - </w:instrText>
    </w:r>
    <w:r w:rsidRPr="00387BB5">
      <w:fldChar w:fldCharType="begin" w:fldLock="1"/>
    </w:r>
    <w:r w:rsidRPr="00387BB5">
      <w:instrText xml:space="preserve"> = int(</w:instrText>
    </w:r>
    <w:r w:rsidRPr="00387BB5">
      <w:fldChar w:fldCharType="begin" w:fldLock="1"/>
    </w:r>
    <w:r w:rsidRPr="00387BB5">
      <w:instrText xml:space="preserve"> page</w:instrText>
    </w:r>
    <w:r w:rsidRPr="00387BB5">
      <w:fldChar w:fldCharType="separate"/>
    </w:r>
    <w:r w:rsidR="00387BB5">
      <w:rPr>
        <w:noProof/>
      </w:rPr>
      <w:instrText>1</w:instrText>
    </w:r>
    <w:r w:rsidRPr="00387BB5">
      <w:fldChar w:fldCharType="end"/>
    </w:r>
    <w:r w:rsidRPr="00387BB5">
      <w:instrText xml:space="preserve">/2) </w:instrText>
    </w:r>
    <w:r w:rsidRPr="00387BB5">
      <w:fldChar w:fldCharType="separate"/>
    </w:r>
    <w:r w:rsidR="00387BB5">
      <w:rPr>
        <w:noProof/>
      </w:rPr>
      <w:instrText>0</w:instrText>
    </w:r>
    <w:r w:rsidRPr="00387BB5">
      <w:fldChar w:fldCharType="end"/>
    </w:r>
    <w:r w:rsidRPr="00387BB5">
      <w:fldChar w:fldCharType="separate"/>
    </w:r>
    <w:r w:rsidR="00387BB5">
      <w:rPr>
        <w:noProof/>
      </w:rPr>
      <w:instrText>0,5</w:instrText>
    </w:r>
    <w:r w:rsidRPr="00387BB5">
      <w:fldChar w:fldCharType="end"/>
    </w:r>
    <w:r w:rsidRPr="00387BB5">
      <w:instrText xml:space="preserve"> = 0 "</w:instrText>
    </w: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Pr="00387BB5">
      <w:instrText>14</w:instrText>
    </w:r>
    <w:r w:rsidRPr="00387BB5">
      <w:fldChar w:fldCharType="end"/>
    </w:r>
  </w:p>
  <w:p w:rsidR="00CC5BC5" w:rsidRPr="00387BB5" w:rsidRDefault="00CC5BC5">
    <w:pPr>
      <w:pStyle w:val="SidfotH"/>
      <w:framePr w:w="8732" w:h="284" w:hRule="exact" w:hSpace="0" w:vSpace="0" w:wrap="around" w:xAlign="inside" w:y="13042" w:anchorLock="0"/>
    </w:pPr>
    <w:r w:rsidRPr="00387BB5">
      <w:instrText>""</w:instrText>
    </w: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00387BB5">
      <w:rPr>
        <w:noProof/>
      </w:rPr>
      <w:instrText>1</w:instrText>
    </w:r>
    <w:r w:rsidRPr="00387BB5">
      <w:fldChar w:fldCharType="end"/>
    </w:r>
    <w:r w:rsidRPr="00387BB5">
      <w:instrText>"</w:instrText>
    </w:r>
    <w:r w:rsidRPr="00387BB5">
      <w:fldChar w:fldCharType="separate"/>
    </w:r>
    <w:r w:rsidR="00387BB5">
      <w:rPr>
        <w:noProof/>
      </w:rPr>
      <w:t>1</w:t>
    </w:r>
    <w:r w:rsidRPr="00387BB5">
      <w:fldChar w:fldCharType="end"/>
    </w:r>
  </w:p>
  <w:p w:rsidR="00CC5BC5" w:rsidRPr="00387BB5" w:rsidRDefault="00CC5BC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fotV"/>
      <w:framePr w:w="8732" w:h="284" w:hRule="exact" w:hSpace="0" w:vSpace="0" w:wrap="around" w:xAlign="inside" w:y="13042" w:anchorLock="0"/>
    </w:pP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Pr="00387BB5">
      <w:t>2</w:t>
    </w:r>
    <w:r w:rsidRPr="00387BB5">
      <w:fldChar w:fldCharType="end"/>
    </w:r>
  </w:p>
  <w:p w:rsidR="00CC5BC5" w:rsidRPr="00387BB5" w:rsidRDefault="00CC5BC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fotH"/>
      <w:framePr w:w="8732" w:h="284" w:hRule="exact" w:hSpace="0" w:vSpace="0" w:wrap="around" w:xAlign="inside" w:y="13042" w:anchorLock="0"/>
    </w:pP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Pr="00387BB5">
      <w:t>3</w:t>
    </w:r>
    <w:r w:rsidRPr="00387BB5">
      <w:fldChar w:fldCharType="end"/>
    </w:r>
  </w:p>
  <w:p w:rsidR="00CC5BC5" w:rsidRPr="00387BB5" w:rsidRDefault="00CC5BC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fotV"/>
      <w:framePr w:w="8732" w:h="284" w:hRule="exact" w:hSpace="0" w:vSpace="0" w:wrap="around" w:xAlign="inside" w:y="13042" w:anchorLock="0"/>
    </w:pPr>
    <w:r w:rsidRPr="00387BB5">
      <w:fldChar w:fldCharType="begin" w:fldLock="1"/>
    </w:r>
    <w:r w:rsidRPr="00387BB5">
      <w:instrText xml:space="preserve"> if </w:instrText>
    </w:r>
    <w:r w:rsidRPr="00387BB5">
      <w:fldChar w:fldCharType="begin" w:fldLock="1"/>
    </w:r>
    <w:r w:rsidRPr="00387BB5">
      <w:instrText xml:space="preserve"> = </w:instrText>
    </w:r>
    <w:r w:rsidRPr="00387BB5">
      <w:fldChar w:fldCharType="begin" w:fldLock="1"/>
    </w:r>
    <w:r w:rsidRPr="00387BB5">
      <w:instrText xml:space="preserve"> = </w:instrText>
    </w:r>
    <w:r w:rsidRPr="00387BB5">
      <w:fldChar w:fldCharType="begin" w:fldLock="1"/>
    </w:r>
    <w:r w:rsidRPr="00387BB5">
      <w:instrText xml:space="preserve"> page</w:instrText>
    </w:r>
    <w:r w:rsidRPr="00387BB5">
      <w:fldChar w:fldCharType="separate"/>
    </w:r>
    <w:r w:rsidR="006D624A" w:rsidRPr="00387BB5">
      <w:instrText>2</w:instrText>
    </w:r>
    <w:r w:rsidRPr="00387BB5">
      <w:fldChar w:fldCharType="end"/>
    </w:r>
    <w:r w:rsidRPr="00387BB5">
      <w:instrText xml:space="preserve">/2 </w:instrText>
    </w:r>
    <w:r w:rsidRPr="00387BB5">
      <w:fldChar w:fldCharType="separate"/>
    </w:r>
    <w:r w:rsidR="006D624A" w:rsidRPr="00387BB5">
      <w:instrText>1</w:instrText>
    </w:r>
    <w:r w:rsidRPr="00387BB5">
      <w:fldChar w:fldCharType="end"/>
    </w:r>
    <w:r w:rsidRPr="00387BB5">
      <w:instrText xml:space="preserve"> - </w:instrText>
    </w:r>
    <w:r w:rsidRPr="00387BB5">
      <w:fldChar w:fldCharType="begin" w:fldLock="1"/>
    </w:r>
    <w:r w:rsidRPr="00387BB5">
      <w:instrText xml:space="preserve"> = int(</w:instrText>
    </w:r>
    <w:r w:rsidRPr="00387BB5">
      <w:fldChar w:fldCharType="begin" w:fldLock="1"/>
    </w:r>
    <w:r w:rsidRPr="00387BB5">
      <w:instrText xml:space="preserve"> page</w:instrText>
    </w:r>
    <w:r w:rsidRPr="00387BB5">
      <w:fldChar w:fldCharType="separate"/>
    </w:r>
    <w:r w:rsidR="006D624A" w:rsidRPr="00387BB5">
      <w:instrText>2</w:instrText>
    </w:r>
    <w:r w:rsidRPr="00387BB5">
      <w:fldChar w:fldCharType="end"/>
    </w:r>
    <w:r w:rsidRPr="00387BB5">
      <w:instrText xml:space="preserve">/2) </w:instrText>
    </w:r>
    <w:r w:rsidRPr="00387BB5">
      <w:fldChar w:fldCharType="separate"/>
    </w:r>
    <w:r w:rsidR="006D624A" w:rsidRPr="00387BB5">
      <w:instrText>1</w:instrText>
    </w:r>
    <w:r w:rsidRPr="00387BB5">
      <w:fldChar w:fldCharType="end"/>
    </w:r>
    <w:r w:rsidRPr="00387BB5">
      <w:fldChar w:fldCharType="separate"/>
    </w:r>
    <w:r w:rsidR="006D624A" w:rsidRPr="00387BB5">
      <w:instrText>0</w:instrText>
    </w:r>
    <w:r w:rsidRPr="00387BB5">
      <w:fldChar w:fldCharType="end"/>
    </w:r>
    <w:r w:rsidRPr="00387BB5">
      <w:instrText xml:space="preserve"> = 0 "</w:instrText>
    </w: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006D624A" w:rsidRPr="00387BB5">
      <w:instrText>2</w:instrText>
    </w:r>
    <w:r w:rsidRPr="00387BB5">
      <w:fldChar w:fldCharType="end"/>
    </w:r>
  </w:p>
  <w:p w:rsidR="006D624A" w:rsidRPr="00387BB5" w:rsidRDefault="00CC5BC5">
    <w:pPr>
      <w:pStyle w:val="SidfotV"/>
      <w:framePr w:w="8732" w:h="284" w:hRule="exact" w:hSpace="0" w:vSpace="0" w:wrap="around" w:xAlign="inside" w:y="13042" w:anchorLock="0"/>
    </w:pPr>
    <w:r w:rsidRPr="00387BB5">
      <w:instrText>""</w:instrText>
    </w: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Pr="00387BB5">
      <w:instrText>1</w:instrText>
    </w:r>
    <w:r w:rsidRPr="00387BB5">
      <w:fldChar w:fldCharType="end"/>
    </w:r>
    <w:r w:rsidRPr="00387BB5">
      <w:instrText>"</w:instrText>
    </w:r>
    <w:r w:rsidRPr="00387BB5">
      <w:fldChar w:fldCharType="separate"/>
    </w:r>
    <w:r w:rsidR="006D624A" w:rsidRPr="00387BB5">
      <w:t>2</w:t>
    </w:r>
  </w:p>
  <w:p w:rsidR="00CC5BC5" w:rsidRPr="00387BB5" w:rsidRDefault="00CC5BC5">
    <w:pPr>
      <w:pStyle w:val="SidfotH"/>
      <w:framePr w:w="8732" w:h="284" w:hRule="exact" w:hSpace="0" w:vSpace="0" w:wrap="around" w:xAlign="inside" w:y="13042" w:anchorLock="0"/>
    </w:pPr>
    <w:r w:rsidRPr="00387BB5">
      <w:fldChar w:fldCharType="end"/>
    </w:r>
  </w:p>
  <w:p w:rsidR="00CC5BC5" w:rsidRPr="00387BB5" w:rsidRDefault="00CC5BC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fotV"/>
      <w:framePr w:w="8732" w:h="284" w:hRule="exact" w:hSpace="0" w:vSpace="0" w:wrap="around" w:xAlign="inside" w:y="13042" w:anchorLock="0"/>
    </w:pP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Pr="00387BB5">
      <w:t>4</w:t>
    </w:r>
    <w:r w:rsidRPr="00387BB5">
      <w:fldChar w:fldCharType="end"/>
    </w:r>
  </w:p>
  <w:p w:rsidR="00CC5BC5" w:rsidRPr="00387BB5" w:rsidRDefault="00CC5BC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fotH"/>
      <w:framePr w:w="8732" w:h="284" w:hRule="exact" w:hSpace="0" w:vSpace="0" w:wrap="around" w:xAlign="inside" w:y="13042" w:anchorLock="0"/>
    </w:pP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Pr="00387BB5">
      <w:t>3</w:t>
    </w:r>
    <w:r w:rsidRPr="00387BB5">
      <w:fldChar w:fldCharType="end"/>
    </w:r>
  </w:p>
  <w:p w:rsidR="00CC5BC5" w:rsidRPr="00387BB5" w:rsidRDefault="00CC5BC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fotV"/>
      <w:framePr w:w="8732" w:h="284" w:hRule="exact" w:hSpace="0" w:vSpace="0" w:wrap="around" w:xAlign="inside" w:y="13042" w:anchorLock="0"/>
    </w:pPr>
    <w:r w:rsidRPr="00387BB5">
      <w:fldChar w:fldCharType="begin" w:fldLock="1"/>
    </w:r>
    <w:r w:rsidRPr="00387BB5">
      <w:instrText xml:space="preserve"> if </w:instrText>
    </w:r>
    <w:r w:rsidRPr="00387BB5">
      <w:fldChar w:fldCharType="begin" w:fldLock="1"/>
    </w:r>
    <w:r w:rsidRPr="00387BB5">
      <w:instrText xml:space="preserve"> = </w:instrText>
    </w:r>
    <w:r w:rsidRPr="00387BB5">
      <w:fldChar w:fldCharType="begin" w:fldLock="1"/>
    </w:r>
    <w:r w:rsidRPr="00387BB5">
      <w:instrText xml:space="preserve"> = </w:instrText>
    </w:r>
    <w:r w:rsidRPr="00387BB5">
      <w:fldChar w:fldCharType="begin" w:fldLock="1"/>
    </w:r>
    <w:r w:rsidRPr="00387BB5">
      <w:instrText xml:space="preserve"> page</w:instrText>
    </w:r>
    <w:r w:rsidRPr="00387BB5">
      <w:fldChar w:fldCharType="separate"/>
    </w:r>
    <w:r w:rsidR="006D624A" w:rsidRPr="00387BB5">
      <w:instrText>3</w:instrText>
    </w:r>
    <w:r w:rsidRPr="00387BB5">
      <w:fldChar w:fldCharType="end"/>
    </w:r>
    <w:r w:rsidRPr="00387BB5">
      <w:instrText xml:space="preserve">/2 </w:instrText>
    </w:r>
    <w:r w:rsidRPr="00387BB5">
      <w:fldChar w:fldCharType="separate"/>
    </w:r>
    <w:r w:rsidR="006D624A" w:rsidRPr="00387BB5">
      <w:instrText>1,5</w:instrText>
    </w:r>
    <w:r w:rsidRPr="00387BB5">
      <w:fldChar w:fldCharType="end"/>
    </w:r>
    <w:r w:rsidRPr="00387BB5">
      <w:instrText xml:space="preserve"> - </w:instrText>
    </w:r>
    <w:r w:rsidRPr="00387BB5">
      <w:fldChar w:fldCharType="begin" w:fldLock="1"/>
    </w:r>
    <w:r w:rsidRPr="00387BB5">
      <w:instrText xml:space="preserve"> = int(</w:instrText>
    </w:r>
    <w:r w:rsidRPr="00387BB5">
      <w:fldChar w:fldCharType="begin" w:fldLock="1"/>
    </w:r>
    <w:r w:rsidRPr="00387BB5">
      <w:instrText xml:space="preserve"> page</w:instrText>
    </w:r>
    <w:r w:rsidRPr="00387BB5">
      <w:fldChar w:fldCharType="separate"/>
    </w:r>
    <w:r w:rsidR="006D624A" w:rsidRPr="00387BB5">
      <w:instrText>3</w:instrText>
    </w:r>
    <w:r w:rsidRPr="00387BB5">
      <w:fldChar w:fldCharType="end"/>
    </w:r>
    <w:r w:rsidRPr="00387BB5">
      <w:instrText xml:space="preserve">/2) </w:instrText>
    </w:r>
    <w:r w:rsidRPr="00387BB5">
      <w:fldChar w:fldCharType="separate"/>
    </w:r>
    <w:r w:rsidR="006D624A" w:rsidRPr="00387BB5">
      <w:instrText>1</w:instrText>
    </w:r>
    <w:r w:rsidRPr="00387BB5">
      <w:fldChar w:fldCharType="end"/>
    </w:r>
    <w:r w:rsidRPr="00387BB5">
      <w:fldChar w:fldCharType="separate"/>
    </w:r>
    <w:r w:rsidR="006D624A" w:rsidRPr="00387BB5">
      <w:instrText>0,5</w:instrText>
    </w:r>
    <w:r w:rsidRPr="00387BB5">
      <w:fldChar w:fldCharType="end"/>
    </w:r>
    <w:r w:rsidRPr="00387BB5">
      <w:instrText xml:space="preserve"> = 0 "</w:instrText>
    </w: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Pr="00387BB5">
      <w:instrText>2</w:instrText>
    </w:r>
    <w:r w:rsidRPr="00387BB5">
      <w:fldChar w:fldCharType="end"/>
    </w:r>
  </w:p>
  <w:p w:rsidR="00CC5BC5" w:rsidRPr="00387BB5" w:rsidRDefault="00CC5BC5">
    <w:pPr>
      <w:pStyle w:val="SidfotH"/>
      <w:framePr w:w="8732" w:h="284" w:hRule="exact" w:hSpace="0" w:vSpace="0" w:wrap="around" w:xAlign="inside" w:y="13042" w:anchorLock="0"/>
    </w:pPr>
    <w:r w:rsidRPr="00387BB5">
      <w:instrText>""</w:instrText>
    </w:r>
    <w:r w:rsidRPr="00387BB5">
      <w:fldChar w:fldCharType="begin" w:fldLock="1"/>
    </w:r>
    <w:r w:rsidRPr="00387BB5">
      <w:instrText xml:space="preserve"> P</w:instrText>
    </w:r>
    <w:r w:rsidRPr="00387BB5">
      <w:instrText>A</w:instrText>
    </w:r>
    <w:r w:rsidRPr="00387BB5">
      <w:instrText xml:space="preserve">GE </w:instrText>
    </w:r>
    <w:r w:rsidRPr="00387BB5">
      <w:fldChar w:fldCharType="separate"/>
    </w:r>
    <w:r w:rsidR="006D624A" w:rsidRPr="00387BB5">
      <w:instrText>3</w:instrText>
    </w:r>
    <w:r w:rsidRPr="00387BB5">
      <w:fldChar w:fldCharType="end"/>
    </w:r>
    <w:r w:rsidRPr="00387BB5">
      <w:instrText>"</w:instrText>
    </w:r>
    <w:r w:rsidRPr="00387BB5">
      <w:fldChar w:fldCharType="separate"/>
    </w:r>
    <w:r w:rsidR="006D624A" w:rsidRPr="00387BB5">
      <w:t>3</w:t>
    </w:r>
    <w:r w:rsidRPr="00387BB5">
      <w:fldChar w:fldCharType="end"/>
    </w:r>
  </w:p>
  <w:p w:rsidR="00CC5BC5" w:rsidRPr="00387BB5" w:rsidRDefault="00CC5B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5BC5" w:rsidRPr="00387BB5" w:rsidRDefault="00CC5BC5">
      <w:r w:rsidRPr="00387BB5">
        <w:separator/>
      </w:r>
    </w:p>
  </w:footnote>
  <w:footnote w:type="continuationSeparator" w:id="0">
    <w:p w:rsidR="00CC5BC5" w:rsidRPr="00387BB5" w:rsidRDefault="00CC5BC5">
      <w:r w:rsidRPr="00387B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huvudKantJmn"/>
      <w:framePr w:w="8732" w:h="567" w:hRule="exact" w:vSpace="0" w:wrap="around" w:vAnchor="page" w:y="341" w:anchorLock="0"/>
    </w:pPr>
    <w:r w:rsidRPr="00387BB5">
      <w:rPr>
        <w:rStyle w:val="SidhuvudUtskott"/>
      </w:rPr>
      <w:fldChar w:fldCharType="begin" w:fldLock="1"/>
    </w:r>
    <w:r w:rsidRPr="00387BB5">
      <w:rPr>
        <w:rStyle w:val="SidhuvudUtskott"/>
      </w:rPr>
      <w:instrText xml:space="preserve"> DOCPROPERTY BetänkandeÅr</w:instrText>
    </w:r>
    <w:r w:rsidRPr="00387BB5">
      <w:rPr>
        <w:rStyle w:val="SidhuvudUtskott"/>
      </w:rPr>
      <w:fldChar w:fldCharType="separate"/>
    </w:r>
    <w:r w:rsidRPr="00387BB5">
      <w:rPr>
        <w:rStyle w:val="SidhuvudUtskott"/>
      </w:rPr>
      <w:t>2009/10</w:t>
    </w:r>
    <w:r w:rsidRPr="00387BB5">
      <w:rPr>
        <w:rStyle w:val="SidhuvudUtskott"/>
      </w:rPr>
      <w:fldChar w:fldCharType="end"/>
    </w:r>
    <w:r w:rsidRPr="00387BB5">
      <w:rPr>
        <w:rStyle w:val="SidhuvudUtskott"/>
      </w:rPr>
      <w:t>:</w:t>
    </w:r>
    <w:r w:rsidRPr="00387BB5">
      <w:rPr>
        <w:rStyle w:val="SidhuvudUtskott"/>
      </w:rPr>
      <w:fldChar w:fldCharType="begin" w:fldLock="1"/>
    </w:r>
    <w:r w:rsidRPr="00387BB5">
      <w:rPr>
        <w:rStyle w:val="SidhuvudUtskott"/>
      </w:rPr>
      <w:instrText xml:space="preserve"> DOCPROPERTY Utskott</w:instrText>
    </w:r>
    <w:r w:rsidRPr="00387BB5">
      <w:rPr>
        <w:rStyle w:val="SidhuvudUtskott"/>
      </w:rPr>
      <w:fldChar w:fldCharType="separate"/>
    </w:r>
    <w:r w:rsidRPr="00387BB5">
      <w:rPr>
        <w:rStyle w:val="SidhuvudUtskott"/>
      </w:rPr>
      <w:t>RB</w:t>
    </w:r>
    <w:r w:rsidRPr="00387BB5">
      <w:rPr>
        <w:rStyle w:val="SidhuvudUtskott"/>
      </w:rPr>
      <w:fldChar w:fldCharType="end"/>
    </w:r>
    <w:r w:rsidRPr="00387BB5">
      <w:rPr>
        <w:rStyle w:val="SidhuvudUtskott"/>
      </w:rPr>
      <w:fldChar w:fldCharType="begin" w:fldLock="1"/>
    </w:r>
    <w:r w:rsidRPr="00387BB5">
      <w:rPr>
        <w:rStyle w:val="SidhuvudUtskott"/>
      </w:rPr>
      <w:instrText xml:space="preserve"> DOCPROPERTY BetänkandeNr</w:instrText>
    </w:r>
    <w:r w:rsidRPr="00387BB5">
      <w:rPr>
        <w:rStyle w:val="SidhuvudUtskott"/>
      </w:rPr>
      <w:fldChar w:fldCharType="separate"/>
    </w:r>
    <w:r w:rsidRPr="00387BB5">
      <w:rPr>
        <w:rStyle w:val="SidhuvudUtskott"/>
      </w:rPr>
      <w:t>3</w:t>
    </w:r>
    <w:r w:rsidRPr="00387BB5">
      <w:rPr>
        <w:rStyle w:val="SidhuvudUtskott"/>
      </w:rPr>
      <w:fldChar w:fldCharType="end"/>
    </w:r>
    <w:r w:rsidRPr="00387BB5">
      <w:t xml:space="preserve">     </w:t>
    </w:r>
    <w:r w:rsidRPr="00387BB5">
      <w:rPr>
        <w:rStyle w:val="SidhuvudBilaga"/>
      </w:rPr>
      <w:t xml:space="preserve"> </w:t>
    </w:r>
    <w:r w:rsidRPr="00387BB5">
      <w:rPr>
        <w:rStyle w:val="SidhuvudRubrikReferens"/>
      </w:rPr>
      <w:fldChar w:fldCharType="begin" w:fldLock="1"/>
    </w:r>
    <w:r w:rsidRPr="00387BB5">
      <w:rPr>
        <w:rStyle w:val="SidhuvudRubrikReferens"/>
      </w:rPr>
      <w:instrText xml:space="preserve"> StyleREF "Rubrik 1" </w:instrText>
    </w:r>
    <w:r w:rsidRPr="00387BB5">
      <w:rPr>
        <w:rStyle w:val="SidhuvudRubrikReferens"/>
      </w:rPr>
      <w:fldChar w:fldCharType="separate"/>
    </w:r>
    <w:r w:rsidRPr="00387BB5">
      <w:rPr>
        <w:rStyle w:val="SidhuvudRubrikReferens"/>
      </w:rPr>
      <w:t>Sammanfattning</w:t>
    </w:r>
    <w:r w:rsidRPr="00387BB5">
      <w:rPr>
        <w:rStyle w:val="SidhuvudRubrikReferens"/>
      </w:rPr>
      <w:fldChar w:fldCharType="end"/>
    </w:r>
  </w:p>
  <w:p w:rsidR="00CC5BC5" w:rsidRPr="00387BB5" w:rsidRDefault="00CC5BC5">
    <w:pPr>
      <w:pStyle w:val="SidhuvudKantJmn"/>
      <w:framePr w:w="8732" w:h="567" w:hRule="exact" w:vSpace="0" w:wrap="around" w:vAnchor="page" w:y="341" w:anchorLock="0"/>
    </w:pPr>
    <w:r w:rsidRPr="00387BB5">
      <w:rPr>
        <w:rStyle w:val="SidhuvudUtskott"/>
      </w:rPr>
      <w:fldChar w:fldCharType="begin" w:fldLock="1"/>
    </w:r>
    <w:r w:rsidRPr="00387BB5">
      <w:rPr>
        <w:rStyle w:val="SidhuvudUtskott"/>
      </w:rPr>
      <w:instrText xml:space="preserve"> DOCPROPERTY Status</w:instrText>
    </w:r>
    <w:r w:rsidRPr="00387BB5">
      <w:rPr>
        <w:rStyle w:val="SidhuvudUtskott"/>
      </w:rPr>
      <w:fldChar w:fldCharType="end"/>
    </w:r>
    <w:r w:rsidRPr="00387BB5">
      <w:rPr>
        <w:rStyle w:val="SidhuvudUtskott"/>
      </w:rPr>
      <w:fldChar w:fldCharType="begin" w:fldLock="1"/>
    </w:r>
    <w:r w:rsidRPr="00387BB5">
      <w:rPr>
        <w:rStyle w:val="SidhuvudUtskott"/>
      </w:rPr>
      <w:instrText xml:space="preserve"> if </w:instrText>
    </w:r>
    <w:r w:rsidRPr="00387BB5">
      <w:rPr>
        <w:rStyle w:val="SidhuvudUtskott"/>
      </w:rPr>
      <w:fldChar w:fldCharType="begin" w:fldLock="1"/>
    </w:r>
    <w:r w:rsidRPr="00387BB5">
      <w:rPr>
        <w:rStyle w:val="SidhuvudUtskott"/>
      </w:rPr>
      <w:instrText xml:space="preserve"> DOCPROPERTY "UtkastDatum"</w:instrText>
    </w:r>
    <w:r w:rsidRPr="00387BB5">
      <w:rPr>
        <w:rStyle w:val="SidhuvudUtskott"/>
      </w:rPr>
      <w:fldChar w:fldCharType="separate"/>
    </w:r>
    <w:r w:rsidRPr="00387BB5">
      <w:rPr>
        <w:rStyle w:val="SidhuvudUtskott"/>
      </w:rPr>
      <w:instrText>Nej</w:instrText>
    </w:r>
    <w:r w:rsidRPr="00387BB5">
      <w:rPr>
        <w:rStyle w:val="SidhuvudUtskott"/>
      </w:rPr>
      <w:fldChar w:fldCharType="end"/>
    </w:r>
    <w:r w:rsidRPr="00387BB5">
      <w:rPr>
        <w:rStyle w:val="SidhuvudUtskott"/>
      </w:rPr>
      <w:instrText xml:space="preserve"> = "Ja" "    </w:instrText>
    </w:r>
    <w:r w:rsidRPr="00387BB5">
      <w:rPr>
        <w:rStyle w:val="SidhuvudUtskott"/>
      </w:rPr>
      <w:fldChar w:fldCharType="begin" w:fldLock="1"/>
    </w:r>
    <w:r w:rsidRPr="00387BB5">
      <w:rPr>
        <w:rStyle w:val="SidhuvudUtskott"/>
      </w:rPr>
      <w:instrText xml:space="preserve"> PRINTDATE \@ "yyyy-MM-dd HH.mm" </w:instrText>
    </w:r>
    <w:r w:rsidRPr="00387BB5">
      <w:rPr>
        <w:rStyle w:val="SidhuvudUtskott"/>
      </w:rPr>
      <w:fldChar w:fldCharType="separate"/>
    </w:r>
    <w:r w:rsidRPr="00387BB5">
      <w:rPr>
        <w:rStyle w:val="SidhuvudUtskott"/>
      </w:rPr>
      <w:instrText>2000-08-11 16.42</w:instrText>
    </w:r>
    <w:r w:rsidRPr="00387BB5">
      <w:rPr>
        <w:rStyle w:val="SidhuvudUtskott"/>
      </w:rPr>
      <w:fldChar w:fldCharType="end"/>
    </w:r>
    <w:r w:rsidRPr="00387BB5">
      <w:rPr>
        <w:rStyle w:val="SidhuvudUtskott"/>
      </w:rPr>
      <w:instrText xml:space="preserve">" </w:instrText>
    </w:r>
    <w:r w:rsidRPr="00387BB5">
      <w:rPr>
        <w:rStyle w:val="SidhuvudUtskott"/>
      </w:rPr>
      <w:fldChar w:fldCharType="end"/>
    </w:r>
  </w:p>
  <w:p w:rsidR="00CC5BC5" w:rsidRPr="00387BB5" w:rsidRDefault="00CC5BC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huvudKantJmn"/>
      <w:framePr w:w="8732" w:h="567" w:hRule="exact" w:vSpace="0" w:wrap="around" w:vAnchor="page" w:y="341" w:anchorLock="0"/>
    </w:pPr>
    <w:r w:rsidRPr="00387BB5">
      <w:rPr>
        <w:rStyle w:val="SidhuvudUtskott"/>
      </w:rPr>
      <w:fldChar w:fldCharType="begin" w:fldLock="1"/>
    </w:r>
    <w:r w:rsidRPr="00387BB5">
      <w:rPr>
        <w:rStyle w:val="SidhuvudUtskott"/>
      </w:rPr>
      <w:instrText xml:space="preserve"> DOCPROPERTY BetänkandeÅr</w:instrText>
    </w:r>
    <w:r w:rsidRPr="00387BB5">
      <w:rPr>
        <w:rStyle w:val="SidhuvudUtskott"/>
      </w:rPr>
      <w:fldChar w:fldCharType="separate"/>
    </w:r>
    <w:r w:rsidRPr="00387BB5">
      <w:rPr>
        <w:rStyle w:val="SidhuvudUtskott"/>
      </w:rPr>
      <w:t>2009/10</w:t>
    </w:r>
    <w:r w:rsidRPr="00387BB5">
      <w:rPr>
        <w:rStyle w:val="SidhuvudUtskott"/>
      </w:rPr>
      <w:fldChar w:fldCharType="end"/>
    </w:r>
    <w:r w:rsidRPr="00387BB5">
      <w:rPr>
        <w:rStyle w:val="SidhuvudUtskott"/>
      </w:rPr>
      <w:t>:</w:t>
    </w:r>
    <w:r w:rsidRPr="00387BB5">
      <w:rPr>
        <w:rStyle w:val="SidhuvudUtskott"/>
      </w:rPr>
      <w:fldChar w:fldCharType="begin" w:fldLock="1"/>
    </w:r>
    <w:r w:rsidRPr="00387BB5">
      <w:rPr>
        <w:rStyle w:val="SidhuvudUtskott"/>
      </w:rPr>
      <w:instrText xml:space="preserve"> DOCPROPERTY Utskott</w:instrText>
    </w:r>
    <w:r w:rsidRPr="00387BB5">
      <w:rPr>
        <w:rStyle w:val="SidhuvudUtskott"/>
      </w:rPr>
      <w:fldChar w:fldCharType="separate"/>
    </w:r>
    <w:r w:rsidRPr="00387BB5">
      <w:rPr>
        <w:rStyle w:val="SidhuvudUtskott"/>
      </w:rPr>
      <w:t>RB</w:t>
    </w:r>
    <w:r w:rsidRPr="00387BB5">
      <w:rPr>
        <w:rStyle w:val="SidhuvudUtskott"/>
      </w:rPr>
      <w:fldChar w:fldCharType="end"/>
    </w:r>
    <w:r w:rsidRPr="00387BB5">
      <w:rPr>
        <w:rStyle w:val="SidhuvudUtskott"/>
      </w:rPr>
      <w:fldChar w:fldCharType="begin" w:fldLock="1"/>
    </w:r>
    <w:r w:rsidRPr="00387BB5">
      <w:rPr>
        <w:rStyle w:val="SidhuvudUtskott"/>
      </w:rPr>
      <w:instrText xml:space="preserve"> DOCPROPERTY BetänkandeNr</w:instrText>
    </w:r>
    <w:r w:rsidRPr="00387BB5">
      <w:rPr>
        <w:rStyle w:val="SidhuvudUtskott"/>
      </w:rPr>
      <w:fldChar w:fldCharType="separate"/>
    </w:r>
    <w:r w:rsidRPr="00387BB5">
      <w:rPr>
        <w:rStyle w:val="SidhuvudUtskott"/>
      </w:rPr>
      <w:t>3</w:t>
    </w:r>
    <w:r w:rsidRPr="00387BB5">
      <w:rPr>
        <w:rStyle w:val="SidhuvudUtskott"/>
      </w:rPr>
      <w:fldChar w:fldCharType="end"/>
    </w:r>
    <w:r w:rsidRPr="00387BB5">
      <w:t xml:space="preserve">     </w:t>
    </w:r>
    <w:r w:rsidRPr="00387BB5">
      <w:rPr>
        <w:rStyle w:val="SidhuvudBilaga"/>
      </w:rPr>
      <w:t xml:space="preserve"> </w:t>
    </w:r>
    <w:r w:rsidRPr="00387BB5">
      <w:rPr>
        <w:rStyle w:val="SidhuvudRubrikReferens"/>
      </w:rPr>
      <w:fldChar w:fldCharType="begin" w:fldLock="1"/>
    </w:r>
    <w:r w:rsidRPr="00387BB5">
      <w:rPr>
        <w:rStyle w:val="SidhuvudRubrikReferens"/>
      </w:rPr>
      <w:instrText xml:space="preserve"> StyleREF "Rubrik 1" </w:instrText>
    </w:r>
    <w:r w:rsidRPr="00387BB5">
      <w:rPr>
        <w:rStyle w:val="SidhuvudRubrikReferens"/>
      </w:rPr>
      <w:fldChar w:fldCharType="separate"/>
    </w:r>
    <w:r w:rsidRPr="00387BB5">
      <w:rPr>
        <w:rStyle w:val="SidhuvudRubrikReferens"/>
      </w:rPr>
      <w:t>Förslag till riksdagsbeslut</w:t>
    </w:r>
    <w:r w:rsidRPr="00387BB5">
      <w:rPr>
        <w:rStyle w:val="SidhuvudRubrikReferens"/>
      </w:rPr>
      <w:fldChar w:fldCharType="end"/>
    </w:r>
  </w:p>
  <w:p w:rsidR="00CC5BC5" w:rsidRPr="00387BB5" w:rsidRDefault="00CC5BC5">
    <w:pPr>
      <w:pStyle w:val="SidhuvudKantJmn"/>
      <w:framePr w:w="8732" w:h="567" w:hRule="exact" w:vSpace="0" w:wrap="around" w:vAnchor="page" w:y="341" w:anchorLock="0"/>
    </w:pPr>
    <w:r w:rsidRPr="00387BB5">
      <w:rPr>
        <w:rStyle w:val="SidhuvudUtskott"/>
      </w:rPr>
      <w:fldChar w:fldCharType="begin" w:fldLock="1"/>
    </w:r>
    <w:r w:rsidRPr="00387BB5">
      <w:rPr>
        <w:rStyle w:val="SidhuvudUtskott"/>
      </w:rPr>
      <w:instrText xml:space="preserve"> DOCPROPERTY Status</w:instrText>
    </w:r>
    <w:r w:rsidRPr="00387BB5">
      <w:rPr>
        <w:rStyle w:val="SidhuvudUtskott"/>
      </w:rPr>
      <w:fldChar w:fldCharType="end"/>
    </w:r>
    <w:r w:rsidRPr="00387BB5">
      <w:rPr>
        <w:rStyle w:val="SidhuvudUtskott"/>
      </w:rPr>
      <w:fldChar w:fldCharType="begin" w:fldLock="1"/>
    </w:r>
    <w:r w:rsidRPr="00387BB5">
      <w:rPr>
        <w:rStyle w:val="SidhuvudUtskott"/>
      </w:rPr>
      <w:instrText xml:space="preserve"> if </w:instrText>
    </w:r>
    <w:r w:rsidRPr="00387BB5">
      <w:rPr>
        <w:rStyle w:val="SidhuvudUtskott"/>
      </w:rPr>
      <w:fldChar w:fldCharType="begin" w:fldLock="1"/>
    </w:r>
    <w:r w:rsidRPr="00387BB5">
      <w:rPr>
        <w:rStyle w:val="SidhuvudUtskott"/>
      </w:rPr>
      <w:instrText xml:space="preserve"> DOCPROPERTY "UtkastDatum"</w:instrText>
    </w:r>
    <w:r w:rsidRPr="00387BB5">
      <w:rPr>
        <w:rStyle w:val="SidhuvudUtskott"/>
      </w:rPr>
      <w:fldChar w:fldCharType="separate"/>
    </w:r>
    <w:r w:rsidRPr="00387BB5">
      <w:rPr>
        <w:rStyle w:val="SidhuvudUtskott"/>
      </w:rPr>
      <w:instrText>Nej</w:instrText>
    </w:r>
    <w:r w:rsidRPr="00387BB5">
      <w:rPr>
        <w:rStyle w:val="SidhuvudUtskott"/>
      </w:rPr>
      <w:fldChar w:fldCharType="end"/>
    </w:r>
    <w:r w:rsidRPr="00387BB5">
      <w:rPr>
        <w:rStyle w:val="SidhuvudUtskott"/>
      </w:rPr>
      <w:instrText xml:space="preserve"> = "Ja" "    </w:instrText>
    </w:r>
    <w:r w:rsidRPr="00387BB5">
      <w:rPr>
        <w:rStyle w:val="SidhuvudUtskott"/>
      </w:rPr>
      <w:fldChar w:fldCharType="begin" w:fldLock="1"/>
    </w:r>
    <w:r w:rsidRPr="00387BB5">
      <w:rPr>
        <w:rStyle w:val="SidhuvudUtskott"/>
      </w:rPr>
      <w:instrText xml:space="preserve"> PRINTDATE \@ "yyyy-MM-dd HH.mm" </w:instrText>
    </w:r>
    <w:r w:rsidRPr="00387BB5">
      <w:rPr>
        <w:rStyle w:val="SidhuvudUtskott"/>
      </w:rPr>
      <w:fldChar w:fldCharType="separate"/>
    </w:r>
    <w:r w:rsidRPr="00387BB5">
      <w:rPr>
        <w:rStyle w:val="SidhuvudUtskott"/>
      </w:rPr>
      <w:instrText>2000-08-11 16.42</w:instrText>
    </w:r>
    <w:r w:rsidRPr="00387BB5">
      <w:rPr>
        <w:rStyle w:val="SidhuvudUtskott"/>
      </w:rPr>
      <w:fldChar w:fldCharType="end"/>
    </w:r>
    <w:r w:rsidRPr="00387BB5">
      <w:rPr>
        <w:rStyle w:val="SidhuvudUtskott"/>
      </w:rPr>
      <w:instrText xml:space="preserve">" </w:instrText>
    </w:r>
    <w:r w:rsidRPr="00387BB5">
      <w:rPr>
        <w:rStyle w:val="SidhuvudUtskott"/>
      </w:rPr>
      <w:fldChar w:fldCharType="end"/>
    </w:r>
  </w:p>
  <w:p w:rsidR="00CC5BC5" w:rsidRPr="00387BB5" w:rsidRDefault="00CC5BC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6D624A">
    <w:pPr>
      <w:pStyle w:val="SidhuvudKantUdda"/>
      <w:framePr w:w="8732" w:h="567" w:hRule="exact" w:vSpace="0" w:wrap="around" w:vAnchor="page" w:y="341" w:anchorLock="0"/>
    </w:pPr>
    <w:r w:rsidRPr="00387BB5">
      <w:rPr>
        <w:rStyle w:val="SidhuvudRubrikReferens"/>
      </w:rPr>
      <w:t>Förslag till vinstdisposition för 2009</w:t>
    </w:r>
    <w:r w:rsidR="00CC5BC5" w:rsidRPr="00387BB5">
      <w:rPr>
        <w:rStyle w:val="SidhuvudBilaga"/>
      </w:rPr>
      <w:t xml:space="preserve"> </w:t>
    </w:r>
    <w:r w:rsidR="00CC5BC5" w:rsidRPr="00387BB5">
      <w:t xml:space="preserve">     </w:t>
    </w:r>
    <w:r w:rsidR="00CC5BC5" w:rsidRPr="00387BB5">
      <w:rPr>
        <w:rStyle w:val="SidhuvudUtskott"/>
      </w:rPr>
      <w:t>2009/10:RB3</w:t>
    </w:r>
  </w:p>
  <w:p w:rsidR="00CC5BC5" w:rsidRPr="00387BB5" w:rsidRDefault="00CC5BC5">
    <w:pPr>
      <w:pStyle w:val="SidhuvudKantUdda"/>
      <w:framePr w:w="8732" w:h="567" w:hRule="exact" w:vSpace="0" w:wrap="around" w:vAnchor="page" w:y="341" w:anchorLock="0"/>
    </w:pPr>
  </w:p>
  <w:p w:rsidR="00CC5BC5" w:rsidRPr="00387BB5" w:rsidRDefault="00CC5BC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24A" w:rsidRPr="00387BB5" w:rsidRDefault="006D624A">
    <w:pPr>
      <w:pStyle w:val="SidhuvudKantJmn"/>
      <w:framePr w:w="8732" w:h="567" w:hRule="exact" w:vSpace="0" w:wrap="around" w:vAnchor="page" w:y="341" w:anchorLock="0"/>
    </w:pPr>
    <w:r w:rsidRPr="00387BB5">
      <w:rPr>
        <w:rStyle w:val="SidhuvudUtskott"/>
      </w:rPr>
      <w:t>2009/10:RB3</w:t>
    </w:r>
    <w:r w:rsidRPr="00387BB5">
      <w:t xml:space="preserve">    </w:t>
    </w:r>
  </w:p>
  <w:p w:rsidR="006D624A" w:rsidRPr="00387BB5" w:rsidRDefault="006D624A">
    <w:pPr>
      <w:pStyle w:val="SidhuvudKantJmn"/>
      <w:framePr w:w="8732" w:h="567" w:hRule="exact" w:vSpace="0" w:wrap="around" w:vAnchor="page" w:y="341" w:anchorLock="0"/>
    </w:pPr>
  </w:p>
  <w:p w:rsidR="00CC5BC5" w:rsidRPr="00387BB5" w:rsidRDefault="006D624A">
    <w:pPr>
      <w:pStyle w:val="SidhuvudKantUdda"/>
      <w:framePr w:w="8732" w:h="567" w:hRule="exact" w:vSpace="0" w:wrap="around" w:vAnchor="page" w:y="341" w:anchorLock="0"/>
    </w:pPr>
    <w:r w:rsidRPr="00387BB5">
      <w:rPr>
        <w:rStyle w:val="SidhuvudRubrikReferens"/>
        <w:smallCaps w:val="0"/>
      </w:rPr>
      <w:t xml:space="preserve"> </w:t>
    </w:r>
  </w:p>
  <w:p w:rsidR="00CC5BC5" w:rsidRPr="00387BB5" w:rsidRDefault="00CC5BC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huvudKantJmn"/>
      <w:framePr w:w="8732" w:h="567" w:hRule="exact" w:vSpace="0" w:wrap="around" w:vAnchor="page" w:y="341" w:anchorLock="0"/>
    </w:pPr>
    <w:r w:rsidRPr="00387BB5">
      <w:rPr>
        <w:rStyle w:val="SidhuvudUtskott"/>
      </w:rPr>
      <w:t>2009/10:RB3</w:t>
    </w:r>
    <w:r w:rsidRPr="00387BB5">
      <w:t xml:space="preserve">     </w:t>
    </w:r>
    <w:r w:rsidRPr="00387BB5">
      <w:rPr>
        <w:rStyle w:val="SidhuvudBilaga"/>
      </w:rPr>
      <w:t xml:space="preserve"> </w:t>
    </w:r>
    <w:r w:rsidR="006D624A" w:rsidRPr="00387BB5">
      <w:rPr>
        <w:rStyle w:val="SidhuvudRubrikReferens"/>
      </w:rPr>
      <w:t>Fullmäktiges verksamhet 2009</w:t>
    </w:r>
  </w:p>
  <w:p w:rsidR="00CC5BC5" w:rsidRPr="00387BB5" w:rsidRDefault="00CC5BC5">
    <w:pPr>
      <w:pStyle w:val="SidhuvudKantJmn"/>
      <w:framePr w:w="8732" w:h="567" w:hRule="exact" w:vSpace="0" w:wrap="around" w:vAnchor="page" w:y="341" w:anchorLock="0"/>
    </w:pPr>
  </w:p>
  <w:p w:rsidR="00CC5BC5" w:rsidRPr="00387BB5" w:rsidRDefault="00CC5BC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6D624A" w:rsidP="000F6952">
    <w:pPr>
      <w:pStyle w:val="SidhuvudKantUdda"/>
      <w:framePr w:w="8732" w:h="567" w:hRule="exact" w:vSpace="0" w:wrap="around" w:vAnchor="page" w:y="341" w:anchorLock="0"/>
    </w:pPr>
    <w:r w:rsidRPr="00387BB5">
      <w:rPr>
        <w:rStyle w:val="SidhuvudRubrikReferens"/>
      </w:rPr>
      <w:t>Fullmäktiges verksamhet 2009</w:t>
    </w:r>
    <w:r w:rsidR="00CC5BC5" w:rsidRPr="00387BB5">
      <w:rPr>
        <w:rStyle w:val="SidhuvudBilaga"/>
      </w:rPr>
      <w:t xml:space="preserve"> </w:t>
    </w:r>
    <w:r w:rsidR="00CC5BC5" w:rsidRPr="00387BB5">
      <w:t xml:space="preserve">     </w:t>
    </w:r>
    <w:r w:rsidR="00CC5BC5" w:rsidRPr="00387BB5">
      <w:rPr>
        <w:rStyle w:val="SidhuvudUtskott"/>
      </w:rPr>
      <w:t>2009/10:RB3</w:t>
    </w:r>
  </w:p>
  <w:p w:rsidR="00CC5BC5" w:rsidRPr="00387BB5" w:rsidRDefault="00CC5BC5" w:rsidP="000F6952">
    <w:pPr>
      <w:pStyle w:val="SidhuvudKantUdda"/>
      <w:framePr w:w="8732" w:h="567" w:hRule="exact" w:vSpace="0" w:wrap="around" w:vAnchor="page" w:y="341" w:anchorLock="0"/>
    </w:pPr>
  </w:p>
  <w:p w:rsidR="00CC5BC5" w:rsidRPr="00387BB5" w:rsidRDefault="006D624A">
    <w:pPr>
      <w:pStyle w:val="SidhuvudKantUdda"/>
      <w:framePr w:w="8732" w:h="567" w:hRule="exact" w:vSpace="0" w:wrap="around" w:vAnchor="page" w:y="341" w:anchorLock="0"/>
    </w:pPr>
    <w:r w:rsidRPr="00387BB5">
      <w:rPr>
        <w:rStyle w:val="SidhuvudRubrikReferens"/>
      </w:rPr>
      <w:t>Fullmäktiges verksamhet 2009</w:t>
    </w:r>
    <w:r w:rsidR="00CC5BC5" w:rsidRPr="00387BB5">
      <w:rPr>
        <w:rStyle w:val="SidhuvudBilaga"/>
      </w:rPr>
      <w:t xml:space="preserve"> </w:t>
    </w:r>
    <w:r w:rsidR="00CC5BC5" w:rsidRPr="00387BB5">
      <w:t xml:space="preserve">     </w:t>
    </w:r>
    <w:r w:rsidR="00CC5BC5" w:rsidRPr="00387BB5">
      <w:rPr>
        <w:rStyle w:val="SidhuvudUtskott"/>
      </w:rPr>
      <w:t>2009/10:RB3</w:t>
    </w:r>
  </w:p>
  <w:p w:rsidR="00CC5BC5" w:rsidRPr="00387BB5" w:rsidRDefault="00CC5BC5">
    <w:pPr>
      <w:pStyle w:val="SidhuvudKantUdda"/>
      <w:framePr w:w="8732" w:h="567" w:hRule="exact" w:vSpace="0" w:wrap="around" w:vAnchor="page" w:y="341" w:anchorLock="0"/>
    </w:pPr>
  </w:p>
  <w:p w:rsidR="00CC5BC5" w:rsidRPr="00387BB5" w:rsidRDefault="00CC5BC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24A" w:rsidRPr="00387BB5" w:rsidRDefault="006D624A">
    <w:pPr>
      <w:pStyle w:val="SidhuvudKantJmn"/>
      <w:framePr w:w="8732" w:h="567" w:hRule="exact" w:vSpace="0" w:wrap="around" w:vAnchor="page" w:y="341" w:anchorLock="0"/>
    </w:pPr>
    <w:r w:rsidRPr="00387BB5">
      <w:rPr>
        <w:rStyle w:val="SidhuvudUtskott"/>
      </w:rPr>
      <w:t>2009/10:RB3</w:t>
    </w:r>
    <w:r w:rsidRPr="00387BB5">
      <w:t xml:space="preserve">    </w:t>
    </w:r>
  </w:p>
  <w:p w:rsidR="006D624A" w:rsidRPr="00387BB5" w:rsidRDefault="006D624A">
    <w:pPr>
      <w:pStyle w:val="SidhuvudKantJmn"/>
      <w:framePr w:w="8732" w:h="567" w:hRule="exact" w:vSpace="0" w:wrap="around" w:vAnchor="page" w:y="341" w:anchorLock="0"/>
    </w:pPr>
  </w:p>
  <w:p w:rsidR="00CC5BC5" w:rsidRPr="00387BB5" w:rsidRDefault="006D624A">
    <w:pPr>
      <w:pStyle w:val="SidhuvudKantUdda"/>
      <w:framePr w:w="8732" w:h="567" w:hRule="exact" w:vSpace="0" w:wrap="around" w:vAnchor="page" w:y="341" w:anchorLock="0"/>
    </w:pPr>
    <w:r w:rsidRPr="00387BB5">
      <w:rPr>
        <w:rStyle w:val="SidhuvudRubrikReferens"/>
        <w:smallCaps w:val="0"/>
      </w:rPr>
      <w:t xml:space="preserve"> </w:t>
    </w:r>
  </w:p>
  <w:p w:rsidR="00CC5BC5" w:rsidRPr="00387BB5" w:rsidRDefault="00CC5BC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huvudKantJmn"/>
      <w:framePr w:w="8732" w:h="567" w:hRule="exact" w:vSpace="0" w:wrap="around" w:vAnchor="page" w:y="341" w:anchorLock="0"/>
    </w:pPr>
    <w:r w:rsidRPr="00387BB5">
      <w:rPr>
        <w:rStyle w:val="SidhuvudUtskott"/>
      </w:rPr>
      <w:fldChar w:fldCharType="begin" w:fldLock="1"/>
    </w:r>
    <w:r w:rsidRPr="00387BB5">
      <w:rPr>
        <w:rStyle w:val="SidhuvudUtskott"/>
      </w:rPr>
      <w:instrText xml:space="preserve"> DOCPROPERTY BetänkandeÅr</w:instrText>
    </w:r>
    <w:r w:rsidRPr="00387BB5">
      <w:rPr>
        <w:rStyle w:val="SidhuvudUtskott"/>
      </w:rPr>
      <w:fldChar w:fldCharType="separate"/>
    </w:r>
    <w:r w:rsidRPr="00387BB5">
      <w:rPr>
        <w:rStyle w:val="SidhuvudUtskott"/>
      </w:rPr>
      <w:t>2009/10</w:t>
    </w:r>
    <w:r w:rsidRPr="00387BB5">
      <w:rPr>
        <w:rStyle w:val="SidhuvudUtskott"/>
      </w:rPr>
      <w:fldChar w:fldCharType="end"/>
    </w:r>
    <w:r w:rsidRPr="00387BB5">
      <w:rPr>
        <w:rStyle w:val="SidhuvudUtskott"/>
      </w:rPr>
      <w:t>:</w:t>
    </w:r>
    <w:r w:rsidRPr="00387BB5">
      <w:rPr>
        <w:rStyle w:val="SidhuvudUtskott"/>
      </w:rPr>
      <w:fldChar w:fldCharType="begin" w:fldLock="1"/>
    </w:r>
    <w:r w:rsidRPr="00387BB5">
      <w:rPr>
        <w:rStyle w:val="SidhuvudUtskott"/>
      </w:rPr>
      <w:instrText xml:space="preserve"> DOCPROPERTY Utskott</w:instrText>
    </w:r>
    <w:r w:rsidRPr="00387BB5">
      <w:rPr>
        <w:rStyle w:val="SidhuvudUtskott"/>
      </w:rPr>
      <w:fldChar w:fldCharType="separate"/>
    </w:r>
    <w:r w:rsidRPr="00387BB5">
      <w:rPr>
        <w:rStyle w:val="SidhuvudUtskott"/>
      </w:rPr>
      <w:t>RB</w:t>
    </w:r>
    <w:r w:rsidRPr="00387BB5">
      <w:rPr>
        <w:rStyle w:val="SidhuvudUtskott"/>
      </w:rPr>
      <w:fldChar w:fldCharType="end"/>
    </w:r>
    <w:r w:rsidRPr="00387BB5">
      <w:rPr>
        <w:rStyle w:val="SidhuvudUtskott"/>
      </w:rPr>
      <w:fldChar w:fldCharType="begin" w:fldLock="1"/>
    </w:r>
    <w:r w:rsidRPr="00387BB5">
      <w:rPr>
        <w:rStyle w:val="SidhuvudUtskott"/>
      </w:rPr>
      <w:instrText xml:space="preserve"> DOCPROPERTY BetänkandeNr</w:instrText>
    </w:r>
    <w:r w:rsidRPr="00387BB5">
      <w:rPr>
        <w:rStyle w:val="SidhuvudUtskott"/>
      </w:rPr>
      <w:fldChar w:fldCharType="separate"/>
    </w:r>
    <w:r w:rsidRPr="00387BB5">
      <w:rPr>
        <w:rStyle w:val="SidhuvudUtskott"/>
      </w:rPr>
      <w:t>3</w:t>
    </w:r>
    <w:r w:rsidRPr="00387BB5">
      <w:rPr>
        <w:rStyle w:val="SidhuvudUtskott"/>
      </w:rPr>
      <w:fldChar w:fldCharType="end"/>
    </w:r>
    <w:r w:rsidRPr="00387BB5">
      <w:t xml:space="preserve">     </w:t>
    </w:r>
    <w:r w:rsidRPr="00387BB5">
      <w:rPr>
        <w:rStyle w:val="SidhuvudBilaga"/>
      </w:rPr>
      <w:t xml:space="preserve"> </w:t>
    </w:r>
    <w:r w:rsidRPr="00387BB5">
      <w:rPr>
        <w:rStyle w:val="SidhuvudRubrikReferens"/>
      </w:rPr>
      <w:fldChar w:fldCharType="begin" w:fldLock="1"/>
    </w:r>
    <w:r w:rsidRPr="00387BB5">
      <w:rPr>
        <w:rStyle w:val="SidhuvudRubrikReferens"/>
      </w:rPr>
      <w:instrText xml:space="preserve"> StyleREF "Rubrik 1" </w:instrText>
    </w:r>
    <w:r w:rsidRPr="00387BB5">
      <w:rPr>
        <w:rStyle w:val="SidhuvudRubrikReferens"/>
      </w:rPr>
      <w:fldChar w:fldCharType="end"/>
    </w:r>
  </w:p>
  <w:p w:rsidR="00CC5BC5" w:rsidRPr="00387BB5" w:rsidRDefault="00CC5BC5">
    <w:pPr>
      <w:pStyle w:val="SidhuvudKantJmn"/>
      <w:framePr w:w="8732" w:h="567" w:hRule="exact" w:vSpace="0" w:wrap="around" w:vAnchor="page" w:y="341" w:anchorLock="0"/>
    </w:pPr>
    <w:r w:rsidRPr="00387BB5">
      <w:rPr>
        <w:rStyle w:val="SidhuvudUtskott"/>
      </w:rPr>
      <w:fldChar w:fldCharType="begin" w:fldLock="1"/>
    </w:r>
    <w:r w:rsidRPr="00387BB5">
      <w:rPr>
        <w:rStyle w:val="SidhuvudUtskott"/>
      </w:rPr>
      <w:instrText xml:space="preserve"> DOCPROPERTY Status</w:instrText>
    </w:r>
    <w:r w:rsidRPr="00387BB5">
      <w:rPr>
        <w:rStyle w:val="SidhuvudUtskott"/>
      </w:rPr>
      <w:fldChar w:fldCharType="end"/>
    </w:r>
    <w:r w:rsidRPr="00387BB5">
      <w:rPr>
        <w:rStyle w:val="SidhuvudUtskott"/>
      </w:rPr>
      <w:fldChar w:fldCharType="begin" w:fldLock="1"/>
    </w:r>
    <w:r w:rsidRPr="00387BB5">
      <w:rPr>
        <w:rStyle w:val="SidhuvudUtskott"/>
      </w:rPr>
      <w:instrText xml:space="preserve"> if </w:instrText>
    </w:r>
    <w:r w:rsidRPr="00387BB5">
      <w:rPr>
        <w:rStyle w:val="SidhuvudUtskott"/>
      </w:rPr>
      <w:fldChar w:fldCharType="begin" w:fldLock="1"/>
    </w:r>
    <w:r w:rsidRPr="00387BB5">
      <w:rPr>
        <w:rStyle w:val="SidhuvudUtskott"/>
      </w:rPr>
      <w:instrText xml:space="preserve"> DOCPROPERTY "UtkastDatum"</w:instrText>
    </w:r>
    <w:r w:rsidRPr="00387BB5">
      <w:rPr>
        <w:rStyle w:val="SidhuvudUtskott"/>
      </w:rPr>
      <w:fldChar w:fldCharType="separate"/>
    </w:r>
    <w:r w:rsidRPr="00387BB5">
      <w:rPr>
        <w:rStyle w:val="SidhuvudUtskott"/>
      </w:rPr>
      <w:instrText>Nej</w:instrText>
    </w:r>
    <w:r w:rsidRPr="00387BB5">
      <w:rPr>
        <w:rStyle w:val="SidhuvudUtskott"/>
      </w:rPr>
      <w:fldChar w:fldCharType="end"/>
    </w:r>
    <w:r w:rsidRPr="00387BB5">
      <w:rPr>
        <w:rStyle w:val="SidhuvudUtskott"/>
      </w:rPr>
      <w:instrText xml:space="preserve"> = "Ja" "    </w:instrText>
    </w:r>
    <w:r w:rsidRPr="00387BB5">
      <w:rPr>
        <w:rStyle w:val="SidhuvudUtskott"/>
      </w:rPr>
      <w:fldChar w:fldCharType="begin" w:fldLock="1"/>
    </w:r>
    <w:r w:rsidRPr="00387BB5">
      <w:rPr>
        <w:rStyle w:val="SidhuvudUtskott"/>
      </w:rPr>
      <w:instrText xml:space="preserve"> PRINTDATE \@ "yyyy-MM-dd HH.mm" </w:instrText>
    </w:r>
    <w:r w:rsidRPr="00387BB5">
      <w:rPr>
        <w:rStyle w:val="SidhuvudUtskott"/>
      </w:rPr>
      <w:fldChar w:fldCharType="separate"/>
    </w:r>
    <w:r w:rsidRPr="00387BB5">
      <w:rPr>
        <w:rStyle w:val="SidhuvudUtskott"/>
      </w:rPr>
      <w:instrText>2000-08-11 16.42</w:instrText>
    </w:r>
    <w:r w:rsidRPr="00387BB5">
      <w:rPr>
        <w:rStyle w:val="SidhuvudUtskott"/>
      </w:rPr>
      <w:fldChar w:fldCharType="end"/>
    </w:r>
    <w:r w:rsidRPr="00387BB5">
      <w:rPr>
        <w:rStyle w:val="SidhuvudUtskott"/>
      </w:rPr>
      <w:instrText xml:space="preserve">" </w:instrText>
    </w:r>
    <w:r w:rsidRPr="00387BB5">
      <w:rPr>
        <w:rStyle w:val="SidhuvudUtskott"/>
      </w:rPr>
      <w:fldChar w:fldCharType="end"/>
    </w:r>
  </w:p>
  <w:p w:rsidR="00CC5BC5" w:rsidRPr="00387BB5" w:rsidRDefault="00CC5BC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huvudKantUdda"/>
      <w:framePr w:w="8732" w:h="567" w:hRule="exact" w:vSpace="0" w:wrap="around" w:vAnchor="page" w:y="341" w:anchorLock="0"/>
    </w:pPr>
    <w:r w:rsidRPr="00387BB5">
      <w:rPr>
        <w:rStyle w:val="SidhuvudRubrikReferens"/>
      </w:rPr>
      <w:t>Bilaga</w:t>
    </w:r>
    <w:r w:rsidRPr="00387BB5">
      <w:rPr>
        <w:rStyle w:val="SidhuvudBilaga"/>
      </w:rPr>
      <w:t xml:space="preserve"> </w:t>
    </w:r>
    <w:r w:rsidRPr="00387BB5">
      <w:t xml:space="preserve">     </w:t>
    </w:r>
    <w:r w:rsidRPr="00387BB5">
      <w:rPr>
        <w:rStyle w:val="SidhuvudUtskott"/>
      </w:rPr>
      <w:t>2009/10:RB3</w:t>
    </w:r>
  </w:p>
  <w:p w:rsidR="00CC5BC5" w:rsidRPr="00387BB5" w:rsidRDefault="00CC5BC5">
    <w:pPr>
      <w:pStyle w:val="SidhuvudKantUdda"/>
      <w:framePr w:w="8732" w:h="567" w:hRule="exact" w:vSpace="0" w:wrap="around" w:vAnchor="page" w:y="341" w:anchorLock="0"/>
    </w:pPr>
  </w:p>
  <w:p w:rsidR="00CC5BC5" w:rsidRPr="00387BB5" w:rsidRDefault="00CC5BC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24A" w:rsidRPr="00387BB5" w:rsidRDefault="006D624A">
    <w:pPr>
      <w:pStyle w:val="SidhuvudKantJmn"/>
      <w:framePr w:w="8732" w:h="567" w:hRule="exact" w:vSpace="0" w:wrap="around" w:vAnchor="page" w:y="341" w:anchorLock="0"/>
    </w:pPr>
    <w:r w:rsidRPr="00387BB5">
      <w:rPr>
        <w:rStyle w:val="SidhuvudUtskott"/>
      </w:rPr>
      <w:t>2009/10:RB3</w:t>
    </w:r>
    <w:r w:rsidRPr="00387BB5">
      <w:t xml:space="preserve">    </w:t>
    </w:r>
  </w:p>
  <w:p w:rsidR="006D624A" w:rsidRPr="00387BB5" w:rsidRDefault="006D624A">
    <w:pPr>
      <w:pStyle w:val="SidhuvudKantJmn"/>
      <w:framePr w:w="8732" w:h="567" w:hRule="exact" w:vSpace="0" w:wrap="around" w:vAnchor="page" w:y="341" w:anchorLock="0"/>
    </w:pPr>
  </w:p>
  <w:p w:rsidR="00CC5BC5" w:rsidRPr="00387BB5" w:rsidRDefault="006D624A">
    <w:pPr>
      <w:pStyle w:val="SidhuvudKantUdda"/>
      <w:framePr w:w="8732" w:h="567" w:hRule="exact" w:vSpace="0" w:wrap="around" w:vAnchor="page" w:y="341" w:anchorLock="0"/>
    </w:pPr>
    <w:r w:rsidRPr="00387BB5">
      <w:rPr>
        <w:rStyle w:val="SidhuvudRubrikReferens"/>
        <w:smallCaps w:val="0"/>
      </w:rPr>
      <w:t xml:space="preserve"> </w:t>
    </w:r>
  </w:p>
  <w:p w:rsidR="00CC5BC5" w:rsidRPr="00387BB5" w:rsidRDefault="00CC5BC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huvudKantUdda"/>
      <w:framePr w:w="8732" w:h="567" w:hRule="exact" w:vSpace="0" w:wrap="around" w:vAnchor="page" w:y="341" w:anchorLock="0"/>
    </w:pPr>
    <w:r w:rsidRPr="00387BB5">
      <w:rPr>
        <w:rStyle w:val="SidhuvudRubrikReferens"/>
      </w:rPr>
      <w:fldChar w:fldCharType="begin" w:fldLock="1"/>
    </w:r>
    <w:r w:rsidRPr="00387BB5">
      <w:rPr>
        <w:rStyle w:val="SidhuvudRubrikReferens"/>
      </w:rPr>
      <w:instrText xml:space="preserve"> StyleREF "Rubrik 1" </w:instrText>
    </w:r>
    <w:r w:rsidRPr="00387BB5">
      <w:rPr>
        <w:rStyle w:val="SidhuvudRubrikReferens"/>
      </w:rPr>
      <w:fldChar w:fldCharType="separate"/>
    </w:r>
    <w:r w:rsidRPr="00387BB5">
      <w:rPr>
        <w:rStyle w:val="SidhuvudRubrikReferens"/>
      </w:rPr>
      <w:t>Sammanfattning</w:t>
    </w:r>
    <w:r w:rsidRPr="00387BB5">
      <w:rPr>
        <w:rStyle w:val="SidhuvudRubrikReferens"/>
      </w:rPr>
      <w:fldChar w:fldCharType="end"/>
    </w:r>
    <w:r w:rsidRPr="00387BB5">
      <w:rPr>
        <w:rStyle w:val="SidhuvudBilaga"/>
      </w:rPr>
      <w:t xml:space="preserve"> </w:t>
    </w:r>
    <w:r w:rsidRPr="00387BB5">
      <w:t xml:space="preserve">     </w:t>
    </w:r>
    <w:r w:rsidRPr="00387BB5">
      <w:rPr>
        <w:rStyle w:val="SidhuvudUtskott"/>
      </w:rPr>
      <w:fldChar w:fldCharType="begin" w:fldLock="1"/>
    </w:r>
    <w:r w:rsidRPr="00387BB5">
      <w:rPr>
        <w:rStyle w:val="SidhuvudUtskott"/>
      </w:rPr>
      <w:instrText xml:space="preserve"> DOCPROPERTY BetänkandeÅr</w:instrText>
    </w:r>
    <w:r w:rsidRPr="00387BB5">
      <w:rPr>
        <w:rStyle w:val="SidhuvudUtskott"/>
      </w:rPr>
      <w:fldChar w:fldCharType="separate"/>
    </w:r>
    <w:r w:rsidRPr="00387BB5">
      <w:rPr>
        <w:rStyle w:val="SidhuvudUtskott"/>
      </w:rPr>
      <w:t>2009/10</w:t>
    </w:r>
    <w:r w:rsidRPr="00387BB5">
      <w:rPr>
        <w:rStyle w:val="SidhuvudUtskott"/>
      </w:rPr>
      <w:fldChar w:fldCharType="end"/>
    </w:r>
    <w:r w:rsidRPr="00387BB5">
      <w:rPr>
        <w:rStyle w:val="SidhuvudUtskott"/>
      </w:rPr>
      <w:t>:</w:t>
    </w:r>
    <w:r w:rsidRPr="00387BB5">
      <w:rPr>
        <w:rStyle w:val="SidhuvudUtskott"/>
      </w:rPr>
      <w:fldChar w:fldCharType="begin" w:fldLock="1"/>
    </w:r>
    <w:r w:rsidRPr="00387BB5">
      <w:rPr>
        <w:rStyle w:val="SidhuvudUtskott"/>
      </w:rPr>
      <w:instrText xml:space="preserve"> DOCPROPERTY</w:instrText>
    </w:r>
    <w:r w:rsidRPr="00387BB5">
      <w:instrText xml:space="preserve"> </w:instrText>
    </w:r>
    <w:r w:rsidRPr="00387BB5">
      <w:rPr>
        <w:rStyle w:val="SidhuvudUtskott"/>
      </w:rPr>
      <w:instrText>Utskott</w:instrText>
    </w:r>
    <w:r w:rsidRPr="00387BB5">
      <w:rPr>
        <w:rStyle w:val="SidhuvudUtskott"/>
      </w:rPr>
      <w:fldChar w:fldCharType="separate"/>
    </w:r>
    <w:r w:rsidRPr="00387BB5">
      <w:rPr>
        <w:rStyle w:val="SidhuvudUtskott"/>
      </w:rPr>
      <w:t>RB</w:t>
    </w:r>
    <w:r w:rsidRPr="00387BB5">
      <w:rPr>
        <w:rStyle w:val="SidhuvudUtskott"/>
      </w:rPr>
      <w:fldChar w:fldCharType="end"/>
    </w:r>
    <w:r w:rsidRPr="00387BB5">
      <w:rPr>
        <w:rStyle w:val="SidhuvudUtskott"/>
      </w:rPr>
      <w:fldChar w:fldCharType="begin" w:fldLock="1"/>
    </w:r>
    <w:r w:rsidRPr="00387BB5">
      <w:rPr>
        <w:rStyle w:val="SidhuvudUtskott"/>
      </w:rPr>
      <w:instrText xml:space="preserve"> DOCPROPERTY Betä</w:instrText>
    </w:r>
    <w:r w:rsidRPr="00387BB5">
      <w:rPr>
        <w:rStyle w:val="SidhuvudUtskott"/>
      </w:rPr>
      <w:instrText>n</w:instrText>
    </w:r>
    <w:r w:rsidRPr="00387BB5">
      <w:rPr>
        <w:rStyle w:val="SidhuvudUtskott"/>
      </w:rPr>
      <w:instrText>kandeNr</w:instrText>
    </w:r>
    <w:r w:rsidRPr="00387BB5">
      <w:rPr>
        <w:rStyle w:val="SidhuvudUtskott"/>
      </w:rPr>
      <w:fldChar w:fldCharType="separate"/>
    </w:r>
    <w:r w:rsidRPr="00387BB5">
      <w:rPr>
        <w:rStyle w:val="SidhuvudUtskott"/>
      </w:rPr>
      <w:t>3</w:t>
    </w:r>
    <w:r w:rsidRPr="00387BB5">
      <w:rPr>
        <w:rStyle w:val="SidhuvudUtskott"/>
      </w:rPr>
      <w:fldChar w:fldCharType="end"/>
    </w:r>
  </w:p>
  <w:p w:rsidR="00CC5BC5" w:rsidRPr="00387BB5" w:rsidRDefault="00CC5BC5">
    <w:pPr>
      <w:pStyle w:val="SidhuvudKantUdda"/>
      <w:framePr w:w="8732" w:h="567" w:hRule="exact" w:vSpace="0" w:wrap="around" w:vAnchor="page" w:y="341" w:anchorLock="0"/>
    </w:pPr>
    <w:r w:rsidRPr="00387BB5">
      <w:rPr>
        <w:rStyle w:val="SidhuvudUtskott"/>
      </w:rPr>
      <w:fldChar w:fldCharType="begin" w:fldLock="1"/>
    </w:r>
    <w:r w:rsidRPr="00387BB5">
      <w:rPr>
        <w:rStyle w:val="SidhuvudUtskott"/>
      </w:rPr>
      <w:instrText xml:space="preserve"> if </w:instrText>
    </w:r>
    <w:r w:rsidRPr="00387BB5">
      <w:rPr>
        <w:rStyle w:val="SidhuvudUtskott"/>
      </w:rPr>
      <w:fldChar w:fldCharType="begin" w:fldLock="1"/>
    </w:r>
    <w:r w:rsidRPr="00387BB5">
      <w:rPr>
        <w:rStyle w:val="SidhuvudUtskott"/>
      </w:rPr>
      <w:instrText xml:space="preserve"> DOCPROPERTY "UtkastDatum"</w:instrText>
    </w:r>
    <w:r w:rsidRPr="00387BB5">
      <w:rPr>
        <w:rStyle w:val="SidhuvudUtskott"/>
      </w:rPr>
      <w:fldChar w:fldCharType="separate"/>
    </w:r>
    <w:r w:rsidRPr="00387BB5">
      <w:rPr>
        <w:rStyle w:val="SidhuvudUtskott"/>
      </w:rPr>
      <w:instrText>Nej</w:instrText>
    </w:r>
    <w:r w:rsidRPr="00387BB5">
      <w:rPr>
        <w:rStyle w:val="SidhuvudUtskott"/>
      </w:rPr>
      <w:fldChar w:fldCharType="end"/>
    </w:r>
    <w:r w:rsidRPr="00387BB5">
      <w:rPr>
        <w:rStyle w:val="SidhuvudUtskott"/>
      </w:rPr>
      <w:instrText xml:space="preserve"> = "Ja" "</w:instrText>
    </w:r>
    <w:r w:rsidRPr="00387BB5">
      <w:rPr>
        <w:rStyle w:val="SidhuvudUtskott"/>
      </w:rPr>
      <w:fldChar w:fldCharType="begin" w:fldLock="1"/>
    </w:r>
    <w:r w:rsidRPr="00387BB5">
      <w:rPr>
        <w:rStyle w:val="SidhuvudUtskott"/>
      </w:rPr>
      <w:instrText xml:space="preserve"> PRINTDATE \@ "yyyy-MM-dd HH.mm    " </w:instrText>
    </w:r>
    <w:r w:rsidRPr="00387BB5">
      <w:rPr>
        <w:rStyle w:val="SidhuvudUtskott"/>
      </w:rPr>
      <w:fldChar w:fldCharType="separate"/>
    </w:r>
    <w:r w:rsidRPr="00387BB5">
      <w:rPr>
        <w:rStyle w:val="SidhuvudUtskott"/>
      </w:rPr>
      <w:instrText>2000-08-11 16.42</w:instrText>
    </w:r>
    <w:r w:rsidRPr="00387BB5">
      <w:rPr>
        <w:rStyle w:val="SidhuvudUtskott"/>
      </w:rPr>
      <w:fldChar w:fldCharType="end"/>
    </w:r>
    <w:r w:rsidRPr="00387BB5">
      <w:rPr>
        <w:rStyle w:val="SidhuvudUtskott"/>
      </w:rPr>
      <w:instrText xml:space="preserve">" </w:instrText>
    </w:r>
    <w:r w:rsidRPr="00387BB5">
      <w:rPr>
        <w:rStyle w:val="SidhuvudUtskott"/>
      </w:rPr>
      <w:fldChar w:fldCharType="end"/>
    </w:r>
    <w:r w:rsidRPr="00387BB5">
      <w:rPr>
        <w:rStyle w:val="SidhuvudUtskott"/>
      </w:rPr>
      <w:fldChar w:fldCharType="begin" w:fldLock="1"/>
    </w:r>
    <w:r w:rsidRPr="00387BB5">
      <w:rPr>
        <w:rStyle w:val="SidhuvudUtskott"/>
      </w:rPr>
      <w:instrText xml:space="preserve"> DOCPR</w:instrText>
    </w:r>
    <w:r w:rsidRPr="00387BB5">
      <w:rPr>
        <w:rStyle w:val="SidhuvudUtskott"/>
      </w:rPr>
      <w:instrText>O</w:instrText>
    </w:r>
    <w:r w:rsidRPr="00387BB5">
      <w:rPr>
        <w:rStyle w:val="SidhuvudUtskott"/>
      </w:rPr>
      <w:instrText>PERTY Status</w:instrText>
    </w:r>
    <w:r w:rsidRPr="00387BB5">
      <w:rPr>
        <w:rStyle w:val="SidhuvudUtskott"/>
      </w:rPr>
      <w:fldChar w:fldCharType="end"/>
    </w:r>
  </w:p>
  <w:p w:rsidR="00CC5BC5" w:rsidRPr="00387BB5" w:rsidRDefault="00CC5BC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6D624A">
    <w:pPr>
      <w:pStyle w:val="SidhuvudKantUdda"/>
      <w:framePr w:w="8732" w:h="567" w:hRule="exact" w:vSpace="0" w:wrap="around" w:vAnchor="page" w:y="341" w:anchorLock="0"/>
    </w:pPr>
    <w:r w:rsidRPr="00387BB5">
      <w:t xml:space="preserve"> </w:t>
    </w:r>
  </w:p>
  <w:p w:rsidR="00CC5BC5" w:rsidRPr="00387BB5" w:rsidRDefault="00CC5BC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huvudKantJmn"/>
      <w:framePr w:w="8732" w:h="567" w:hRule="exact" w:vSpace="0" w:wrap="around" w:vAnchor="page" w:y="341" w:anchorLock="0"/>
    </w:pPr>
    <w:r w:rsidRPr="00387BB5">
      <w:rPr>
        <w:rStyle w:val="SidhuvudUtskott"/>
      </w:rPr>
      <w:fldChar w:fldCharType="begin" w:fldLock="1"/>
    </w:r>
    <w:r w:rsidRPr="00387BB5">
      <w:rPr>
        <w:rStyle w:val="SidhuvudUtskott"/>
      </w:rPr>
      <w:instrText xml:space="preserve"> DOCPROPERTY BetänkandeÅr</w:instrText>
    </w:r>
    <w:r w:rsidRPr="00387BB5">
      <w:rPr>
        <w:rStyle w:val="SidhuvudUtskott"/>
      </w:rPr>
      <w:fldChar w:fldCharType="separate"/>
    </w:r>
    <w:r w:rsidRPr="00387BB5">
      <w:rPr>
        <w:rStyle w:val="SidhuvudUtskott"/>
      </w:rPr>
      <w:t>2009/10</w:t>
    </w:r>
    <w:r w:rsidRPr="00387BB5">
      <w:rPr>
        <w:rStyle w:val="SidhuvudUtskott"/>
      </w:rPr>
      <w:fldChar w:fldCharType="end"/>
    </w:r>
    <w:r w:rsidRPr="00387BB5">
      <w:rPr>
        <w:rStyle w:val="SidhuvudUtskott"/>
      </w:rPr>
      <w:t>:</w:t>
    </w:r>
    <w:r w:rsidRPr="00387BB5">
      <w:rPr>
        <w:rStyle w:val="SidhuvudUtskott"/>
      </w:rPr>
      <w:fldChar w:fldCharType="begin" w:fldLock="1"/>
    </w:r>
    <w:r w:rsidRPr="00387BB5">
      <w:rPr>
        <w:rStyle w:val="SidhuvudUtskott"/>
      </w:rPr>
      <w:instrText xml:space="preserve"> DOCPROPERTY Utskott</w:instrText>
    </w:r>
    <w:r w:rsidRPr="00387BB5">
      <w:rPr>
        <w:rStyle w:val="SidhuvudUtskott"/>
      </w:rPr>
      <w:fldChar w:fldCharType="separate"/>
    </w:r>
    <w:r w:rsidRPr="00387BB5">
      <w:rPr>
        <w:rStyle w:val="SidhuvudUtskott"/>
      </w:rPr>
      <w:t>RB</w:t>
    </w:r>
    <w:r w:rsidRPr="00387BB5">
      <w:rPr>
        <w:rStyle w:val="SidhuvudUtskott"/>
      </w:rPr>
      <w:fldChar w:fldCharType="end"/>
    </w:r>
    <w:r w:rsidRPr="00387BB5">
      <w:rPr>
        <w:rStyle w:val="SidhuvudUtskott"/>
      </w:rPr>
      <w:fldChar w:fldCharType="begin" w:fldLock="1"/>
    </w:r>
    <w:r w:rsidRPr="00387BB5">
      <w:rPr>
        <w:rStyle w:val="SidhuvudUtskott"/>
      </w:rPr>
      <w:instrText xml:space="preserve"> DOCPROPERTY BetänkandeNr</w:instrText>
    </w:r>
    <w:r w:rsidRPr="00387BB5">
      <w:rPr>
        <w:rStyle w:val="SidhuvudUtskott"/>
      </w:rPr>
      <w:fldChar w:fldCharType="separate"/>
    </w:r>
    <w:r w:rsidRPr="00387BB5">
      <w:rPr>
        <w:rStyle w:val="SidhuvudUtskott"/>
      </w:rPr>
      <w:t>3</w:t>
    </w:r>
    <w:r w:rsidRPr="00387BB5">
      <w:rPr>
        <w:rStyle w:val="SidhuvudUtskott"/>
      </w:rPr>
      <w:fldChar w:fldCharType="end"/>
    </w:r>
    <w:r w:rsidRPr="00387BB5">
      <w:t xml:space="preserve">     </w:t>
    </w:r>
    <w:r w:rsidRPr="00387BB5">
      <w:rPr>
        <w:rStyle w:val="SidhuvudBilaga"/>
      </w:rPr>
      <w:t xml:space="preserve"> </w:t>
    </w:r>
    <w:r w:rsidRPr="00387BB5">
      <w:rPr>
        <w:rStyle w:val="SidhuvudRubrikReferens"/>
      </w:rPr>
      <w:fldChar w:fldCharType="begin" w:fldLock="1"/>
    </w:r>
    <w:r w:rsidRPr="00387BB5">
      <w:rPr>
        <w:rStyle w:val="SidhuvudRubrikReferens"/>
      </w:rPr>
      <w:instrText xml:space="preserve"> StyleREF "Rubrik 1" </w:instrText>
    </w:r>
    <w:r w:rsidRPr="00387BB5">
      <w:rPr>
        <w:rStyle w:val="SidhuvudRubrikReferens"/>
      </w:rPr>
      <w:fldChar w:fldCharType="separate"/>
    </w:r>
    <w:r w:rsidRPr="00387BB5">
      <w:rPr>
        <w:rStyle w:val="SidhuvudRubrikReferens"/>
      </w:rPr>
      <w:t>Sammanfattning</w:t>
    </w:r>
    <w:r w:rsidRPr="00387BB5">
      <w:rPr>
        <w:rStyle w:val="SidhuvudRubrikReferens"/>
      </w:rPr>
      <w:fldChar w:fldCharType="end"/>
    </w:r>
  </w:p>
  <w:p w:rsidR="00CC5BC5" w:rsidRPr="00387BB5" w:rsidRDefault="00CC5BC5">
    <w:pPr>
      <w:pStyle w:val="SidhuvudKantJmn"/>
      <w:framePr w:w="8732" w:h="567" w:hRule="exact" w:vSpace="0" w:wrap="around" w:vAnchor="page" w:y="341" w:anchorLock="0"/>
    </w:pPr>
    <w:r w:rsidRPr="00387BB5">
      <w:rPr>
        <w:rStyle w:val="SidhuvudUtskott"/>
      </w:rPr>
      <w:fldChar w:fldCharType="begin" w:fldLock="1"/>
    </w:r>
    <w:r w:rsidRPr="00387BB5">
      <w:rPr>
        <w:rStyle w:val="SidhuvudUtskott"/>
      </w:rPr>
      <w:instrText xml:space="preserve"> DOCPROPERTY Status</w:instrText>
    </w:r>
    <w:r w:rsidRPr="00387BB5">
      <w:rPr>
        <w:rStyle w:val="SidhuvudUtskott"/>
      </w:rPr>
      <w:fldChar w:fldCharType="end"/>
    </w:r>
    <w:r w:rsidRPr="00387BB5">
      <w:rPr>
        <w:rStyle w:val="SidhuvudUtskott"/>
      </w:rPr>
      <w:fldChar w:fldCharType="begin" w:fldLock="1"/>
    </w:r>
    <w:r w:rsidRPr="00387BB5">
      <w:rPr>
        <w:rStyle w:val="SidhuvudUtskott"/>
      </w:rPr>
      <w:instrText xml:space="preserve"> if </w:instrText>
    </w:r>
    <w:r w:rsidRPr="00387BB5">
      <w:rPr>
        <w:rStyle w:val="SidhuvudUtskott"/>
      </w:rPr>
      <w:fldChar w:fldCharType="begin" w:fldLock="1"/>
    </w:r>
    <w:r w:rsidRPr="00387BB5">
      <w:rPr>
        <w:rStyle w:val="SidhuvudUtskott"/>
      </w:rPr>
      <w:instrText xml:space="preserve"> DOCPROPERTY "UtkastDatum"</w:instrText>
    </w:r>
    <w:r w:rsidRPr="00387BB5">
      <w:rPr>
        <w:rStyle w:val="SidhuvudUtskott"/>
      </w:rPr>
      <w:fldChar w:fldCharType="separate"/>
    </w:r>
    <w:r w:rsidRPr="00387BB5">
      <w:rPr>
        <w:rStyle w:val="SidhuvudUtskott"/>
      </w:rPr>
      <w:instrText>Nej</w:instrText>
    </w:r>
    <w:r w:rsidRPr="00387BB5">
      <w:rPr>
        <w:rStyle w:val="SidhuvudUtskott"/>
      </w:rPr>
      <w:fldChar w:fldCharType="end"/>
    </w:r>
    <w:r w:rsidRPr="00387BB5">
      <w:rPr>
        <w:rStyle w:val="SidhuvudUtskott"/>
      </w:rPr>
      <w:instrText xml:space="preserve"> = "Ja" "    </w:instrText>
    </w:r>
    <w:r w:rsidRPr="00387BB5">
      <w:rPr>
        <w:rStyle w:val="SidhuvudUtskott"/>
      </w:rPr>
      <w:fldChar w:fldCharType="begin" w:fldLock="1"/>
    </w:r>
    <w:r w:rsidRPr="00387BB5">
      <w:rPr>
        <w:rStyle w:val="SidhuvudUtskott"/>
      </w:rPr>
      <w:instrText xml:space="preserve"> PRINTDATE \@ "yyyy-MM-dd HH.mm" </w:instrText>
    </w:r>
    <w:r w:rsidRPr="00387BB5">
      <w:rPr>
        <w:rStyle w:val="SidhuvudUtskott"/>
      </w:rPr>
      <w:fldChar w:fldCharType="separate"/>
    </w:r>
    <w:r w:rsidRPr="00387BB5">
      <w:rPr>
        <w:rStyle w:val="SidhuvudUtskott"/>
      </w:rPr>
      <w:instrText>2000-08-11 16.42</w:instrText>
    </w:r>
    <w:r w:rsidRPr="00387BB5">
      <w:rPr>
        <w:rStyle w:val="SidhuvudUtskott"/>
      </w:rPr>
      <w:fldChar w:fldCharType="end"/>
    </w:r>
    <w:r w:rsidRPr="00387BB5">
      <w:rPr>
        <w:rStyle w:val="SidhuvudUtskott"/>
      </w:rPr>
      <w:instrText xml:space="preserve">" </w:instrText>
    </w:r>
    <w:r w:rsidRPr="00387BB5">
      <w:rPr>
        <w:rStyle w:val="SidhuvudUtskott"/>
      </w:rPr>
      <w:fldChar w:fldCharType="end"/>
    </w:r>
  </w:p>
  <w:p w:rsidR="00CC5BC5" w:rsidRPr="00387BB5" w:rsidRDefault="00CC5BC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huvudKantUdda"/>
      <w:framePr w:w="8732" w:h="567" w:hRule="exact" w:vSpace="0" w:wrap="around" w:vAnchor="page" w:y="341" w:anchorLock="0"/>
    </w:pPr>
    <w:r w:rsidRPr="00387BB5">
      <w:rPr>
        <w:rStyle w:val="SidhuvudRubrikReferens"/>
      </w:rPr>
      <w:fldChar w:fldCharType="begin" w:fldLock="1"/>
    </w:r>
    <w:r w:rsidRPr="00387BB5">
      <w:rPr>
        <w:rStyle w:val="SidhuvudRubrikReferens"/>
      </w:rPr>
      <w:instrText xml:space="preserve"> StyleREF "Rubrik 1" </w:instrText>
    </w:r>
    <w:r w:rsidRPr="00387BB5">
      <w:rPr>
        <w:rStyle w:val="SidhuvudRubrikReferens"/>
      </w:rPr>
      <w:fldChar w:fldCharType="separate"/>
    </w:r>
    <w:r w:rsidRPr="00387BB5">
      <w:rPr>
        <w:rStyle w:val="SidhuvudRubrikReferens"/>
      </w:rPr>
      <w:t>Sammanfattning</w:t>
    </w:r>
    <w:r w:rsidRPr="00387BB5">
      <w:rPr>
        <w:rStyle w:val="SidhuvudRubrikReferens"/>
      </w:rPr>
      <w:fldChar w:fldCharType="end"/>
    </w:r>
    <w:r w:rsidRPr="00387BB5">
      <w:rPr>
        <w:rStyle w:val="SidhuvudBilaga"/>
      </w:rPr>
      <w:t xml:space="preserve"> </w:t>
    </w:r>
    <w:r w:rsidRPr="00387BB5">
      <w:t xml:space="preserve">     </w:t>
    </w:r>
    <w:r w:rsidRPr="00387BB5">
      <w:rPr>
        <w:rStyle w:val="SidhuvudUtskott"/>
      </w:rPr>
      <w:fldChar w:fldCharType="begin" w:fldLock="1"/>
    </w:r>
    <w:r w:rsidRPr="00387BB5">
      <w:rPr>
        <w:rStyle w:val="SidhuvudUtskott"/>
      </w:rPr>
      <w:instrText xml:space="preserve"> DOCPROPERTY BetänkandeÅr</w:instrText>
    </w:r>
    <w:r w:rsidRPr="00387BB5">
      <w:rPr>
        <w:rStyle w:val="SidhuvudUtskott"/>
      </w:rPr>
      <w:fldChar w:fldCharType="separate"/>
    </w:r>
    <w:r w:rsidRPr="00387BB5">
      <w:rPr>
        <w:rStyle w:val="SidhuvudUtskott"/>
      </w:rPr>
      <w:t>2009/10</w:t>
    </w:r>
    <w:r w:rsidRPr="00387BB5">
      <w:rPr>
        <w:rStyle w:val="SidhuvudUtskott"/>
      </w:rPr>
      <w:fldChar w:fldCharType="end"/>
    </w:r>
    <w:r w:rsidRPr="00387BB5">
      <w:rPr>
        <w:rStyle w:val="SidhuvudUtskott"/>
      </w:rPr>
      <w:t>:</w:t>
    </w:r>
    <w:r w:rsidRPr="00387BB5">
      <w:rPr>
        <w:rStyle w:val="SidhuvudUtskott"/>
      </w:rPr>
      <w:fldChar w:fldCharType="begin" w:fldLock="1"/>
    </w:r>
    <w:r w:rsidRPr="00387BB5">
      <w:rPr>
        <w:rStyle w:val="SidhuvudUtskott"/>
      </w:rPr>
      <w:instrText xml:space="preserve"> DOCPROPERTY</w:instrText>
    </w:r>
    <w:r w:rsidRPr="00387BB5">
      <w:instrText xml:space="preserve"> </w:instrText>
    </w:r>
    <w:r w:rsidRPr="00387BB5">
      <w:rPr>
        <w:rStyle w:val="SidhuvudUtskott"/>
      </w:rPr>
      <w:instrText>Utskott</w:instrText>
    </w:r>
    <w:r w:rsidRPr="00387BB5">
      <w:rPr>
        <w:rStyle w:val="SidhuvudUtskott"/>
      </w:rPr>
      <w:fldChar w:fldCharType="separate"/>
    </w:r>
    <w:r w:rsidRPr="00387BB5">
      <w:rPr>
        <w:rStyle w:val="SidhuvudUtskott"/>
      </w:rPr>
      <w:t>RB</w:t>
    </w:r>
    <w:r w:rsidRPr="00387BB5">
      <w:rPr>
        <w:rStyle w:val="SidhuvudUtskott"/>
      </w:rPr>
      <w:fldChar w:fldCharType="end"/>
    </w:r>
    <w:r w:rsidRPr="00387BB5">
      <w:rPr>
        <w:rStyle w:val="SidhuvudUtskott"/>
      </w:rPr>
      <w:fldChar w:fldCharType="begin" w:fldLock="1"/>
    </w:r>
    <w:r w:rsidRPr="00387BB5">
      <w:rPr>
        <w:rStyle w:val="SidhuvudUtskott"/>
      </w:rPr>
      <w:instrText xml:space="preserve"> DOCPROPERTY Betä</w:instrText>
    </w:r>
    <w:r w:rsidRPr="00387BB5">
      <w:rPr>
        <w:rStyle w:val="SidhuvudUtskott"/>
      </w:rPr>
      <w:instrText>n</w:instrText>
    </w:r>
    <w:r w:rsidRPr="00387BB5">
      <w:rPr>
        <w:rStyle w:val="SidhuvudUtskott"/>
      </w:rPr>
      <w:instrText>kandeNr</w:instrText>
    </w:r>
    <w:r w:rsidRPr="00387BB5">
      <w:rPr>
        <w:rStyle w:val="SidhuvudUtskott"/>
      </w:rPr>
      <w:fldChar w:fldCharType="separate"/>
    </w:r>
    <w:r w:rsidRPr="00387BB5">
      <w:rPr>
        <w:rStyle w:val="SidhuvudUtskott"/>
      </w:rPr>
      <w:t>3</w:t>
    </w:r>
    <w:r w:rsidRPr="00387BB5">
      <w:rPr>
        <w:rStyle w:val="SidhuvudUtskott"/>
      </w:rPr>
      <w:fldChar w:fldCharType="end"/>
    </w:r>
  </w:p>
  <w:p w:rsidR="00CC5BC5" w:rsidRPr="00387BB5" w:rsidRDefault="00CC5BC5">
    <w:pPr>
      <w:pStyle w:val="SidhuvudKantUdda"/>
      <w:framePr w:w="8732" w:h="567" w:hRule="exact" w:vSpace="0" w:wrap="around" w:vAnchor="page" w:y="341" w:anchorLock="0"/>
    </w:pPr>
    <w:r w:rsidRPr="00387BB5">
      <w:rPr>
        <w:rStyle w:val="SidhuvudUtskott"/>
      </w:rPr>
      <w:fldChar w:fldCharType="begin" w:fldLock="1"/>
    </w:r>
    <w:r w:rsidRPr="00387BB5">
      <w:rPr>
        <w:rStyle w:val="SidhuvudUtskott"/>
      </w:rPr>
      <w:instrText xml:space="preserve"> if </w:instrText>
    </w:r>
    <w:r w:rsidRPr="00387BB5">
      <w:rPr>
        <w:rStyle w:val="SidhuvudUtskott"/>
      </w:rPr>
      <w:fldChar w:fldCharType="begin" w:fldLock="1"/>
    </w:r>
    <w:r w:rsidRPr="00387BB5">
      <w:rPr>
        <w:rStyle w:val="SidhuvudUtskott"/>
      </w:rPr>
      <w:instrText xml:space="preserve"> DOCPROPERTY "UtkastDatum"</w:instrText>
    </w:r>
    <w:r w:rsidRPr="00387BB5">
      <w:rPr>
        <w:rStyle w:val="SidhuvudUtskott"/>
      </w:rPr>
      <w:fldChar w:fldCharType="separate"/>
    </w:r>
    <w:r w:rsidRPr="00387BB5">
      <w:rPr>
        <w:rStyle w:val="SidhuvudUtskott"/>
      </w:rPr>
      <w:instrText>Nej</w:instrText>
    </w:r>
    <w:r w:rsidRPr="00387BB5">
      <w:rPr>
        <w:rStyle w:val="SidhuvudUtskott"/>
      </w:rPr>
      <w:fldChar w:fldCharType="end"/>
    </w:r>
    <w:r w:rsidRPr="00387BB5">
      <w:rPr>
        <w:rStyle w:val="SidhuvudUtskott"/>
      </w:rPr>
      <w:instrText xml:space="preserve"> = "Ja" "</w:instrText>
    </w:r>
    <w:r w:rsidRPr="00387BB5">
      <w:rPr>
        <w:rStyle w:val="SidhuvudUtskott"/>
      </w:rPr>
      <w:fldChar w:fldCharType="begin" w:fldLock="1"/>
    </w:r>
    <w:r w:rsidRPr="00387BB5">
      <w:rPr>
        <w:rStyle w:val="SidhuvudUtskott"/>
      </w:rPr>
      <w:instrText xml:space="preserve"> PRINTDATE \@ "yyyy-MM-dd HH.mm    " </w:instrText>
    </w:r>
    <w:r w:rsidRPr="00387BB5">
      <w:rPr>
        <w:rStyle w:val="SidhuvudUtskott"/>
      </w:rPr>
      <w:fldChar w:fldCharType="separate"/>
    </w:r>
    <w:r w:rsidRPr="00387BB5">
      <w:rPr>
        <w:rStyle w:val="SidhuvudUtskott"/>
      </w:rPr>
      <w:instrText>2000-08-11 16.42</w:instrText>
    </w:r>
    <w:r w:rsidRPr="00387BB5">
      <w:rPr>
        <w:rStyle w:val="SidhuvudUtskott"/>
      </w:rPr>
      <w:fldChar w:fldCharType="end"/>
    </w:r>
    <w:r w:rsidRPr="00387BB5">
      <w:rPr>
        <w:rStyle w:val="SidhuvudUtskott"/>
      </w:rPr>
      <w:instrText xml:space="preserve">" </w:instrText>
    </w:r>
    <w:r w:rsidRPr="00387BB5">
      <w:rPr>
        <w:rStyle w:val="SidhuvudUtskott"/>
      </w:rPr>
      <w:fldChar w:fldCharType="end"/>
    </w:r>
    <w:r w:rsidRPr="00387BB5">
      <w:rPr>
        <w:rStyle w:val="SidhuvudUtskott"/>
      </w:rPr>
      <w:fldChar w:fldCharType="begin" w:fldLock="1"/>
    </w:r>
    <w:r w:rsidRPr="00387BB5">
      <w:rPr>
        <w:rStyle w:val="SidhuvudUtskott"/>
      </w:rPr>
      <w:instrText xml:space="preserve"> DOCPR</w:instrText>
    </w:r>
    <w:r w:rsidRPr="00387BB5">
      <w:rPr>
        <w:rStyle w:val="SidhuvudUtskott"/>
      </w:rPr>
      <w:instrText>O</w:instrText>
    </w:r>
    <w:r w:rsidRPr="00387BB5">
      <w:rPr>
        <w:rStyle w:val="SidhuvudUtskott"/>
      </w:rPr>
      <w:instrText>PERTY Status</w:instrText>
    </w:r>
    <w:r w:rsidRPr="00387BB5">
      <w:rPr>
        <w:rStyle w:val="SidhuvudUtskott"/>
      </w:rPr>
      <w:fldChar w:fldCharType="end"/>
    </w:r>
  </w:p>
  <w:p w:rsidR="00CC5BC5" w:rsidRPr="00387BB5" w:rsidRDefault="00CC5BC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24A" w:rsidRPr="00387BB5" w:rsidRDefault="006D624A">
    <w:pPr>
      <w:pStyle w:val="SidhuvudKantJmn"/>
      <w:framePr w:w="8732" w:h="567" w:hRule="exact" w:vSpace="0" w:wrap="around" w:vAnchor="page" w:y="341" w:anchorLock="0"/>
    </w:pPr>
    <w:r w:rsidRPr="00387BB5">
      <w:rPr>
        <w:rStyle w:val="SidhuvudUtskott"/>
      </w:rPr>
      <w:t>2009/10:RB3</w:t>
    </w:r>
    <w:r w:rsidRPr="00387BB5">
      <w:t xml:space="preserve">    </w:t>
    </w:r>
  </w:p>
  <w:p w:rsidR="006D624A" w:rsidRPr="00387BB5" w:rsidRDefault="006D624A">
    <w:pPr>
      <w:pStyle w:val="SidhuvudKantJmn"/>
      <w:framePr w:w="8732" w:h="567" w:hRule="exact" w:vSpace="0" w:wrap="around" w:vAnchor="page" w:y="341" w:anchorLock="0"/>
    </w:pPr>
  </w:p>
  <w:p w:rsidR="00CC5BC5" w:rsidRPr="00387BB5" w:rsidRDefault="006D624A">
    <w:pPr>
      <w:pStyle w:val="SidhuvudKantUdda"/>
      <w:framePr w:w="8732" w:h="567" w:hRule="exact" w:vSpace="0" w:wrap="around" w:vAnchor="page" w:y="341" w:anchorLock="0"/>
    </w:pPr>
    <w:r w:rsidRPr="00387BB5">
      <w:rPr>
        <w:rStyle w:val="SidhuvudRubrikReferens"/>
        <w:smallCaps w:val="0"/>
      </w:rPr>
      <w:t xml:space="preserve"> </w:t>
    </w:r>
  </w:p>
  <w:p w:rsidR="00CC5BC5" w:rsidRPr="00387BB5" w:rsidRDefault="00CC5BC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huvudKantJmn"/>
      <w:framePr w:w="8732" w:h="567" w:hRule="exact" w:vSpace="0" w:wrap="around" w:vAnchor="page" w:y="341" w:anchorLock="0"/>
    </w:pPr>
    <w:r w:rsidRPr="00387BB5">
      <w:rPr>
        <w:rStyle w:val="SidhuvudUtskott"/>
      </w:rPr>
      <w:fldChar w:fldCharType="begin" w:fldLock="1"/>
    </w:r>
    <w:r w:rsidRPr="00387BB5">
      <w:rPr>
        <w:rStyle w:val="SidhuvudUtskott"/>
      </w:rPr>
      <w:instrText xml:space="preserve"> DOCPROPERTY BetänkandeÅr</w:instrText>
    </w:r>
    <w:r w:rsidRPr="00387BB5">
      <w:rPr>
        <w:rStyle w:val="SidhuvudUtskott"/>
      </w:rPr>
      <w:fldChar w:fldCharType="separate"/>
    </w:r>
    <w:r w:rsidRPr="00387BB5">
      <w:rPr>
        <w:rStyle w:val="SidhuvudUtskott"/>
      </w:rPr>
      <w:t>2009/10</w:t>
    </w:r>
    <w:r w:rsidRPr="00387BB5">
      <w:rPr>
        <w:rStyle w:val="SidhuvudUtskott"/>
      </w:rPr>
      <w:fldChar w:fldCharType="end"/>
    </w:r>
    <w:r w:rsidRPr="00387BB5">
      <w:rPr>
        <w:rStyle w:val="SidhuvudUtskott"/>
      </w:rPr>
      <w:t>:</w:t>
    </w:r>
    <w:r w:rsidRPr="00387BB5">
      <w:rPr>
        <w:rStyle w:val="SidhuvudUtskott"/>
      </w:rPr>
      <w:fldChar w:fldCharType="begin" w:fldLock="1"/>
    </w:r>
    <w:r w:rsidRPr="00387BB5">
      <w:rPr>
        <w:rStyle w:val="SidhuvudUtskott"/>
      </w:rPr>
      <w:instrText xml:space="preserve"> DOCPROPERTY Utskott</w:instrText>
    </w:r>
    <w:r w:rsidRPr="00387BB5">
      <w:rPr>
        <w:rStyle w:val="SidhuvudUtskott"/>
      </w:rPr>
      <w:fldChar w:fldCharType="separate"/>
    </w:r>
    <w:r w:rsidRPr="00387BB5">
      <w:rPr>
        <w:rStyle w:val="SidhuvudUtskott"/>
      </w:rPr>
      <w:t>RB</w:t>
    </w:r>
    <w:r w:rsidRPr="00387BB5">
      <w:rPr>
        <w:rStyle w:val="SidhuvudUtskott"/>
      </w:rPr>
      <w:fldChar w:fldCharType="end"/>
    </w:r>
    <w:r w:rsidRPr="00387BB5">
      <w:rPr>
        <w:rStyle w:val="SidhuvudUtskott"/>
      </w:rPr>
      <w:fldChar w:fldCharType="begin" w:fldLock="1"/>
    </w:r>
    <w:r w:rsidRPr="00387BB5">
      <w:rPr>
        <w:rStyle w:val="SidhuvudUtskott"/>
      </w:rPr>
      <w:instrText xml:space="preserve"> DOCPROPERTY BetänkandeNr</w:instrText>
    </w:r>
    <w:r w:rsidRPr="00387BB5">
      <w:rPr>
        <w:rStyle w:val="SidhuvudUtskott"/>
      </w:rPr>
      <w:fldChar w:fldCharType="separate"/>
    </w:r>
    <w:r w:rsidRPr="00387BB5">
      <w:rPr>
        <w:rStyle w:val="SidhuvudUtskott"/>
      </w:rPr>
      <w:t>3</w:t>
    </w:r>
    <w:r w:rsidRPr="00387BB5">
      <w:rPr>
        <w:rStyle w:val="SidhuvudUtskott"/>
      </w:rPr>
      <w:fldChar w:fldCharType="end"/>
    </w:r>
    <w:r w:rsidRPr="00387BB5">
      <w:t xml:space="preserve">     </w:t>
    </w:r>
    <w:r w:rsidRPr="00387BB5">
      <w:rPr>
        <w:rStyle w:val="SidhuvudBilaga"/>
      </w:rPr>
      <w:t xml:space="preserve"> </w:t>
    </w:r>
    <w:r w:rsidRPr="00387BB5">
      <w:rPr>
        <w:rStyle w:val="SidhuvudRubrikReferens"/>
      </w:rPr>
      <w:fldChar w:fldCharType="begin" w:fldLock="1"/>
    </w:r>
    <w:r w:rsidRPr="00387BB5">
      <w:rPr>
        <w:rStyle w:val="SidhuvudRubrikReferens"/>
      </w:rPr>
      <w:instrText xml:space="preserve"> StyleREF "Rubrik 1" </w:instrText>
    </w:r>
    <w:r w:rsidRPr="00387BB5">
      <w:rPr>
        <w:rStyle w:val="SidhuvudRubrikReferens"/>
      </w:rPr>
      <w:fldChar w:fldCharType="separate"/>
    </w:r>
    <w:r w:rsidRPr="00387BB5">
      <w:rPr>
        <w:rStyle w:val="SidhuvudRubrikReferens"/>
      </w:rPr>
      <w:t>Innehållsförteckning</w:t>
    </w:r>
    <w:r w:rsidRPr="00387BB5">
      <w:rPr>
        <w:rStyle w:val="SidhuvudRubrikReferens"/>
      </w:rPr>
      <w:fldChar w:fldCharType="end"/>
    </w:r>
  </w:p>
  <w:p w:rsidR="00CC5BC5" w:rsidRPr="00387BB5" w:rsidRDefault="00CC5BC5">
    <w:pPr>
      <w:pStyle w:val="SidhuvudKantJmn"/>
      <w:framePr w:w="8732" w:h="567" w:hRule="exact" w:vSpace="0" w:wrap="around" w:vAnchor="page" w:y="341" w:anchorLock="0"/>
    </w:pPr>
    <w:r w:rsidRPr="00387BB5">
      <w:rPr>
        <w:rStyle w:val="SidhuvudUtskott"/>
      </w:rPr>
      <w:fldChar w:fldCharType="begin" w:fldLock="1"/>
    </w:r>
    <w:r w:rsidRPr="00387BB5">
      <w:rPr>
        <w:rStyle w:val="SidhuvudUtskott"/>
      </w:rPr>
      <w:instrText xml:space="preserve"> DOCPROPERTY Status</w:instrText>
    </w:r>
    <w:r w:rsidRPr="00387BB5">
      <w:rPr>
        <w:rStyle w:val="SidhuvudUtskott"/>
      </w:rPr>
      <w:fldChar w:fldCharType="end"/>
    </w:r>
    <w:r w:rsidRPr="00387BB5">
      <w:rPr>
        <w:rStyle w:val="SidhuvudUtskott"/>
      </w:rPr>
      <w:fldChar w:fldCharType="begin" w:fldLock="1"/>
    </w:r>
    <w:r w:rsidRPr="00387BB5">
      <w:rPr>
        <w:rStyle w:val="SidhuvudUtskott"/>
      </w:rPr>
      <w:instrText xml:space="preserve"> if </w:instrText>
    </w:r>
    <w:r w:rsidRPr="00387BB5">
      <w:rPr>
        <w:rStyle w:val="SidhuvudUtskott"/>
      </w:rPr>
      <w:fldChar w:fldCharType="begin" w:fldLock="1"/>
    </w:r>
    <w:r w:rsidRPr="00387BB5">
      <w:rPr>
        <w:rStyle w:val="SidhuvudUtskott"/>
      </w:rPr>
      <w:instrText xml:space="preserve"> DOCPROPERTY "UtkastDatum"</w:instrText>
    </w:r>
    <w:r w:rsidRPr="00387BB5">
      <w:rPr>
        <w:rStyle w:val="SidhuvudUtskott"/>
      </w:rPr>
      <w:fldChar w:fldCharType="separate"/>
    </w:r>
    <w:r w:rsidRPr="00387BB5">
      <w:rPr>
        <w:rStyle w:val="SidhuvudUtskott"/>
      </w:rPr>
      <w:instrText>Nej</w:instrText>
    </w:r>
    <w:r w:rsidRPr="00387BB5">
      <w:rPr>
        <w:rStyle w:val="SidhuvudUtskott"/>
      </w:rPr>
      <w:fldChar w:fldCharType="end"/>
    </w:r>
    <w:r w:rsidRPr="00387BB5">
      <w:rPr>
        <w:rStyle w:val="SidhuvudUtskott"/>
      </w:rPr>
      <w:instrText xml:space="preserve"> = "Ja" "    </w:instrText>
    </w:r>
    <w:r w:rsidRPr="00387BB5">
      <w:rPr>
        <w:rStyle w:val="SidhuvudUtskott"/>
      </w:rPr>
      <w:fldChar w:fldCharType="begin" w:fldLock="1"/>
    </w:r>
    <w:r w:rsidRPr="00387BB5">
      <w:rPr>
        <w:rStyle w:val="SidhuvudUtskott"/>
      </w:rPr>
      <w:instrText xml:space="preserve"> PRINTDATE \@ "yyyy-MM-dd HH.mm" </w:instrText>
    </w:r>
    <w:r w:rsidRPr="00387BB5">
      <w:rPr>
        <w:rStyle w:val="SidhuvudUtskott"/>
      </w:rPr>
      <w:fldChar w:fldCharType="separate"/>
    </w:r>
    <w:r w:rsidRPr="00387BB5">
      <w:rPr>
        <w:rStyle w:val="SidhuvudUtskott"/>
      </w:rPr>
      <w:instrText>2000-08-11 16.42</w:instrText>
    </w:r>
    <w:r w:rsidRPr="00387BB5">
      <w:rPr>
        <w:rStyle w:val="SidhuvudUtskott"/>
      </w:rPr>
      <w:fldChar w:fldCharType="end"/>
    </w:r>
    <w:r w:rsidRPr="00387BB5">
      <w:rPr>
        <w:rStyle w:val="SidhuvudUtskott"/>
      </w:rPr>
      <w:instrText xml:space="preserve">" </w:instrText>
    </w:r>
    <w:r w:rsidRPr="00387BB5">
      <w:rPr>
        <w:rStyle w:val="SidhuvudUtskott"/>
      </w:rPr>
      <w:fldChar w:fldCharType="end"/>
    </w:r>
  </w:p>
  <w:p w:rsidR="00CC5BC5" w:rsidRPr="00387BB5" w:rsidRDefault="00CC5BC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5BC5" w:rsidRPr="00387BB5" w:rsidRDefault="00CC5BC5">
    <w:pPr>
      <w:pStyle w:val="SidhuvudKantUdda"/>
      <w:framePr w:w="8732" w:h="567" w:hRule="exact" w:vSpace="0" w:wrap="around" w:vAnchor="page" w:y="341" w:anchorLock="0"/>
    </w:pPr>
    <w:r w:rsidRPr="00387BB5">
      <w:rPr>
        <w:rStyle w:val="SidhuvudRubrikReferens"/>
      </w:rPr>
      <w:fldChar w:fldCharType="begin" w:fldLock="1"/>
    </w:r>
    <w:r w:rsidRPr="00387BB5">
      <w:rPr>
        <w:rStyle w:val="SidhuvudRubrikReferens"/>
      </w:rPr>
      <w:instrText xml:space="preserve"> StyleREF "Rubrik 1" </w:instrText>
    </w:r>
    <w:r w:rsidRPr="00387BB5">
      <w:rPr>
        <w:rStyle w:val="SidhuvudRubrikReferens"/>
      </w:rPr>
      <w:fldChar w:fldCharType="separate"/>
    </w:r>
    <w:r w:rsidRPr="00387BB5">
      <w:rPr>
        <w:rStyle w:val="SidhuvudRubrikReferens"/>
      </w:rPr>
      <w:t>Innehållsförteckning</w:t>
    </w:r>
    <w:r w:rsidRPr="00387BB5">
      <w:rPr>
        <w:rStyle w:val="SidhuvudRubrikReferens"/>
      </w:rPr>
      <w:fldChar w:fldCharType="end"/>
    </w:r>
    <w:r w:rsidRPr="00387BB5">
      <w:rPr>
        <w:rStyle w:val="SidhuvudBilaga"/>
      </w:rPr>
      <w:t xml:space="preserve"> </w:t>
    </w:r>
    <w:r w:rsidRPr="00387BB5">
      <w:t xml:space="preserve">     </w:t>
    </w:r>
    <w:r w:rsidRPr="00387BB5">
      <w:rPr>
        <w:rStyle w:val="SidhuvudUtskott"/>
      </w:rPr>
      <w:fldChar w:fldCharType="begin" w:fldLock="1"/>
    </w:r>
    <w:r w:rsidRPr="00387BB5">
      <w:rPr>
        <w:rStyle w:val="SidhuvudUtskott"/>
      </w:rPr>
      <w:instrText xml:space="preserve"> DOCPROPERTY BetänkandeÅr</w:instrText>
    </w:r>
    <w:r w:rsidRPr="00387BB5">
      <w:rPr>
        <w:rStyle w:val="SidhuvudUtskott"/>
      </w:rPr>
      <w:fldChar w:fldCharType="separate"/>
    </w:r>
    <w:r w:rsidRPr="00387BB5">
      <w:rPr>
        <w:rStyle w:val="SidhuvudUtskott"/>
      </w:rPr>
      <w:t>2009/10</w:t>
    </w:r>
    <w:r w:rsidRPr="00387BB5">
      <w:rPr>
        <w:rStyle w:val="SidhuvudUtskott"/>
      </w:rPr>
      <w:fldChar w:fldCharType="end"/>
    </w:r>
    <w:r w:rsidRPr="00387BB5">
      <w:rPr>
        <w:rStyle w:val="SidhuvudUtskott"/>
      </w:rPr>
      <w:t>:</w:t>
    </w:r>
    <w:r w:rsidRPr="00387BB5">
      <w:rPr>
        <w:rStyle w:val="SidhuvudUtskott"/>
      </w:rPr>
      <w:fldChar w:fldCharType="begin" w:fldLock="1"/>
    </w:r>
    <w:r w:rsidRPr="00387BB5">
      <w:rPr>
        <w:rStyle w:val="SidhuvudUtskott"/>
      </w:rPr>
      <w:instrText xml:space="preserve"> DOCPROPERTY</w:instrText>
    </w:r>
    <w:r w:rsidRPr="00387BB5">
      <w:instrText xml:space="preserve"> </w:instrText>
    </w:r>
    <w:r w:rsidRPr="00387BB5">
      <w:rPr>
        <w:rStyle w:val="SidhuvudUtskott"/>
      </w:rPr>
      <w:instrText>Utskott</w:instrText>
    </w:r>
    <w:r w:rsidRPr="00387BB5">
      <w:rPr>
        <w:rStyle w:val="SidhuvudUtskott"/>
      </w:rPr>
      <w:fldChar w:fldCharType="separate"/>
    </w:r>
    <w:r w:rsidRPr="00387BB5">
      <w:rPr>
        <w:rStyle w:val="SidhuvudUtskott"/>
      </w:rPr>
      <w:t>RB</w:t>
    </w:r>
    <w:r w:rsidRPr="00387BB5">
      <w:rPr>
        <w:rStyle w:val="SidhuvudUtskott"/>
      </w:rPr>
      <w:fldChar w:fldCharType="end"/>
    </w:r>
    <w:r w:rsidRPr="00387BB5">
      <w:rPr>
        <w:rStyle w:val="SidhuvudUtskott"/>
      </w:rPr>
      <w:fldChar w:fldCharType="begin" w:fldLock="1"/>
    </w:r>
    <w:r w:rsidRPr="00387BB5">
      <w:rPr>
        <w:rStyle w:val="SidhuvudUtskott"/>
      </w:rPr>
      <w:instrText xml:space="preserve"> DOCPROPERTY Betä</w:instrText>
    </w:r>
    <w:r w:rsidRPr="00387BB5">
      <w:rPr>
        <w:rStyle w:val="SidhuvudUtskott"/>
      </w:rPr>
      <w:instrText>n</w:instrText>
    </w:r>
    <w:r w:rsidRPr="00387BB5">
      <w:rPr>
        <w:rStyle w:val="SidhuvudUtskott"/>
      </w:rPr>
      <w:instrText>kandeNr</w:instrText>
    </w:r>
    <w:r w:rsidRPr="00387BB5">
      <w:rPr>
        <w:rStyle w:val="SidhuvudUtskott"/>
      </w:rPr>
      <w:fldChar w:fldCharType="separate"/>
    </w:r>
    <w:r w:rsidRPr="00387BB5">
      <w:rPr>
        <w:rStyle w:val="SidhuvudUtskott"/>
      </w:rPr>
      <w:t>3</w:t>
    </w:r>
    <w:r w:rsidRPr="00387BB5">
      <w:rPr>
        <w:rStyle w:val="SidhuvudUtskott"/>
      </w:rPr>
      <w:fldChar w:fldCharType="end"/>
    </w:r>
  </w:p>
  <w:p w:rsidR="00CC5BC5" w:rsidRPr="00387BB5" w:rsidRDefault="00CC5BC5">
    <w:pPr>
      <w:pStyle w:val="SidhuvudKantUdda"/>
      <w:framePr w:w="8732" w:h="567" w:hRule="exact" w:vSpace="0" w:wrap="around" w:vAnchor="page" w:y="341" w:anchorLock="0"/>
    </w:pPr>
    <w:r w:rsidRPr="00387BB5">
      <w:rPr>
        <w:rStyle w:val="SidhuvudUtskott"/>
      </w:rPr>
      <w:fldChar w:fldCharType="begin" w:fldLock="1"/>
    </w:r>
    <w:r w:rsidRPr="00387BB5">
      <w:rPr>
        <w:rStyle w:val="SidhuvudUtskott"/>
      </w:rPr>
      <w:instrText xml:space="preserve"> if </w:instrText>
    </w:r>
    <w:r w:rsidRPr="00387BB5">
      <w:rPr>
        <w:rStyle w:val="SidhuvudUtskott"/>
      </w:rPr>
      <w:fldChar w:fldCharType="begin" w:fldLock="1"/>
    </w:r>
    <w:r w:rsidRPr="00387BB5">
      <w:rPr>
        <w:rStyle w:val="SidhuvudUtskott"/>
      </w:rPr>
      <w:instrText xml:space="preserve"> DOCPROPERTY "UtkastDatum"</w:instrText>
    </w:r>
    <w:r w:rsidRPr="00387BB5">
      <w:rPr>
        <w:rStyle w:val="SidhuvudUtskott"/>
      </w:rPr>
      <w:fldChar w:fldCharType="separate"/>
    </w:r>
    <w:r w:rsidRPr="00387BB5">
      <w:rPr>
        <w:rStyle w:val="SidhuvudUtskott"/>
      </w:rPr>
      <w:instrText>Nej</w:instrText>
    </w:r>
    <w:r w:rsidRPr="00387BB5">
      <w:rPr>
        <w:rStyle w:val="SidhuvudUtskott"/>
      </w:rPr>
      <w:fldChar w:fldCharType="end"/>
    </w:r>
    <w:r w:rsidRPr="00387BB5">
      <w:rPr>
        <w:rStyle w:val="SidhuvudUtskott"/>
      </w:rPr>
      <w:instrText xml:space="preserve"> = "Ja" "</w:instrText>
    </w:r>
    <w:r w:rsidRPr="00387BB5">
      <w:rPr>
        <w:rStyle w:val="SidhuvudUtskott"/>
      </w:rPr>
      <w:fldChar w:fldCharType="begin" w:fldLock="1"/>
    </w:r>
    <w:r w:rsidRPr="00387BB5">
      <w:rPr>
        <w:rStyle w:val="SidhuvudUtskott"/>
      </w:rPr>
      <w:instrText xml:space="preserve"> PRINTDATE \@ "yyyy-MM-dd HH.mm    " </w:instrText>
    </w:r>
    <w:r w:rsidRPr="00387BB5">
      <w:rPr>
        <w:rStyle w:val="SidhuvudUtskott"/>
      </w:rPr>
      <w:fldChar w:fldCharType="separate"/>
    </w:r>
    <w:r w:rsidRPr="00387BB5">
      <w:rPr>
        <w:rStyle w:val="SidhuvudUtskott"/>
      </w:rPr>
      <w:instrText>2000-08-11 16.42</w:instrText>
    </w:r>
    <w:r w:rsidRPr="00387BB5">
      <w:rPr>
        <w:rStyle w:val="SidhuvudUtskott"/>
      </w:rPr>
      <w:fldChar w:fldCharType="end"/>
    </w:r>
    <w:r w:rsidRPr="00387BB5">
      <w:rPr>
        <w:rStyle w:val="SidhuvudUtskott"/>
      </w:rPr>
      <w:instrText xml:space="preserve">" </w:instrText>
    </w:r>
    <w:r w:rsidRPr="00387BB5">
      <w:rPr>
        <w:rStyle w:val="SidhuvudUtskott"/>
      </w:rPr>
      <w:fldChar w:fldCharType="end"/>
    </w:r>
    <w:r w:rsidRPr="00387BB5">
      <w:rPr>
        <w:rStyle w:val="SidhuvudUtskott"/>
      </w:rPr>
      <w:fldChar w:fldCharType="begin" w:fldLock="1"/>
    </w:r>
    <w:r w:rsidRPr="00387BB5">
      <w:rPr>
        <w:rStyle w:val="SidhuvudUtskott"/>
      </w:rPr>
      <w:instrText xml:space="preserve"> DOCPR</w:instrText>
    </w:r>
    <w:r w:rsidRPr="00387BB5">
      <w:rPr>
        <w:rStyle w:val="SidhuvudUtskott"/>
      </w:rPr>
      <w:instrText>O</w:instrText>
    </w:r>
    <w:r w:rsidRPr="00387BB5">
      <w:rPr>
        <w:rStyle w:val="SidhuvudUtskott"/>
      </w:rPr>
      <w:instrText>PERTY Status</w:instrText>
    </w:r>
    <w:r w:rsidRPr="00387BB5">
      <w:rPr>
        <w:rStyle w:val="SidhuvudUtskott"/>
      </w:rPr>
      <w:fldChar w:fldCharType="end"/>
    </w:r>
  </w:p>
  <w:p w:rsidR="00CC5BC5" w:rsidRPr="00387BB5" w:rsidRDefault="00CC5BC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624A" w:rsidRPr="00387BB5" w:rsidRDefault="006D624A">
    <w:pPr>
      <w:pStyle w:val="SidhuvudKantUdda"/>
      <w:framePr w:w="8732" w:h="567" w:hRule="exact" w:vSpace="0" w:wrap="around" w:vAnchor="page" w:y="341" w:anchorLock="0"/>
    </w:pPr>
    <w:r w:rsidRPr="00387BB5">
      <w:t xml:space="preserve">  </w:t>
    </w:r>
    <w:r w:rsidRPr="00387BB5">
      <w:rPr>
        <w:rStyle w:val="SidhuvudUtskott"/>
      </w:rPr>
      <w:t>2009/10:RB3</w:t>
    </w:r>
  </w:p>
  <w:p w:rsidR="00CC5BC5" w:rsidRPr="00387BB5" w:rsidRDefault="00CC5BC5">
    <w:pPr>
      <w:pStyle w:val="SidhuvudKantUdda"/>
      <w:framePr w:w="8732" w:h="567" w:hRule="exact" w:vSpace="0" w:wrap="around" w:vAnchor="page" w:y="341" w:anchorLock="0"/>
    </w:pPr>
  </w:p>
  <w:p w:rsidR="00CC5BC5" w:rsidRPr="00387BB5" w:rsidRDefault="00CC5BC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661DB"/>
    <w:multiLevelType w:val="hybridMultilevel"/>
    <w:tmpl w:val="928A40A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5B2F6216"/>
    <w:multiLevelType w:val="hybridMultilevel"/>
    <w:tmpl w:val="23DE5740"/>
    <w:lvl w:ilvl="0" w:tplc="041D000F">
      <w:start w:val="1"/>
      <w:numFmt w:val="decimal"/>
      <w:lvlText w:val="%1."/>
      <w:lvlJc w:val="left"/>
      <w:pPr>
        <w:tabs>
          <w:tab w:val="num" w:pos="780"/>
        </w:tabs>
        <w:ind w:left="780" w:hanging="360"/>
      </w:pPr>
    </w:lvl>
    <w:lvl w:ilvl="1" w:tplc="041D0019" w:tentative="1">
      <w:start w:val="1"/>
      <w:numFmt w:val="lowerLetter"/>
      <w:lvlText w:val="%2."/>
      <w:lvlJc w:val="left"/>
      <w:pPr>
        <w:tabs>
          <w:tab w:val="num" w:pos="1500"/>
        </w:tabs>
        <w:ind w:left="1500" w:hanging="360"/>
      </w:pPr>
    </w:lvl>
    <w:lvl w:ilvl="2" w:tplc="041D001B" w:tentative="1">
      <w:start w:val="1"/>
      <w:numFmt w:val="lowerRoman"/>
      <w:lvlText w:val="%3."/>
      <w:lvlJc w:val="right"/>
      <w:pPr>
        <w:tabs>
          <w:tab w:val="num" w:pos="2220"/>
        </w:tabs>
        <w:ind w:left="2220" w:hanging="180"/>
      </w:pPr>
    </w:lvl>
    <w:lvl w:ilvl="3" w:tplc="041D000F" w:tentative="1">
      <w:start w:val="1"/>
      <w:numFmt w:val="decimal"/>
      <w:lvlText w:val="%4."/>
      <w:lvlJc w:val="left"/>
      <w:pPr>
        <w:tabs>
          <w:tab w:val="num" w:pos="2940"/>
        </w:tabs>
        <w:ind w:left="2940" w:hanging="360"/>
      </w:pPr>
    </w:lvl>
    <w:lvl w:ilvl="4" w:tplc="041D0019" w:tentative="1">
      <w:start w:val="1"/>
      <w:numFmt w:val="lowerLetter"/>
      <w:lvlText w:val="%5."/>
      <w:lvlJc w:val="left"/>
      <w:pPr>
        <w:tabs>
          <w:tab w:val="num" w:pos="3660"/>
        </w:tabs>
        <w:ind w:left="3660" w:hanging="360"/>
      </w:pPr>
    </w:lvl>
    <w:lvl w:ilvl="5" w:tplc="041D001B" w:tentative="1">
      <w:start w:val="1"/>
      <w:numFmt w:val="lowerRoman"/>
      <w:lvlText w:val="%6."/>
      <w:lvlJc w:val="right"/>
      <w:pPr>
        <w:tabs>
          <w:tab w:val="num" w:pos="4380"/>
        </w:tabs>
        <w:ind w:left="4380" w:hanging="180"/>
      </w:pPr>
    </w:lvl>
    <w:lvl w:ilvl="6" w:tplc="041D000F" w:tentative="1">
      <w:start w:val="1"/>
      <w:numFmt w:val="decimal"/>
      <w:lvlText w:val="%7."/>
      <w:lvlJc w:val="left"/>
      <w:pPr>
        <w:tabs>
          <w:tab w:val="num" w:pos="5100"/>
        </w:tabs>
        <w:ind w:left="5100" w:hanging="360"/>
      </w:pPr>
    </w:lvl>
    <w:lvl w:ilvl="7" w:tplc="041D0019" w:tentative="1">
      <w:start w:val="1"/>
      <w:numFmt w:val="lowerLetter"/>
      <w:lvlText w:val="%8."/>
      <w:lvlJc w:val="left"/>
      <w:pPr>
        <w:tabs>
          <w:tab w:val="num" w:pos="5820"/>
        </w:tabs>
        <w:ind w:left="5820" w:hanging="360"/>
      </w:pPr>
    </w:lvl>
    <w:lvl w:ilvl="8" w:tplc="041D001B" w:tentative="1">
      <w:start w:val="1"/>
      <w:numFmt w:val="lowerRoman"/>
      <w:lvlText w:val="%9."/>
      <w:lvlJc w:val="right"/>
      <w:pPr>
        <w:tabs>
          <w:tab w:val="num" w:pos="6540"/>
        </w:tabs>
        <w:ind w:left="6540" w:hanging="180"/>
      </w:pPr>
    </w:lvl>
  </w:abstractNum>
  <w:abstractNum w:abstractNumId="13" w15:restartNumberingAfterBreak="0">
    <w:nsid w:val="69535343"/>
    <w:multiLevelType w:val="hybridMultilevel"/>
    <w:tmpl w:val="DEFCFDAA"/>
    <w:lvl w:ilvl="0" w:tplc="02ACBD2C">
      <w:start w:val="1"/>
      <w:numFmt w:val="bullet"/>
      <w:pStyle w:val="PunktlistaBomb"/>
      <w:lvlText w:val=""/>
      <w:lvlJc w:val="left"/>
      <w:pPr>
        <w:tabs>
          <w:tab w:val="num" w:pos="227"/>
        </w:tabs>
        <w:ind w:left="227" w:hanging="227"/>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51561975">
    <w:abstractNumId w:val="11"/>
  </w:num>
  <w:num w:numId="2" w16cid:durableId="585647140">
    <w:abstractNumId w:val="8"/>
  </w:num>
  <w:num w:numId="3" w16cid:durableId="1595743227">
    <w:abstractNumId w:val="3"/>
  </w:num>
  <w:num w:numId="4" w16cid:durableId="332419781">
    <w:abstractNumId w:val="2"/>
  </w:num>
  <w:num w:numId="5" w16cid:durableId="436827924">
    <w:abstractNumId w:val="1"/>
  </w:num>
  <w:num w:numId="6" w16cid:durableId="411197271">
    <w:abstractNumId w:val="0"/>
  </w:num>
  <w:num w:numId="7" w16cid:durableId="1630622074">
    <w:abstractNumId w:val="9"/>
  </w:num>
  <w:num w:numId="8" w16cid:durableId="191960588">
    <w:abstractNumId w:val="7"/>
  </w:num>
  <w:num w:numId="9" w16cid:durableId="135803631">
    <w:abstractNumId w:val="6"/>
  </w:num>
  <w:num w:numId="10" w16cid:durableId="742335218">
    <w:abstractNumId w:val="5"/>
  </w:num>
  <w:num w:numId="11" w16cid:durableId="1275867727">
    <w:abstractNumId w:val="4"/>
  </w:num>
  <w:num w:numId="12" w16cid:durableId="877859821">
    <w:abstractNumId w:val="13"/>
  </w:num>
  <w:num w:numId="13" w16cid:durableId="810444516">
    <w:abstractNumId w:val="12"/>
  </w:num>
  <w:num w:numId="14" w16cid:durableId="19472249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ramställning till riksdagens"/>
    <w:docVar w:name="Skapår" w:val="0910"/>
  </w:docVars>
  <w:rsids>
    <w:rsidRoot w:val="00C911BC"/>
    <w:rsid w:val="00005072"/>
    <w:rsid w:val="00073628"/>
    <w:rsid w:val="000F6952"/>
    <w:rsid w:val="00141356"/>
    <w:rsid w:val="0019399E"/>
    <w:rsid w:val="002229DA"/>
    <w:rsid w:val="00231F68"/>
    <w:rsid w:val="00262D01"/>
    <w:rsid w:val="00293C13"/>
    <w:rsid w:val="002B0969"/>
    <w:rsid w:val="002F150F"/>
    <w:rsid w:val="002F19B5"/>
    <w:rsid w:val="00322737"/>
    <w:rsid w:val="003514DB"/>
    <w:rsid w:val="00387BB5"/>
    <w:rsid w:val="003B5868"/>
    <w:rsid w:val="003B6953"/>
    <w:rsid w:val="003B709E"/>
    <w:rsid w:val="003F1BC8"/>
    <w:rsid w:val="003F705F"/>
    <w:rsid w:val="0044601F"/>
    <w:rsid w:val="00460031"/>
    <w:rsid w:val="00474B75"/>
    <w:rsid w:val="00484F62"/>
    <w:rsid w:val="0059624C"/>
    <w:rsid w:val="005E25E1"/>
    <w:rsid w:val="005F1A4C"/>
    <w:rsid w:val="005F629B"/>
    <w:rsid w:val="00662760"/>
    <w:rsid w:val="006B44DC"/>
    <w:rsid w:val="006C0283"/>
    <w:rsid w:val="006D624A"/>
    <w:rsid w:val="00751670"/>
    <w:rsid w:val="00863CE6"/>
    <w:rsid w:val="00872FCC"/>
    <w:rsid w:val="008A64BD"/>
    <w:rsid w:val="008A6C84"/>
    <w:rsid w:val="00913A4E"/>
    <w:rsid w:val="00946436"/>
    <w:rsid w:val="009C2C72"/>
    <w:rsid w:val="00A05FB9"/>
    <w:rsid w:val="00A37B39"/>
    <w:rsid w:val="00A43322"/>
    <w:rsid w:val="00AE7C34"/>
    <w:rsid w:val="00BC46E4"/>
    <w:rsid w:val="00C911BC"/>
    <w:rsid w:val="00C94D8B"/>
    <w:rsid w:val="00CC5BC5"/>
    <w:rsid w:val="00CD08CD"/>
    <w:rsid w:val="00DA2D00"/>
    <w:rsid w:val="00DB55FA"/>
    <w:rsid w:val="00F04B40"/>
    <w:rsid w:val="00F30295"/>
    <w:rsid w:val="00F53A97"/>
    <w:rsid w:val="00FB249F"/>
    <w:rsid w:val="00FF6914"/>
    <w:rsid w:val="00FF7E2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DFC67552-1475-4C82-8A7E-36D37EA65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rsid w:val="00751670"/>
    <w:rPr>
      <w:sz w:val="19"/>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unktlistaBomb">
    <w:name w:val="PunktlistaBomb"/>
    <w:basedOn w:val="Normal"/>
    <w:rsid w:val="005F629B"/>
    <w:pPr>
      <w:numPr>
        <w:numId w:val="12"/>
      </w:numPr>
    </w:pPr>
  </w:style>
  <w:style w:type="character" w:customStyle="1" w:styleId="NormaltindragChar">
    <w:name w:val="Normalt indrag Char"/>
    <w:basedOn w:val="Standardstycketeckensnitt"/>
    <w:link w:val="Normaltindrag"/>
    <w:rsid w:val="003F705F"/>
    <w:rPr>
      <w:sz w:val="19"/>
      <w:lang w:val="sv-SE" w:eastAsia="sv-SE" w:bidi="ar-SA"/>
    </w:rPr>
  </w:style>
  <w:style w:type="table" w:styleId="Tabellrutnt">
    <w:name w:val="Table Grid"/>
    <w:basedOn w:val="Normaltabell"/>
    <w:rsid w:val="003F1BC8"/>
    <w:pPr>
      <w:spacing w:before="62"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rsid w:val="00A43322"/>
    <w:rPr>
      <w:noProof/>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2091</Words>
  <Characters>13829</Characters>
  <Application>Microsoft Office Word</Application>
  <DocSecurity>4</DocSecurity>
  <Lines>432</Lines>
  <Paragraphs>159</Paragraphs>
  <ScaleCrop>false</ScaleCrop>
  <HeadingPairs>
    <vt:vector size="2" baseType="variant">
      <vt:variant>
        <vt:lpstr>Rubrik</vt:lpstr>
      </vt:variant>
      <vt:variant>
        <vt:i4>1</vt:i4>
      </vt:variant>
    </vt:vector>
  </HeadingPairs>
  <TitlesOfParts>
    <vt:vector size="1" baseType="lpstr">
      <vt:lpstr>Framställning till riksdagen</vt:lpstr>
    </vt:vector>
  </TitlesOfParts>
  <Company>Riksdagen</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2010-02-15T12:18:00Z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RB</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