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111D3C6CB984A56BB27D791AC553A70"/>
        </w:placeholder>
        <w:text/>
      </w:sdtPr>
      <w:sdtEndPr/>
      <w:sdtContent>
        <w:p w:rsidRPr="009B062B" w:rsidR="00AF30DD" w:rsidP="000B42A6" w:rsidRDefault="00AF30DD" w14:paraId="15EE83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ca16ce-9c6e-4728-91de-ddee643cf1db"/>
        <w:id w:val="-420953719"/>
        <w:lock w:val="sdtLocked"/>
      </w:sdtPr>
      <w:sdtEndPr/>
      <w:sdtContent>
        <w:p w:rsidR="00254F3D" w:rsidRDefault="00754C32" w14:paraId="15EE837E" w14:textId="77777777">
          <w:pPr>
            <w:pStyle w:val="Frslagstext"/>
          </w:pPr>
          <w:r>
            <w:t>Riksdagen ställer sig bakom det som anförs i motionen om att avskaffa automatisk villkorlig frigivning och tillkännager detta för regeringen.</w:t>
          </w:r>
        </w:p>
      </w:sdtContent>
    </w:sdt>
    <w:sdt>
      <w:sdtPr>
        <w:alias w:val="Yrkande 2"/>
        <w:tag w:val="2a4f156c-474d-4a7c-af9d-d54798faa93a"/>
        <w:id w:val="-117386068"/>
        <w:lock w:val="sdtLocked"/>
      </w:sdtPr>
      <w:sdtEndPr/>
      <w:sdtContent>
        <w:p w:rsidR="00254F3D" w:rsidRDefault="00754C32" w14:paraId="15EE837F" w14:textId="77777777">
          <w:pPr>
            <w:pStyle w:val="Frslagstext"/>
          </w:pPr>
          <w:r>
            <w:t>Riksdagen ställer sig bakom det som anförs i motionen om att villkorlig frigivning ska kunna ske i särskilda fall vid gott beteende och styrkt rehabilitering och tillkännager detta för regeringen.</w:t>
          </w:r>
        </w:p>
      </w:sdtContent>
    </w:sdt>
    <w:sdt>
      <w:sdtPr>
        <w:alias w:val="Yrkande 3"/>
        <w:tag w:val="9476646e-d20e-4bfa-91d2-c558bf3f7b97"/>
        <w:id w:val="1138303387"/>
        <w:lock w:val="sdtLocked"/>
      </w:sdtPr>
      <w:sdtEndPr/>
      <w:sdtContent>
        <w:p w:rsidR="00254F3D" w:rsidRDefault="00754C32" w14:paraId="15EE8380" w14:textId="77777777">
          <w:pPr>
            <w:pStyle w:val="Frslagstext"/>
          </w:pPr>
          <w:r>
            <w:t>Riksdagen ställer sig bakom det som anförs i motionen om att villkorlig frigivning aldrig ska kunna meddelas gällande återfallsförbrytare eller vid synnerligen allvarlig brottslighet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F9797D0C8B4C0E875D0BE95CE4F8C0"/>
        </w:placeholder>
        <w:text/>
      </w:sdtPr>
      <w:sdtEndPr/>
      <w:sdtContent>
        <w:p w:rsidRPr="009B062B" w:rsidR="006D79C9" w:rsidP="00333E95" w:rsidRDefault="006D79C9" w14:paraId="15EE8381" w14:textId="77777777">
          <w:pPr>
            <w:pStyle w:val="Rubrik1"/>
          </w:pPr>
          <w:r>
            <w:t>Motivering</w:t>
          </w:r>
        </w:p>
      </w:sdtContent>
    </w:sdt>
    <w:p w:rsidR="0022768B" w:rsidP="00CB4214" w:rsidRDefault="0022768B" w14:paraId="15EE8382" w14:textId="12B0AF23">
      <w:pPr>
        <w:pStyle w:val="Normalutanindragellerluft"/>
      </w:pPr>
      <w:r>
        <w:t>Svensk straffrätt präglas i</w:t>
      </w:r>
      <w:r w:rsidR="00B1332C">
        <w:t xml:space="preserve"> </w:t>
      </w:r>
      <w:r>
        <w:t xml:space="preserve">dag av flertalet rabatter, vare sig de är i form av förmildrande omständigheter, billighetsskäl, ungdomsreduktion, tillämpning av asperationsprincipen eller villkorlig frigivning. Straffmätningsvärdet motsvarar således sällan det allmänna rättsmedvetandet. </w:t>
      </w:r>
      <w:r w:rsidR="00807815">
        <w:t>Befolkningens förståelse</w:t>
      </w:r>
      <w:r>
        <w:t xml:space="preserve"> för de olika instituten varierar, och accep</w:t>
      </w:r>
      <w:r w:rsidR="00CB4214">
        <w:softHyphen/>
      </w:r>
      <w:r>
        <w:t>tansen av de praktiska effekterna av den samlade straffmätningen</w:t>
      </w:r>
      <w:r w:rsidR="00807815">
        <w:t xml:space="preserve"> är</w:t>
      </w:r>
      <w:r>
        <w:t xml:space="preserve"> ringa. Även om Sverigedemokraterna på andra håll förespråkar en övergripande straffrättsreform så finns i detta </w:t>
      </w:r>
      <w:proofErr w:type="gramStart"/>
      <w:r>
        <w:t>ärende skäl</w:t>
      </w:r>
      <w:proofErr w:type="gramEnd"/>
      <w:r>
        <w:t xml:space="preserve"> att beröra just den villkorliga frigivningen. </w:t>
      </w:r>
    </w:p>
    <w:p w:rsidR="0022768B" w:rsidP="00CB4214" w:rsidRDefault="00B449C6" w14:paraId="15EE8383" w14:textId="2D793744">
      <w:r>
        <w:t>Regeringen föreslår genom propositionen vissa förändringar gällande den i</w:t>
      </w:r>
      <w:r w:rsidR="00DE0A5C">
        <w:t xml:space="preserve"> </w:t>
      </w:r>
      <w:r>
        <w:t>dag automatiska villkorliga frigivningen efter två tredjedelar av avtjänat straff. Den föreslagna ordningen innebär att det i vissa fall, då intagna ej deltar i rehabiliterings</w:t>
      </w:r>
      <w:r w:rsidR="00CB4214">
        <w:softHyphen/>
      </w:r>
      <w:r>
        <w:t xml:space="preserve">verksamheten eller vid allvarlig misskötsel, möjliggörs att skjuta upp den villkorliga frigivningen. </w:t>
      </w:r>
    </w:p>
    <w:p w:rsidR="00BB6339" w:rsidP="00CB4214" w:rsidRDefault="00B449C6" w14:paraId="15EE8385" w14:textId="1E49F775">
      <w:r>
        <w:lastRenderedPageBreak/>
        <w:t>En sådan ordning torde anses som omvänd, då presumtionen alltjämt är att villkorlig frigivning ska ske efter två tredjedelar av avtjänat straff.</w:t>
      </w:r>
      <w:r w:rsidR="0022768B">
        <w:t xml:space="preserve"> </w:t>
      </w:r>
      <w:r w:rsidRPr="00B449C6">
        <w:t xml:space="preserve">Utgångspunkten för villkorlig frigivning bör </w:t>
      </w:r>
      <w:r>
        <w:t xml:space="preserve">snarare </w:t>
      </w:r>
      <w:r w:rsidRPr="00B449C6">
        <w:t xml:space="preserve">vara att </w:t>
      </w:r>
      <w:r w:rsidR="00BF57ED">
        <w:t xml:space="preserve">en </w:t>
      </w:r>
      <w:r w:rsidRPr="00B449C6">
        <w:t xml:space="preserve">sådan inte ska ske, utan snarare utgöra ett incitament för gott beteende och </w:t>
      </w:r>
      <w:r w:rsidR="0022768B">
        <w:t xml:space="preserve">styrkt </w:t>
      </w:r>
      <w:r w:rsidRPr="00B449C6">
        <w:t>rehabilitering under fängelsetiden. När det gäller återfalls</w:t>
      </w:r>
      <w:r w:rsidR="00CB4214">
        <w:softHyphen/>
      </w:r>
      <w:bookmarkStart w:name="_GoBack" w:id="1"/>
      <w:bookmarkEnd w:id="1"/>
      <w:r w:rsidRPr="00B449C6">
        <w:t>förbrytare</w:t>
      </w:r>
      <w:r w:rsidR="0022768B">
        <w:t xml:space="preserve"> eller de</w:t>
      </w:r>
      <w:r w:rsidR="00BF57ED">
        <w:t>m</w:t>
      </w:r>
      <w:r w:rsidR="0022768B">
        <w:t xml:space="preserve"> som </w:t>
      </w:r>
      <w:r w:rsidR="00BF57ED">
        <w:t xml:space="preserve">har </w:t>
      </w:r>
      <w:r w:rsidR="0022768B">
        <w:t>begått synnerligen allvarlig brottslighet</w:t>
      </w:r>
      <w:r w:rsidRPr="00B449C6">
        <w:t xml:space="preserve"> bör dock villkorlig frigivning aldrig tillämpas.</w:t>
      </w:r>
    </w:p>
    <w:sdt>
      <w:sdtPr>
        <w:alias w:val="CC_Underskrifter"/>
        <w:tag w:val="CC_Underskrifter"/>
        <w:id w:val="583496634"/>
        <w:lock w:val="sdtContentLocked"/>
        <w:placeholder>
          <w:docPart w:val="64558D5B9506422DB913A05387370B88"/>
        </w:placeholder>
      </w:sdtPr>
      <w:sdtEndPr/>
      <w:sdtContent>
        <w:p w:rsidR="000B42A6" w:rsidP="000B42A6" w:rsidRDefault="000B42A6" w14:paraId="15EE8386" w14:textId="77777777"/>
        <w:p w:rsidRPr="008E0FE2" w:rsidR="004801AC" w:rsidP="000B42A6" w:rsidRDefault="00CB4214" w14:paraId="15EE83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Katja Nyberg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 Broman (SD)</w:t>
            </w:r>
          </w:p>
        </w:tc>
      </w:tr>
    </w:tbl>
    <w:p w:rsidR="00AC3FC9" w:rsidRDefault="00AC3FC9" w14:paraId="15EE838E" w14:textId="77777777"/>
    <w:sectPr w:rsidR="00AC3FC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E8390" w14:textId="77777777" w:rsidR="00B449C6" w:rsidRDefault="00B449C6" w:rsidP="000C1CAD">
      <w:pPr>
        <w:spacing w:line="240" w:lineRule="auto"/>
      </w:pPr>
      <w:r>
        <w:separator/>
      </w:r>
    </w:p>
  </w:endnote>
  <w:endnote w:type="continuationSeparator" w:id="0">
    <w:p w14:paraId="15EE8391" w14:textId="77777777" w:rsidR="00B449C6" w:rsidRDefault="00B449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E83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E83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E839F" w14:textId="77777777" w:rsidR="00262EA3" w:rsidRPr="000B42A6" w:rsidRDefault="00262EA3" w:rsidP="000B42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E838E" w14:textId="77777777" w:rsidR="00B449C6" w:rsidRDefault="00B449C6" w:rsidP="000C1CAD">
      <w:pPr>
        <w:spacing w:line="240" w:lineRule="auto"/>
      </w:pPr>
      <w:r>
        <w:separator/>
      </w:r>
    </w:p>
  </w:footnote>
  <w:footnote w:type="continuationSeparator" w:id="0">
    <w:p w14:paraId="15EE838F" w14:textId="77777777" w:rsidR="00B449C6" w:rsidRDefault="00B449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5EE83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EE83A1" wp14:anchorId="15EE83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4214" w14:paraId="15EE83A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3191D07B6C4F1BA4EB7DB9EB7B82F8"/>
                              </w:placeholder>
                              <w:text/>
                            </w:sdtPr>
                            <w:sdtEndPr/>
                            <w:sdtContent>
                              <w:r w:rsidR="00B449C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99C4B902ACE4C09AA745CC0F21C8E8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EE83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4214" w14:paraId="15EE83A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3191D07B6C4F1BA4EB7DB9EB7B82F8"/>
                        </w:placeholder>
                        <w:text/>
                      </w:sdtPr>
                      <w:sdtEndPr/>
                      <w:sdtContent>
                        <w:r w:rsidR="00B449C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99C4B902ACE4C09AA745CC0F21C8E8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EE83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EE8394" w14:textId="77777777">
    <w:pPr>
      <w:jc w:val="right"/>
    </w:pPr>
  </w:p>
  <w:p w:rsidR="00262EA3" w:rsidP="00776B74" w:rsidRDefault="00262EA3" w14:paraId="15EE83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B4214" w14:paraId="15EE83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EE83A3" wp14:anchorId="15EE83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4214" w14:paraId="15EE83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449C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B4214" w14:paraId="15EE83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4214" w14:paraId="15EE83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:3727</w:t>
        </w:r>
      </w:sdtContent>
    </w:sdt>
  </w:p>
  <w:p w:rsidR="00262EA3" w:rsidP="00E03A3D" w:rsidRDefault="00CB4214" w14:paraId="15EE83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Adam Marttinen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70E4B160DC544048EE03497297168F6"/>
      </w:placeholder>
      <w:text/>
    </w:sdtPr>
    <w:sdtEndPr/>
    <w:sdtContent>
      <w:p w:rsidR="00262EA3" w:rsidP="00283E0F" w:rsidRDefault="00754C32" w14:paraId="15EE839D" w14:textId="161C4CB9">
        <w:pPr>
          <w:pStyle w:val="FSHRub2"/>
        </w:pPr>
        <w:r>
          <w:t>med anledning av prop. 2020/21:18 En tydligare koppling mellan villkorlig frigivning och deltagande i återfallsförebyggande åtgärder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EE83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449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9E5"/>
    <w:rsid w:val="000B2DAD"/>
    <w:rsid w:val="000B2E6B"/>
    <w:rsid w:val="000B3279"/>
    <w:rsid w:val="000B3BB1"/>
    <w:rsid w:val="000B3D5A"/>
    <w:rsid w:val="000B42A6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04D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68B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4F3D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F90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AD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4C32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15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3FC9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2C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9C6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57ED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21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A5C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D4E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EE837C"/>
  <w15:chartTrackingRefBased/>
  <w15:docId w15:val="{64429864-8B67-41A0-A645-8BB840DB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11D3C6CB984A56BB27D791AC553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3BD26-F53D-4BEA-8930-BFE908E0B721}"/>
      </w:docPartPr>
      <w:docPartBody>
        <w:p w:rsidR="002143BA" w:rsidRDefault="0090247E">
          <w:pPr>
            <w:pStyle w:val="C111D3C6CB984A56BB27D791AC553A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F9797D0C8B4C0E875D0BE95CE4F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BCB37-0923-4477-B904-D0F90680D7EA}"/>
      </w:docPartPr>
      <w:docPartBody>
        <w:p w:rsidR="002143BA" w:rsidRDefault="0090247E">
          <w:pPr>
            <w:pStyle w:val="54F9797D0C8B4C0E875D0BE95CE4F8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3191D07B6C4F1BA4EB7DB9EB7B8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525EA-C9DE-4EFC-8C84-9E4B4AD9D49B}"/>
      </w:docPartPr>
      <w:docPartBody>
        <w:p w:rsidR="002143BA" w:rsidRDefault="0090247E">
          <w:pPr>
            <w:pStyle w:val="8B3191D07B6C4F1BA4EB7DB9EB7B82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9C4B902ACE4C09AA745CC0F21C8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08392-11D6-4CC3-972E-7D6D46C8A44D}"/>
      </w:docPartPr>
      <w:docPartBody>
        <w:p w:rsidR="002143BA" w:rsidRDefault="0090247E">
          <w:pPr>
            <w:pStyle w:val="699C4B902ACE4C09AA745CC0F21C8E8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A93D5-34DD-4EA0-9D7D-57A5F8C9994F}"/>
      </w:docPartPr>
      <w:docPartBody>
        <w:p w:rsidR="002143BA" w:rsidRDefault="0090247E">
          <w:r w:rsidRPr="000257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0E4B160DC544048EE0349729716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ACE90-E026-471A-B82D-D901CC5A08E0}"/>
      </w:docPartPr>
      <w:docPartBody>
        <w:p w:rsidR="002143BA" w:rsidRDefault="0090247E">
          <w:r w:rsidRPr="000257CD">
            <w:rPr>
              <w:rStyle w:val="Platshllartext"/>
            </w:rPr>
            <w:t>[ange din text här]</w:t>
          </w:r>
        </w:p>
      </w:docPartBody>
    </w:docPart>
    <w:docPart>
      <w:docPartPr>
        <w:name w:val="64558D5B9506422DB913A05387370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690AE-4575-4657-AD9A-B3B28B734FDA}"/>
      </w:docPartPr>
      <w:docPartBody>
        <w:p w:rsidR="00986D98" w:rsidRDefault="00986D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7E"/>
    <w:rsid w:val="002143BA"/>
    <w:rsid w:val="0090247E"/>
    <w:rsid w:val="009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0247E"/>
    <w:rPr>
      <w:color w:val="F4B083" w:themeColor="accent2" w:themeTint="99"/>
    </w:rPr>
  </w:style>
  <w:style w:type="paragraph" w:customStyle="1" w:styleId="C111D3C6CB984A56BB27D791AC553A70">
    <w:name w:val="C111D3C6CB984A56BB27D791AC553A70"/>
  </w:style>
  <w:style w:type="paragraph" w:customStyle="1" w:styleId="004EA74694D74FC68E9EFFF9EE24BF4E">
    <w:name w:val="004EA74694D74FC68E9EFFF9EE24BF4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2E98D2BE084B6EB8B47AFDDA515582">
    <w:name w:val="DA2E98D2BE084B6EB8B47AFDDA515582"/>
  </w:style>
  <w:style w:type="paragraph" w:customStyle="1" w:styleId="54F9797D0C8B4C0E875D0BE95CE4F8C0">
    <w:name w:val="54F9797D0C8B4C0E875D0BE95CE4F8C0"/>
  </w:style>
  <w:style w:type="paragraph" w:customStyle="1" w:styleId="A4CEE5BEFCC54273B497D100D93F8CA4">
    <w:name w:val="A4CEE5BEFCC54273B497D100D93F8CA4"/>
  </w:style>
  <w:style w:type="paragraph" w:customStyle="1" w:styleId="1ABD89B7E2C742468ED946BAE304C20D">
    <w:name w:val="1ABD89B7E2C742468ED946BAE304C20D"/>
  </w:style>
  <w:style w:type="paragraph" w:customStyle="1" w:styleId="8B3191D07B6C4F1BA4EB7DB9EB7B82F8">
    <w:name w:val="8B3191D07B6C4F1BA4EB7DB9EB7B82F8"/>
  </w:style>
  <w:style w:type="paragraph" w:customStyle="1" w:styleId="699C4B902ACE4C09AA745CC0F21C8E8A">
    <w:name w:val="699C4B902ACE4C09AA745CC0F21C8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3FA90B-1440-45EC-B1B9-652C4CA1DE9B}"/>
</file>

<file path=customXml/itemProps2.xml><?xml version="1.0" encoding="utf-8"?>
<ds:datastoreItem xmlns:ds="http://schemas.openxmlformats.org/officeDocument/2006/customXml" ds:itemID="{B6B5DF26-B7A2-4677-8277-405540401900}"/>
</file>

<file path=customXml/itemProps3.xml><?xml version="1.0" encoding="utf-8"?>
<ds:datastoreItem xmlns:ds="http://schemas.openxmlformats.org/officeDocument/2006/customXml" ds:itemID="{95AB6BEA-C899-4749-BB9E-9AE9544486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1811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18   En tydligare koppling mellan villkorlig frigivning och deltagande i återfallsförebyggande åtgärder</vt:lpstr>
      <vt:lpstr>
      </vt:lpstr>
    </vt:vector>
  </TitlesOfParts>
  <Company>Sveriges riksdag</Company>
  <LinksUpToDate>false</LinksUpToDate>
  <CharactersWithSpaces>2080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