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E43670">
        <w:tblPrEx>
          <w:tblCellMar>
            <w:top w:w="0" w:type="dxa"/>
            <w:bottom w:w="0" w:type="dxa"/>
          </w:tblCellMar>
        </w:tblPrEx>
        <w:trPr>
          <w:cantSplit/>
          <w:trHeight w:val="1720"/>
        </w:trPr>
        <w:tc>
          <w:tcPr>
            <w:tcW w:w="6024" w:type="dxa"/>
            <w:gridSpan w:val="2"/>
          </w:tcPr>
          <w:p w:rsidR="00F53A97" w:rsidRPr="00E43670" w:rsidRDefault="00004E67">
            <w:pPr>
              <w:pStyle w:val="HuvudRubrik"/>
            </w:pPr>
            <w:r w:rsidRPr="00E43670">
              <w:t>Näringsutskottets yttrande</w:t>
            </w:r>
          </w:p>
          <w:p w:rsidR="00F53A97" w:rsidRPr="00E43670" w:rsidRDefault="008922A0">
            <w:pPr>
              <w:pStyle w:val="HuvudRubrikRad2"/>
            </w:pPr>
            <w:bookmarkStart w:id="0" w:name="BetänkandeNr"/>
            <w:bookmarkEnd w:id="0"/>
            <w:r w:rsidRPr="00E43670">
              <w:t>2004/05</w:t>
            </w:r>
            <w:r w:rsidR="00F53A97" w:rsidRPr="00E43670">
              <w:t>:</w:t>
            </w:r>
            <w:r w:rsidRPr="00E43670">
              <w:t>NU1y</w:t>
            </w:r>
          </w:p>
        </w:tc>
        <w:tc>
          <w:tcPr>
            <w:tcW w:w="1418" w:type="dxa"/>
            <w:tcBorders>
              <w:bottom w:val="nil"/>
            </w:tcBorders>
          </w:tcPr>
          <w:p w:rsidR="00F53A97" w:rsidRPr="00E43670" w:rsidRDefault="00E43670">
            <w:pPr>
              <w:spacing w:line="230" w:lineRule="auto"/>
              <w:jc w:val="center"/>
            </w:pPr>
            <w:r w:rsidRPr="00E4367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E43670" w:rsidRDefault="00F53A97">
            <w:pPr>
              <w:pStyle w:val="Normaltindrag"/>
              <w:jc w:val="center"/>
            </w:pPr>
          </w:p>
          <w:p w:rsidR="00F53A97" w:rsidRPr="00E43670" w:rsidRDefault="00F53A97">
            <w:pPr>
              <w:pStyle w:val="StatusSida1"/>
            </w:pPr>
          </w:p>
          <w:p w:rsidR="00F53A97" w:rsidRPr="00E43670" w:rsidRDefault="00F53A97">
            <w:pPr>
              <w:pStyle w:val="UtskriftsdatumSida1"/>
              <w:framePr w:wrap="around"/>
            </w:pPr>
          </w:p>
        </w:tc>
      </w:tr>
      <w:tr w:rsidR="00F53A97" w:rsidRPr="00E43670">
        <w:tblPrEx>
          <w:tblCellMar>
            <w:top w:w="0" w:type="dxa"/>
            <w:bottom w:w="0" w:type="dxa"/>
          </w:tblCellMar>
        </w:tblPrEx>
        <w:trPr>
          <w:cantSplit/>
        </w:trPr>
        <w:tc>
          <w:tcPr>
            <w:tcW w:w="6024" w:type="dxa"/>
            <w:gridSpan w:val="2"/>
            <w:tcBorders>
              <w:bottom w:val="single" w:sz="4" w:space="0" w:color="auto"/>
            </w:tcBorders>
          </w:tcPr>
          <w:p w:rsidR="00F53A97" w:rsidRPr="00E43670" w:rsidRDefault="00004E67" w:rsidP="00DE501A">
            <w:pPr>
              <w:pStyle w:val="DokumentRubrik"/>
              <w:spacing w:after="60"/>
              <w:rPr>
                <w:noProof w:val="0"/>
              </w:rPr>
            </w:pPr>
            <w:bookmarkStart w:id="1" w:name="Huvudrubrik"/>
            <w:bookmarkEnd w:id="1"/>
            <w:r w:rsidRPr="00E43670">
              <w:rPr>
                <w:noProof w:val="0"/>
              </w:rPr>
              <w:t>Forskning</w:t>
            </w:r>
          </w:p>
        </w:tc>
        <w:tc>
          <w:tcPr>
            <w:tcW w:w="1418" w:type="dxa"/>
            <w:tcBorders>
              <w:bottom w:val="nil"/>
            </w:tcBorders>
          </w:tcPr>
          <w:p w:rsidR="00F53A97" w:rsidRPr="00E43670" w:rsidRDefault="00F53A97"/>
        </w:tc>
      </w:tr>
      <w:tr w:rsidR="00F53A97" w:rsidRPr="00E43670">
        <w:tblPrEx>
          <w:tblCellMar>
            <w:top w:w="0" w:type="dxa"/>
            <w:bottom w:w="0" w:type="dxa"/>
          </w:tblCellMar>
        </w:tblPrEx>
        <w:trPr>
          <w:cantSplit/>
          <w:trHeight w:hRule="exact" w:val="360"/>
        </w:trPr>
        <w:tc>
          <w:tcPr>
            <w:tcW w:w="3012" w:type="dxa"/>
          </w:tcPr>
          <w:p w:rsidR="00F53A97" w:rsidRPr="00E43670" w:rsidRDefault="00F53A97"/>
        </w:tc>
        <w:tc>
          <w:tcPr>
            <w:tcW w:w="3012" w:type="dxa"/>
          </w:tcPr>
          <w:p w:rsidR="00F53A97" w:rsidRPr="00E43670" w:rsidRDefault="00F53A97"/>
        </w:tc>
        <w:tc>
          <w:tcPr>
            <w:tcW w:w="1418" w:type="dxa"/>
          </w:tcPr>
          <w:p w:rsidR="00F53A97" w:rsidRPr="00E43670" w:rsidRDefault="00F53A97"/>
        </w:tc>
      </w:tr>
    </w:tbl>
    <w:p w:rsidR="00004E67" w:rsidRPr="00E43670" w:rsidRDefault="00004E67" w:rsidP="00550C91">
      <w:pPr>
        <w:pStyle w:val="R1"/>
        <w:spacing w:after="120"/>
      </w:pPr>
      <w:r w:rsidRPr="00E43670">
        <w:t>Till utbildningsutskottet</w:t>
      </w:r>
    </w:p>
    <w:p w:rsidR="000B3397" w:rsidRPr="00E43670" w:rsidRDefault="000B3397" w:rsidP="000B3397">
      <w:pPr>
        <w:pStyle w:val="Rubrik1"/>
        <w:spacing w:after="0" w:line="20" w:lineRule="exact"/>
        <w:rPr>
          <w:noProof w:val="0"/>
        </w:rPr>
      </w:pPr>
    </w:p>
    <w:p w:rsidR="004423C8" w:rsidRPr="00E43670" w:rsidRDefault="00303CA0" w:rsidP="000B3397">
      <w:pPr>
        <w:spacing w:before="0"/>
        <w:outlineLvl w:val="0"/>
      </w:pPr>
      <w:bookmarkStart w:id="2" w:name="TextStart"/>
      <w:bookmarkEnd w:id="2"/>
      <w:r w:rsidRPr="00E43670">
        <w:t>Utbildningsutskottet har berett näringsutskottet tillfälle att yttra sig över pr</w:t>
      </w:r>
      <w:r w:rsidRPr="00E43670">
        <w:t>o</w:t>
      </w:r>
      <w:r w:rsidRPr="00E43670">
        <w:t xml:space="preserve">position 2004/05:80 om forskning för ett bättre liv jämte motioner i de delar som berör näringsutskottets beredningsområde. Totalt har sju motioner väckts med anledning av propositionen. Tillsammans med yttrandet överlämnar näringsutskottet </w:t>
      </w:r>
      <w:r w:rsidR="009D1669" w:rsidRPr="00E43670">
        <w:t>till ut</w:t>
      </w:r>
      <w:r w:rsidR="00DD477A" w:rsidRPr="00E43670">
        <w:t>bildningsutskottet – under förutsättning av utbildning</w:t>
      </w:r>
      <w:r w:rsidR="00DD477A" w:rsidRPr="00E43670">
        <w:t>s</w:t>
      </w:r>
      <w:r w:rsidR="00DD477A" w:rsidRPr="00E43670">
        <w:t>utskottets medgivande – 25</w:t>
      </w:r>
      <w:r w:rsidRPr="00E43670">
        <w:t xml:space="preserve"> motionsyrkanden från allmänna motionstiden rörande olika forskningspolitiska fr</w:t>
      </w:r>
      <w:r w:rsidRPr="00E43670">
        <w:t>å</w:t>
      </w:r>
      <w:r w:rsidRPr="00E43670">
        <w:t>gor</w:t>
      </w:r>
      <w:r w:rsidR="003445C4" w:rsidRPr="00E43670">
        <w:t xml:space="preserve"> (se bilaga)</w:t>
      </w:r>
      <w:r w:rsidR="004423C8" w:rsidRPr="00E43670">
        <w:t xml:space="preserve">. </w:t>
      </w:r>
    </w:p>
    <w:p w:rsidR="004423C8" w:rsidRPr="00E43670" w:rsidRDefault="00B07288" w:rsidP="002A36A0">
      <w:pPr>
        <w:pStyle w:val="R2"/>
      </w:pPr>
      <w:r w:rsidRPr="00E43670">
        <w:t>Inledning</w:t>
      </w:r>
    </w:p>
    <w:p w:rsidR="00530497" w:rsidRPr="00E43670" w:rsidRDefault="00530497" w:rsidP="00530497">
      <w:pPr>
        <w:outlineLvl w:val="0"/>
      </w:pPr>
      <w:r w:rsidRPr="00E43670">
        <w:t xml:space="preserve">I propositionen lämnas två förslag till riksdagsbeslut, nämligen att riksdagen skall godkänna vad regeringen föreslår </w:t>
      </w:r>
      <w:r w:rsidR="009509AC" w:rsidRPr="00E43670">
        <w:t xml:space="preserve">dels </w:t>
      </w:r>
      <w:r w:rsidRPr="00E43670">
        <w:t>om inrättande av nationella fors</w:t>
      </w:r>
      <w:r w:rsidRPr="00E43670">
        <w:t>k</w:t>
      </w:r>
      <w:r w:rsidRPr="00E43670">
        <w:t>ningsanläggningar</w:t>
      </w:r>
      <w:r w:rsidR="009509AC" w:rsidRPr="00E43670">
        <w:t>, dels</w:t>
      </w:r>
      <w:r w:rsidRPr="00E43670">
        <w:t xml:space="preserve"> om att avyttra hela eller delar av aktiekapitalet i Imego Aktiebolag. Dessa båda förslag berör inte näringsutskottets bere</w:t>
      </w:r>
      <w:r w:rsidRPr="00E43670">
        <w:t>d</w:t>
      </w:r>
      <w:r w:rsidRPr="00E43670">
        <w:t>ningsområde. På övriga områden redovisas regeringens bedö</w:t>
      </w:r>
      <w:r w:rsidRPr="00E43670">
        <w:t>m</w:t>
      </w:r>
      <w:r w:rsidRPr="00E43670">
        <w:t>ningar, som alltså inte förutsätter formella riksdagsbeslut. Förslag rörande de medel som skall tilldelas olika aktörer under den period som forskningspr</w:t>
      </w:r>
      <w:r w:rsidRPr="00E43670">
        <w:t>o</w:t>
      </w:r>
      <w:r w:rsidRPr="00E43670">
        <w:t xml:space="preserve">positionen täcker, dvs. åren 2005–2008, </w:t>
      </w:r>
      <w:r w:rsidR="009D1669" w:rsidRPr="00E43670">
        <w:t xml:space="preserve">kommer att </w:t>
      </w:r>
      <w:r w:rsidRPr="00E43670">
        <w:t>presenteras dels vad avser år 2005 i tilläggsbudget i 2005 års ekonomiska vårproposition, dels vad avser åren 2006–2008 i budgetpropositioner för respektive år.</w:t>
      </w:r>
    </w:p>
    <w:p w:rsidR="00303CA0" w:rsidRPr="00E43670" w:rsidRDefault="00303CA0" w:rsidP="00530497">
      <w:pPr>
        <w:pStyle w:val="Normaltindrag"/>
      </w:pPr>
      <w:r w:rsidRPr="00E43670">
        <w:t xml:space="preserve">I det följande redovisas de delar av propositionen som </w:t>
      </w:r>
      <w:r w:rsidR="009509AC" w:rsidRPr="00E43670">
        <w:t>berör</w:t>
      </w:r>
      <w:r w:rsidRPr="00E43670">
        <w:t xml:space="preserve"> näringsutsko</w:t>
      </w:r>
      <w:r w:rsidRPr="00E43670">
        <w:t>t</w:t>
      </w:r>
      <w:r w:rsidRPr="00E43670">
        <w:t>tets beredningsområde och motsvarande delar av de motioner som har väckts med anledning av propositionen. Följande sju motioner</w:t>
      </w:r>
      <w:r w:rsidR="00530497" w:rsidRPr="00E43670">
        <w:t xml:space="preserve"> </w:t>
      </w:r>
      <w:r w:rsidRPr="00E43670">
        <w:t>har väckts</w:t>
      </w:r>
      <w:r w:rsidR="009509AC" w:rsidRPr="00E43670">
        <w:t xml:space="preserve"> med a</w:t>
      </w:r>
      <w:r w:rsidR="009509AC" w:rsidRPr="00E43670">
        <w:t>n</w:t>
      </w:r>
      <w:r w:rsidR="009509AC" w:rsidRPr="00E43670">
        <w:t>ledning av propositionen</w:t>
      </w:r>
      <w:r w:rsidRPr="00E43670">
        <w:t xml:space="preserve">: </w:t>
      </w:r>
    </w:p>
    <w:p w:rsidR="00303CA0" w:rsidRPr="00E43670" w:rsidRDefault="00303CA0" w:rsidP="002A36A0">
      <w:pPr>
        <w:pStyle w:val="Normaltindrag"/>
      </w:pPr>
      <w:r w:rsidRPr="00E43670">
        <w:t>– 2004/05:Ub5 av Axel Darvik (fp),</w:t>
      </w:r>
    </w:p>
    <w:p w:rsidR="00303CA0" w:rsidRPr="00E43670" w:rsidRDefault="00303CA0" w:rsidP="002A36A0">
      <w:pPr>
        <w:pStyle w:val="Normaltindrag"/>
      </w:pPr>
      <w:r w:rsidRPr="00E43670">
        <w:t>– 2004/05:Ub6 av Jörgen Johanson och Rigmor Stenmark (c),</w:t>
      </w:r>
    </w:p>
    <w:p w:rsidR="00303CA0" w:rsidRPr="00E43670" w:rsidRDefault="00303CA0" w:rsidP="002A36A0">
      <w:pPr>
        <w:pStyle w:val="Normaltindrag"/>
      </w:pPr>
      <w:r w:rsidRPr="00E43670">
        <w:t xml:space="preserve">– 2004/05:Ub7 av Jörgen Johanson (c), </w:t>
      </w:r>
    </w:p>
    <w:p w:rsidR="00303CA0" w:rsidRPr="00E43670" w:rsidRDefault="00303CA0" w:rsidP="002A36A0">
      <w:pPr>
        <w:pStyle w:val="Normaltindrag"/>
      </w:pPr>
      <w:r w:rsidRPr="00E43670">
        <w:t>– 2004/05:Ub8 av Marie Wahlgren</w:t>
      </w:r>
      <w:r w:rsidR="002A36A0" w:rsidRPr="00E43670">
        <w:t xml:space="preserve"> (fp)</w:t>
      </w:r>
      <w:r w:rsidRPr="00E43670">
        <w:t xml:space="preserve">, </w:t>
      </w:r>
    </w:p>
    <w:p w:rsidR="00303CA0" w:rsidRPr="00E43670" w:rsidRDefault="00303CA0" w:rsidP="002A36A0">
      <w:pPr>
        <w:pStyle w:val="Normaltindrag"/>
      </w:pPr>
      <w:r w:rsidRPr="00E43670">
        <w:t xml:space="preserve">– 2004/05:Ub9 av Marie Wahlgren och Christer Nylander (fp), </w:t>
      </w:r>
    </w:p>
    <w:p w:rsidR="00303CA0" w:rsidRPr="00E43670" w:rsidRDefault="00303CA0" w:rsidP="002A36A0">
      <w:pPr>
        <w:pStyle w:val="Normaltindrag"/>
      </w:pPr>
      <w:r w:rsidRPr="00E43670">
        <w:t xml:space="preserve">– 2004/05:Ub10 av Marie Wahlgren och Tina Acketoft (fp), </w:t>
      </w:r>
    </w:p>
    <w:p w:rsidR="00303CA0" w:rsidRPr="00E43670" w:rsidRDefault="00303CA0" w:rsidP="002A36A0">
      <w:pPr>
        <w:pStyle w:val="Normaltindrag"/>
      </w:pPr>
      <w:r w:rsidRPr="00E43670">
        <w:t xml:space="preserve">– 2004/05:Ub11 av Ulf Nilsson m.fl. (fp, m, kd, c). </w:t>
      </w:r>
    </w:p>
    <w:p w:rsidR="00303CA0" w:rsidRPr="00E43670" w:rsidRDefault="00303CA0" w:rsidP="00303CA0">
      <w:pPr>
        <w:outlineLvl w:val="0"/>
      </w:pPr>
      <w:r w:rsidRPr="00E43670">
        <w:lastRenderedPageBreak/>
        <w:t xml:space="preserve">Följande </w:t>
      </w:r>
      <w:r w:rsidR="009509AC" w:rsidRPr="00E43670">
        <w:t>avsnitt</w:t>
      </w:r>
      <w:r w:rsidRPr="00E43670">
        <w:t xml:space="preserve"> av propositionen har koppling till näringsutskottets bere</w:t>
      </w:r>
      <w:r w:rsidRPr="00E43670">
        <w:t>d</w:t>
      </w:r>
      <w:r w:rsidRPr="00E43670">
        <w:t>ningsområde: Allmänt om forskning och behovsmotiverad forskning, Priorit</w:t>
      </w:r>
      <w:r w:rsidRPr="00E43670">
        <w:t>e</w:t>
      </w:r>
      <w:r w:rsidRPr="00E43670">
        <w:t>rade forskningsområden, Starka forskningsmiljöer, Meriteringsa</w:t>
      </w:r>
      <w:r w:rsidRPr="00E43670">
        <w:t>n</w:t>
      </w:r>
      <w:r w:rsidRPr="00E43670">
        <w:t>ställningar, Forskarskolor, Forskning, innovation och hållbar tillväxt (med underrubrike</w:t>
      </w:r>
      <w:r w:rsidRPr="00E43670">
        <w:t>r</w:t>
      </w:r>
      <w:r w:rsidRPr="00E43670">
        <w:t>na Forskningens roll i innovationss</w:t>
      </w:r>
      <w:r w:rsidRPr="00E43670">
        <w:t>y</w:t>
      </w:r>
      <w:r w:rsidRPr="00E43670">
        <w:t>stemet, Forskning i små och medelstora företag, FoU-program i samverkan med näringslivet, Institutens roll i innov</w:t>
      </w:r>
      <w:r w:rsidRPr="00E43670">
        <w:t>a</w:t>
      </w:r>
      <w:r w:rsidRPr="00E43670">
        <w:t>tionssystemet</w:t>
      </w:r>
      <w:r w:rsidR="00D9148A" w:rsidRPr="00E43670">
        <w:t xml:space="preserve"> och</w:t>
      </w:r>
      <w:r w:rsidRPr="00E43670">
        <w:t xml:space="preserve"> Insatser för ökad forskarmobilitet) samt Fors</w:t>
      </w:r>
      <w:r w:rsidRPr="00E43670">
        <w:t>k</w:t>
      </w:r>
      <w:r w:rsidRPr="00E43670">
        <w:t xml:space="preserve">ning till stöd för vissa politikområden. Av de nyssnämnda sju motionerna har följande yrkanden </w:t>
      </w:r>
      <w:r w:rsidR="009509AC" w:rsidRPr="00E43670">
        <w:t>bäring på</w:t>
      </w:r>
      <w:r w:rsidRPr="00E43670">
        <w:t xml:space="preserve"> näringsutskottets beredningsområde: moti</w:t>
      </w:r>
      <w:r w:rsidRPr="00E43670">
        <w:t>o</w:t>
      </w:r>
      <w:r w:rsidRPr="00E43670">
        <w:t>nerna 2004/05:</w:t>
      </w:r>
      <w:r w:rsidR="00FD5A97" w:rsidRPr="00E43670">
        <w:t xml:space="preserve"> </w:t>
      </w:r>
      <w:r w:rsidRPr="00E43670">
        <w:t>Ub8 (fp) yrkande 3, 2004/05:Ub9 (fp)</w:t>
      </w:r>
      <w:r w:rsidR="003D449E" w:rsidRPr="00E43670">
        <w:t xml:space="preserve"> yrkande 2</w:t>
      </w:r>
      <w:r w:rsidRPr="00E43670">
        <w:t xml:space="preserve"> och 2004/05:Ub11 (fp, m, kd, c) yrkandena 1 (delvis), 2 (delvis), 10 och 13 (de</w:t>
      </w:r>
      <w:r w:rsidRPr="00E43670">
        <w:t>l</w:t>
      </w:r>
      <w:r w:rsidRPr="00E43670">
        <w:t xml:space="preserve">vis). </w:t>
      </w:r>
    </w:p>
    <w:p w:rsidR="003D449E" w:rsidRPr="00E43670" w:rsidRDefault="003D449E" w:rsidP="003D449E">
      <w:pPr>
        <w:pStyle w:val="Normaltindrag"/>
      </w:pPr>
      <w:r w:rsidRPr="00E43670">
        <w:t>Näringsutskottet redovisar sitt ställningstagande till propositionen och motsvarande motionsyrkanden i ett sammanhang. När det gäller de mer spec</w:t>
      </w:r>
      <w:r w:rsidRPr="00E43670">
        <w:t>i</w:t>
      </w:r>
      <w:r w:rsidRPr="00E43670">
        <w:t>fika branschfrågorna, som behandlas sist i yttrandet, redovisas näringsutsko</w:t>
      </w:r>
      <w:r w:rsidRPr="00E43670">
        <w:t>t</w:t>
      </w:r>
      <w:r w:rsidRPr="00E43670">
        <w:t xml:space="preserve">tets </w:t>
      </w:r>
      <w:r w:rsidR="009509AC" w:rsidRPr="00E43670">
        <w:t xml:space="preserve">ställningstagande </w:t>
      </w:r>
      <w:r w:rsidRPr="00E43670">
        <w:t>för varje fråga för sig.</w:t>
      </w:r>
    </w:p>
    <w:p w:rsidR="00303CA0" w:rsidRPr="00E43670" w:rsidRDefault="00303CA0" w:rsidP="00B07288">
      <w:pPr>
        <w:pStyle w:val="R2"/>
      </w:pPr>
      <w:r w:rsidRPr="00E43670">
        <w:t>P</w:t>
      </w:r>
      <w:r w:rsidR="00B07288" w:rsidRPr="00E43670">
        <w:t>ropositionens huvudsakliga innehåll</w:t>
      </w:r>
    </w:p>
    <w:p w:rsidR="00C9177C" w:rsidRPr="00E43670" w:rsidRDefault="00303CA0" w:rsidP="00303CA0">
      <w:bookmarkStart w:id="3" w:name="1"/>
      <w:r w:rsidRPr="00E43670">
        <w:t>Regeringen lämnar i propositionen sin syn på forskningspolitikens inriktning under åren 2005–2008. I propositionen redovisas regeringens bedömningar av hur de av riksdagen anvisade resurserna för forskning, utveckling och for</w:t>
      </w:r>
      <w:r w:rsidRPr="00E43670">
        <w:t>s</w:t>
      </w:r>
      <w:r w:rsidRPr="00E43670">
        <w:t>karutbildning bör fördelas för att tillgodose strategiska behov inom fors</w:t>
      </w:r>
      <w:r w:rsidRPr="00E43670">
        <w:t>k</w:t>
      </w:r>
      <w:r w:rsidRPr="00E43670">
        <w:t>ningen. Regeringen redovisade i budgetpropositionen för år 2005 att anslagen för forskning och forskarutbildning kommer att tillföras en permanent niv</w:t>
      </w:r>
      <w:r w:rsidRPr="00E43670">
        <w:t>å</w:t>
      </w:r>
      <w:r w:rsidRPr="00E43670">
        <w:t xml:space="preserve">höjning om 2,34 miljarder kronor under tiden fram t.o.m. år 2008. </w:t>
      </w:r>
    </w:p>
    <w:p w:rsidR="00C9177C" w:rsidRPr="00E43670" w:rsidRDefault="00303CA0" w:rsidP="00B07288">
      <w:pPr>
        <w:pStyle w:val="Normaltindrag"/>
      </w:pPr>
      <w:r w:rsidRPr="00E43670">
        <w:t>En u</w:t>
      </w:r>
      <w:r w:rsidRPr="00E43670">
        <w:t>t</w:t>
      </w:r>
      <w:r w:rsidRPr="00E43670">
        <w:t>gångspunkt för regeringens ställningstagande har varit att skapa goda föru</w:t>
      </w:r>
      <w:r w:rsidRPr="00E43670">
        <w:t>t</w:t>
      </w:r>
      <w:r w:rsidRPr="00E43670">
        <w:t>sättningar för kraftsamling och att säkerställa stöd till forskning av hög internationell kvalitet med hjälp av långsiktig finansiering av starka fors</w:t>
      </w:r>
      <w:r w:rsidRPr="00E43670">
        <w:t>k</w:t>
      </w:r>
      <w:r w:rsidRPr="00E43670">
        <w:t>ningsmiljöer. I propositionen presenteras satsningar på de prioriterade fors</w:t>
      </w:r>
      <w:r w:rsidRPr="00E43670">
        <w:t>k</w:t>
      </w:r>
      <w:r w:rsidRPr="00E43670">
        <w:t>ning</w:t>
      </w:r>
      <w:r w:rsidRPr="00E43670">
        <w:t>s</w:t>
      </w:r>
      <w:r w:rsidRPr="00E43670">
        <w:t>områdena medicin, teknik och forskning till stöd för hållbar utveckling. Även stöd till vissa andra områden, såsom design- och genusforskning samt utbil</w:t>
      </w:r>
      <w:r w:rsidRPr="00E43670">
        <w:t>d</w:t>
      </w:r>
      <w:r w:rsidRPr="00E43670">
        <w:t xml:space="preserve">ningsvetenskaplig forskning presenteras. Forskningens infrastruktur bör stärkas och resurser bör tillföras för stöd till forskningsinfrastruktur inom alla områden. </w:t>
      </w:r>
    </w:p>
    <w:p w:rsidR="00303CA0" w:rsidRPr="00E43670" w:rsidRDefault="00303CA0" w:rsidP="00B07288">
      <w:pPr>
        <w:pStyle w:val="Normaltindrag"/>
      </w:pPr>
      <w:r w:rsidRPr="00E43670">
        <w:t>En annan utgångspunkt i propositionen har varit att ge goda föru</w:t>
      </w:r>
      <w:r w:rsidRPr="00E43670">
        <w:t>t</w:t>
      </w:r>
      <w:r w:rsidRPr="00E43670">
        <w:t>sättningar för framtidens forskare att meritera sig. Lärosäten, forskningsråd och Verket för innovationssystem (Vinnova) får möjlighet att öka sina sat</w:t>
      </w:r>
      <w:r w:rsidRPr="00E43670">
        <w:t>s</w:t>
      </w:r>
      <w:r w:rsidRPr="00E43670">
        <w:t>ningar på meriteringsanställningar för unga forskare. Dessutom tillförs fors</w:t>
      </w:r>
      <w:r w:rsidRPr="00E43670">
        <w:t>k</w:t>
      </w:r>
      <w:r w:rsidRPr="00E43670">
        <w:t>ningsråden och Vinnova medel till forskarskolor. Lärosätenas resurser för forskning och forskarutbildning ökar under perioden. Som ett led i lärosätenas arbete med att utveckla och främja kommersialisering av forskningsresultat bör lärosät</w:t>
      </w:r>
      <w:r w:rsidRPr="00E43670">
        <w:t>e</w:t>
      </w:r>
      <w:r w:rsidRPr="00E43670">
        <w:t>na upprätta handlingsplaner för kommersialisering och tekni</w:t>
      </w:r>
      <w:r w:rsidRPr="00E43670">
        <w:t>k</w:t>
      </w:r>
      <w:r w:rsidRPr="00E43670">
        <w:t>överföring. Handlingsplanerna är ett led i arbetet med att skapa professionella och hållb</w:t>
      </w:r>
      <w:r w:rsidRPr="00E43670">
        <w:t>a</w:t>
      </w:r>
      <w:r w:rsidRPr="00E43670">
        <w:t>ra strukturer med både forskare och externa aktörer såsom forskningsfinansi</w:t>
      </w:r>
      <w:r w:rsidRPr="00E43670">
        <w:t>ä</w:t>
      </w:r>
      <w:r w:rsidRPr="00E43670">
        <w:t>rer, holdingbolag och det kunskapsintensiva näringslivet. Vidare görs bedö</w:t>
      </w:r>
      <w:r w:rsidRPr="00E43670">
        <w:t>m</w:t>
      </w:r>
      <w:r w:rsidRPr="00E43670">
        <w:t>ningen att en översyn av holdingbolagsstrukt</w:t>
      </w:r>
      <w:r w:rsidR="00187684" w:rsidRPr="00E43670">
        <w:t xml:space="preserve">uren i syfte att förbättra dessa </w:t>
      </w:r>
      <w:r w:rsidRPr="00E43670">
        <w:t>bolags möjligheter att arbeta med kommersialisering bör genomföras. Stru</w:t>
      </w:r>
      <w:r w:rsidRPr="00E43670">
        <w:t>k</w:t>
      </w:r>
      <w:r w:rsidRPr="00E43670">
        <w:t>turen bör förstärkas med ett kap</w:t>
      </w:r>
      <w:r w:rsidRPr="00E43670">
        <w:t>i</w:t>
      </w:r>
      <w:r w:rsidRPr="00E43670">
        <w:t xml:space="preserve">taltillskott. </w:t>
      </w:r>
    </w:p>
    <w:p w:rsidR="000F5B97" w:rsidRPr="00E43670" w:rsidRDefault="00303CA0" w:rsidP="000F5B97">
      <w:pPr>
        <w:pStyle w:val="Normaltindrag"/>
      </w:pPr>
      <w:r w:rsidRPr="00E43670">
        <w:t>I propositionen redovisas regeringens syn på samverkan mellan näringsliv och offentligt finansierad forskning samt regeringens förslag till FoU-program i samverkan med näringslivet. Vidare presenteras insatser för att förbättra den strategiska kompetensuppbyggnaden vid de statligt delägda industriforskningsinstituten. Regeringens syn på den framtida nationella organisationen för EU:s forskningssamarbete beskrivs</w:t>
      </w:r>
      <w:r w:rsidR="0002557E" w:rsidRPr="00E43670">
        <w:t>.</w:t>
      </w:r>
      <w:r w:rsidR="000F5B97" w:rsidRPr="00E43670">
        <w:t xml:space="preserve"> </w:t>
      </w:r>
    </w:p>
    <w:bookmarkEnd w:id="3"/>
    <w:p w:rsidR="00303CA0" w:rsidRPr="00E43670" w:rsidRDefault="00303CA0" w:rsidP="00B07288">
      <w:pPr>
        <w:pStyle w:val="Normaltindrag"/>
      </w:pPr>
      <w:r w:rsidRPr="00E43670">
        <w:t>Propositionen bygger på en överenskommelse mellan den socialdemokr</w:t>
      </w:r>
      <w:r w:rsidRPr="00E43670">
        <w:t>a</w:t>
      </w:r>
      <w:r w:rsidRPr="00E43670">
        <w:t>tiska regeringen, Vänsterpartiet och Miljöpartiet.</w:t>
      </w:r>
    </w:p>
    <w:p w:rsidR="000F5B97" w:rsidRPr="00E43670" w:rsidRDefault="00303CA0" w:rsidP="000F5B97">
      <w:pPr>
        <w:pStyle w:val="Normaltindrag"/>
      </w:pPr>
      <w:r w:rsidRPr="00E43670">
        <w:t xml:space="preserve">Av tabellerna 1 och 2 </w:t>
      </w:r>
      <w:r w:rsidR="003445C4" w:rsidRPr="00E43670">
        <w:t xml:space="preserve">på följande sidor </w:t>
      </w:r>
      <w:r w:rsidRPr="00E43670">
        <w:t>framgår de anslagsökningar som förordas i propositionen.</w:t>
      </w:r>
      <w:r w:rsidR="00B07288" w:rsidRPr="00E43670">
        <w:t xml:space="preserve"> </w:t>
      </w:r>
    </w:p>
    <w:p w:rsidR="00303CA0" w:rsidRPr="00E43670" w:rsidRDefault="00303CA0" w:rsidP="00B07288">
      <w:pPr>
        <w:pStyle w:val="Normaltindrag"/>
      </w:pPr>
    </w:p>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F17E3A" w:rsidRPr="00E43670" w:rsidRDefault="00F17E3A" w:rsidP="00802F58"/>
    <w:p w:rsidR="00EC1FB0" w:rsidRPr="00E43670" w:rsidRDefault="00802F58" w:rsidP="009F2FB5">
      <w:pPr>
        <w:ind w:left="-285"/>
      </w:pPr>
      <w:r w:rsidRPr="00E43670">
        <w:t>Tabell 1 Anslagsökningar för lärosäten och forskningsfinansierande myndi</w:t>
      </w:r>
      <w:r w:rsidRPr="00E43670">
        <w:t>g</w:t>
      </w:r>
      <w:r w:rsidRPr="00E43670">
        <w:t>heter å</w:t>
      </w:r>
      <w:r w:rsidR="00EC1FB0" w:rsidRPr="00E43670">
        <w:t xml:space="preserve">ren 2005–2008 </w:t>
      </w:r>
    </w:p>
    <w:p w:rsidR="008419FA" w:rsidRPr="00E43670" w:rsidRDefault="008419FA" w:rsidP="008419FA">
      <w:pPr>
        <w:pStyle w:val="Normaltindrag"/>
      </w:pPr>
    </w:p>
    <w:tbl>
      <w:tblPr>
        <w:tblStyle w:val="Enkeltabell1"/>
        <w:tblW w:w="7233" w:type="dxa"/>
        <w:tblInd w:w="-842" w:type="dxa"/>
        <w:tblLook w:val="01E0" w:firstRow="1" w:lastRow="1" w:firstColumn="1" w:lastColumn="1" w:noHBand="0" w:noVBand="0"/>
      </w:tblPr>
      <w:tblGrid>
        <w:gridCol w:w="1834"/>
        <w:gridCol w:w="1274"/>
        <w:gridCol w:w="768"/>
        <w:gridCol w:w="510"/>
        <w:gridCol w:w="696"/>
        <w:gridCol w:w="847"/>
        <w:gridCol w:w="661"/>
        <w:gridCol w:w="643"/>
      </w:tblGrid>
      <w:tr w:rsidR="00A94DF6" w:rsidRPr="00E43670">
        <w:trPr>
          <w:cnfStyle w:val="100000000000" w:firstRow="1" w:lastRow="0" w:firstColumn="0" w:lastColumn="0" w:oddVBand="0" w:evenVBand="0" w:oddHBand="0" w:evenHBand="0" w:firstRowFirstColumn="0" w:firstRowLastColumn="0" w:lastRowFirstColumn="0" w:lastRowLastColumn="0"/>
          <w:trHeight w:val="318"/>
        </w:trPr>
        <w:tc>
          <w:tcPr>
            <w:tcW w:w="1834" w:type="dxa"/>
          </w:tcPr>
          <w:p w:rsidR="00384A19" w:rsidRPr="00E43670" w:rsidRDefault="00E826B4" w:rsidP="00045E43">
            <w:pPr>
              <w:tabs>
                <w:tab w:val="left" w:pos="3285"/>
              </w:tabs>
              <w:ind w:hanging="95"/>
              <w:rPr>
                <w:sz w:val="16"/>
                <w:szCs w:val="16"/>
              </w:rPr>
            </w:pPr>
            <w:r w:rsidRPr="00E43670">
              <w:rPr>
                <w:sz w:val="16"/>
                <w:szCs w:val="16"/>
              </w:rPr>
              <w:t>(M</w:t>
            </w:r>
            <w:r w:rsidR="00A02534" w:rsidRPr="00E43670">
              <w:rPr>
                <w:sz w:val="16"/>
                <w:szCs w:val="16"/>
              </w:rPr>
              <w:t>iljoner kronor</w:t>
            </w:r>
            <w:r w:rsidR="00384A19" w:rsidRPr="00E43670">
              <w:rPr>
                <w:sz w:val="16"/>
                <w:szCs w:val="16"/>
              </w:rPr>
              <w:t>)</w:t>
            </w:r>
          </w:p>
        </w:tc>
        <w:tc>
          <w:tcPr>
            <w:tcW w:w="1274" w:type="dxa"/>
          </w:tcPr>
          <w:p w:rsidR="00384A19" w:rsidRPr="00E43670" w:rsidRDefault="00384A19" w:rsidP="009F2FB5">
            <w:pPr>
              <w:tabs>
                <w:tab w:val="left" w:pos="3285"/>
              </w:tabs>
              <w:ind w:hanging="95"/>
              <w:jc w:val="right"/>
              <w:rPr>
                <w:sz w:val="16"/>
                <w:szCs w:val="16"/>
              </w:rPr>
            </w:pPr>
            <w:r w:rsidRPr="00E43670">
              <w:rPr>
                <w:sz w:val="16"/>
                <w:szCs w:val="16"/>
              </w:rPr>
              <w:t>Vetenskapsrådet</w:t>
            </w:r>
          </w:p>
        </w:tc>
        <w:tc>
          <w:tcPr>
            <w:tcW w:w="768" w:type="dxa"/>
          </w:tcPr>
          <w:p w:rsidR="00384A19" w:rsidRPr="00E43670" w:rsidRDefault="00384A19" w:rsidP="009F2FB5">
            <w:pPr>
              <w:tabs>
                <w:tab w:val="left" w:pos="3285"/>
              </w:tabs>
              <w:ind w:hanging="95"/>
              <w:jc w:val="right"/>
              <w:rPr>
                <w:sz w:val="16"/>
                <w:szCs w:val="16"/>
              </w:rPr>
            </w:pPr>
            <w:r w:rsidRPr="00E43670">
              <w:rPr>
                <w:sz w:val="16"/>
                <w:szCs w:val="16"/>
              </w:rPr>
              <w:t>Vinnova</w:t>
            </w:r>
          </w:p>
        </w:tc>
        <w:tc>
          <w:tcPr>
            <w:tcW w:w="510" w:type="dxa"/>
          </w:tcPr>
          <w:p w:rsidR="00384A19" w:rsidRPr="00E43670" w:rsidRDefault="00384A19" w:rsidP="009F2FB5">
            <w:pPr>
              <w:tabs>
                <w:tab w:val="left" w:pos="3285"/>
              </w:tabs>
              <w:ind w:hanging="95"/>
              <w:jc w:val="right"/>
              <w:rPr>
                <w:sz w:val="16"/>
                <w:szCs w:val="16"/>
              </w:rPr>
            </w:pPr>
            <w:r w:rsidRPr="00E43670">
              <w:rPr>
                <w:sz w:val="16"/>
                <w:szCs w:val="16"/>
              </w:rPr>
              <w:t>FAS</w:t>
            </w:r>
          </w:p>
        </w:tc>
        <w:tc>
          <w:tcPr>
            <w:tcW w:w="696" w:type="dxa"/>
          </w:tcPr>
          <w:p w:rsidR="00384A19" w:rsidRPr="00E43670" w:rsidRDefault="00384A19" w:rsidP="009F2FB5">
            <w:pPr>
              <w:tabs>
                <w:tab w:val="left" w:pos="3285"/>
              </w:tabs>
              <w:ind w:hanging="95"/>
              <w:jc w:val="right"/>
              <w:rPr>
                <w:sz w:val="16"/>
                <w:szCs w:val="16"/>
              </w:rPr>
            </w:pPr>
            <w:r w:rsidRPr="00E43670">
              <w:rPr>
                <w:sz w:val="16"/>
                <w:szCs w:val="16"/>
              </w:rPr>
              <w:t>Formas</w:t>
            </w:r>
          </w:p>
        </w:tc>
        <w:tc>
          <w:tcPr>
            <w:tcW w:w="847" w:type="dxa"/>
          </w:tcPr>
          <w:p w:rsidR="00384A19" w:rsidRPr="00E43670" w:rsidRDefault="00384A19" w:rsidP="00045E43">
            <w:pPr>
              <w:tabs>
                <w:tab w:val="left" w:pos="3285"/>
              </w:tabs>
              <w:ind w:hanging="95"/>
              <w:rPr>
                <w:sz w:val="16"/>
                <w:szCs w:val="16"/>
              </w:rPr>
            </w:pPr>
            <w:r w:rsidRPr="00E43670">
              <w:rPr>
                <w:sz w:val="16"/>
                <w:szCs w:val="16"/>
              </w:rPr>
              <w:t>Lärosäten</w:t>
            </w:r>
          </w:p>
        </w:tc>
        <w:tc>
          <w:tcPr>
            <w:tcW w:w="661" w:type="dxa"/>
          </w:tcPr>
          <w:p w:rsidR="00384A19" w:rsidRPr="00E43670" w:rsidRDefault="00384A19" w:rsidP="00045E43">
            <w:pPr>
              <w:tabs>
                <w:tab w:val="left" w:pos="3285"/>
              </w:tabs>
              <w:ind w:hanging="95"/>
              <w:rPr>
                <w:sz w:val="16"/>
                <w:szCs w:val="16"/>
              </w:rPr>
            </w:pPr>
            <w:r w:rsidRPr="00E43670">
              <w:rPr>
                <w:sz w:val="16"/>
                <w:szCs w:val="16"/>
              </w:rPr>
              <w:t>Övriga</w:t>
            </w:r>
          </w:p>
        </w:tc>
        <w:tc>
          <w:tcPr>
            <w:tcW w:w="643" w:type="dxa"/>
          </w:tcPr>
          <w:p w:rsidR="00384A19" w:rsidRPr="00E43670" w:rsidRDefault="009F2FB5" w:rsidP="00045E43">
            <w:pPr>
              <w:tabs>
                <w:tab w:val="left" w:pos="3285"/>
              </w:tabs>
              <w:ind w:hanging="95"/>
              <w:rPr>
                <w:sz w:val="16"/>
                <w:szCs w:val="16"/>
              </w:rPr>
            </w:pPr>
            <w:r w:rsidRPr="00E43670">
              <w:rPr>
                <w:sz w:val="16"/>
                <w:szCs w:val="16"/>
              </w:rPr>
              <w:t xml:space="preserve">  </w:t>
            </w:r>
            <w:r w:rsidR="00045E43" w:rsidRPr="00E43670">
              <w:rPr>
                <w:sz w:val="16"/>
                <w:szCs w:val="16"/>
              </w:rPr>
              <w:t xml:space="preserve"> </w:t>
            </w:r>
            <w:r w:rsidR="00384A19" w:rsidRPr="00E43670">
              <w:rPr>
                <w:sz w:val="16"/>
                <w:szCs w:val="16"/>
              </w:rPr>
              <w:t>Totalt</w:t>
            </w:r>
          </w:p>
        </w:tc>
      </w:tr>
      <w:tr w:rsidR="00A94DF6" w:rsidRPr="00E43670">
        <w:trPr>
          <w:trHeight w:val="318"/>
        </w:trPr>
        <w:tc>
          <w:tcPr>
            <w:tcW w:w="1834" w:type="dxa"/>
          </w:tcPr>
          <w:p w:rsidR="00384A19" w:rsidRPr="00E43670" w:rsidRDefault="00384A19" w:rsidP="00045E43">
            <w:pPr>
              <w:tabs>
                <w:tab w:val="left" w:pos="3285"/>
              </w:tabs>
              <w:ind w:hanging="95"/>
              <w:rPr>
                <w:sz w:val="16"/>
                <w:szCs w:val="16"/>
              </w:rPr>
            </w:pPr>
            <w:r w:rsidRPr="00E43670">
              <w:rPr>
                <w:sz w:val="16"/>
                <w:szCs w:val="16"/>
              </w:rPr>
              <w:t xml:space="preserve">Nuv. </w:t>
            </w:r>
            <w:r w:rsidR="00A02534" w:rsidRPr="00E43670">
              <w:rPr>
                <w:sz w:val="16"/>
                <w:szCs w:val="16"/>
              </w:rPr>
              <w:t>a</w:t>
            </w:r>
            <w:r w:rsidR="00A02534" w:rsidRPr="00E43670">
              <w:rPr>
                <w:sz w:val="16"/>
                <w:szCs w:val="16"/>
              </w:rPr>
              <w:t>n</w:t>
            </w:r>
            <w:r w:rsidR="00A02534" w:rsidRPr="00E43670">
              <w:rPr>
                <w:sz w:val="16"/>
                <w:szCs w:val="16"/>
              </w:rPr>
              <w:t>slag 2005</w:t>
            </w:r>
          </w:p>
        </w:tc>
        <w:tc>
          <w:tcPr>
            <w:tcW w:w="1274" w:type="dxa"/>
          </w:tcPr>
          <w:p w:rsidR="00384A19" w:rsidRPr="00E43670" w:rsidRDefault="00384A19" w:rsidP="00045E43">
            <w:pPr>
              <w:tabs>
                <w:tab w:val="left" w:pos="3285"/>
              </w:tabs>
              <w:ind w:hanging="95"/>
              <w:jc w:val="right"/>
              <w:rPr>
                <w:sz w:val="16"/>
                <w:szCs w:val="16"/>
              </w:rPr>
            </w:pPr>
            <w:r w:rsidRPr="00E43670">
              <w:rPr>
                <w:sz w:val="16"/>
                <w:szCs w:val="16"/>
              </w:rPr>
              <w:t>2523</w:t>
            </w:r>
          </w:p>
        </w:tc>
        <w:tc>
          <w:tcPr>
            <w:tcW w:w="768" w:type="dxa"/>
          </w:tcPr>
          <w:p w:rsidR="00384A19" w:rsidRPr="00E43670" w:rsidRDefault="00384A19" w:rsidP="00045E43">
            <w:pPr>
              <w:tabs>
                <w:tab w:val="left" w:pos="3285"/>
              </w:tabs>
              <w:ind w:hanging="95"/>
              <w:jc w:val="right"/>
              <w:rPr>
                <w:sz w:val="16"/>
                <w:szCs w:val="16"/>
              </w:rPr>
            </w:pPr>
            <w:r w:rsidRPr="00E43670">
              <w:rPr>
                <w:sz w:val="16"/>
                <w:szCs w:val="16"/>
              </w:rPr>
              <w:t>1 122</w:t>
            </w:r>
          </w:p>
        </w:tc>
        <w:tc>
          <w:tcPr>
            <w:tcW w:w="510" w:type="dxa"/>
          </w:tcPr>
          <w:p w:rsidR="00384A19" w:rsidRPr="00E43670" w:rsidRDefault="00384A19" w:rsidP="00045E43">
            <w:pPr>
              <w:tabs>
                <w:tab w:val="left" w:pos="3285"/>
              </w:tabs>
              <w:ind w:hanging="95"/>
              <w:jc w:val="right"/>
              <w:rPr>
                <w:sz w:val="16"/>
                <w:szCs w:val="16"/>
              </w:rPr>
            </w:pPr>
            <w:r w:rsidRPr="00E43670">
              <w:rPr>
                <w:sz w:val="16"/>
                <w:szCs w:val="16"/>
              </w:rPr>
              <w:t>291</w:t>
            </w:r>
          </w:p>
        </w:tc>
        <w:tc>
          <w:tcPr>
            <w:tcW w:w="696" w:type="dxa"/>
          </w:tcPr>
          <w:p w:rsidR="00384A19" w:rsidRPr="00E43670" w:rsidRDefault="00384A19" w:rsidP="00045E43">
            <w:pPr>
              <w:tabs>
                <w:tab w:val="left" w:pos="3285"/>
              </w:tabs>
              <w:ind w:hanging="95"/>
              <w:jc w:val="right"/>
              <w:rPr>
                <w:sz w:val="16"/>
                <w:szCs w:val="16"/>
              </w:rPr>
            </w:pPr>
            <w:r w:rsidRPr="00E43670">
              <w:rPr>
                <w:sz w:val="16"/>
                <w:szCs w:val="16"/>
              </w:rPr>
              <w:t>531</w:t>
            </w:r>
          </w:p>
        </w:tc>
        <w:tc>
          <w:tcPr>
            <w:tcW w:w="847" w:type="dxa"/>
          </w:tcPr>
          <w:p w:rsidR="00384A19" w:rsidRPr="00E43670" w:rsidRDefault="00384A19" w:rsidP="00045E43">
            <w:pPr>
              <w:tabs>
                <w:tab w:val="left" w:pos="3285"/>
              </w:tabs>
              <w:ind w:hanging="95"/>
              <w:jc w:val="right"/>
              <w:rPr>
                <w:sz w:val="16"/>
                <w:szCs w:val="16"/>
              </w:rPr>
            </w:pPr>
          </w:p>
        </w:tc>
        <w:tc>
          <w:tcPr>
            <w:tcW w:w="661" w:type="dxa"/>
          </w:tcPr>
          <w:p w:rsidR="00384A19" w:rsidRPr="00E43670" w:rsidRDefault="00384A19" w:rsidP="00045E43">
            <w:pPr>
              <w:tabs>
                <w:tab w:val="left" w:pos="3285"/>
              </w:tabs>
              <w:ind w:hanging="95"/>
              <w:jc w:val="right"/>
              <w:rPr>
                <w:sz w:val="16"/>
                <w:szCs w:val="16"/>
              </w:rPr>
            </w:pPr>
          </w:p>
        </w:tc>
        <w:tc>
          <w:tcPr>
            <w:tcW w:w="643" w:type="dxa"/>
          </w:tcPr>
          <w:p w:rsidR="00384A19" w:rsidRPr="00E43670" w:rsidRDefault="00384A19" w:rsidP="00045E43">
            <w:pPr>
              <w:tabs>
                <w:tab w:val="left" w:pos="3285"/>
              </w:tabs>
              <w:ind w:hanging="95"/>
              <w:jc w:val="right"/>
              <w:rPr>
                <w:sz w:val="16"/>
                <w:szCs w:val="16"/>
              </w:rPr>
            </w:pPr>
          </w:p>
        </w:tc>
      </w:tr>
      <w:tr w:rsidR="00A02534" w:rsidRPr="00E43670">
        <w:trPr>
          <w:trHeight w:val="318"/>
        </w:trPr>
        <w:tc>
          <w:tcPr>
            <w:tcW w:w="1834" w:type="dxa"/>
          </w:tcPr>
          <w:p w:rsidR="00A02534" w:rsidRPr="00E43670" w:rsidRDefault="00A02534" w:rsidP="00045E43">
            <w:pPr>
              <w:tabs>
                <w:tab w:val="left" w:pos="3285"/>
              </w:tabs>
              <w:ind w:hanging="95"/>
              <w:rPr>
                <w:b/>
                <w:sz w:val="16"/>
                <w:szCs w:val="16"/>
              </w:rPr>
            </w:pPr>
            <w:r w:rsidRPr="00E43670">
              <w:rPr>
                <w:b/>
                <w:sz w:val="16"/>
                <w:szCs w:val="16"/>
              </w:rPr>
              <w:t>Förslag i propositionen</w:t>
            </w:r>
          </w:p>
        </w:tc>
        <w:tc>
          <w:tcPr>
            <w:tcW w:w="1274" w:type="dxa"/>
          </w:tcPr>
          <w:p w:rsidR="00A02534" w:rsidRPr="00E43670" w:rsidRDefault="00A02534" w:rsidP="00045E43">
            <w:pPr>
              <w:tabs>
                <w:tab w:val="left" w:pos="3285"/>
              </w:tabs>
              <w:ind w:hanging="95"/>
              <w:jc w:val="right"/>
              <w:rPr>
                <w:sz w:val="16"/>
                <w:szCs w:val="16"/>
              </w:rPr>
            </w:pPr>
          </w:p>
        </w:tc>
        <w:tc>
          <w:tcPr>
            <w:tcW w:w="768" w:type="dxa"/>
          </w:tcPr>
          <w:p w:rsidR="00A02534" w:rsidRPr="00E43670" w:rsidRDefault="00A02534" w:rsidP="00045E43">
            <w:pPr>
              <w:tabs>
                <w:tab w:val="left" w:pos="3285"/>
              </w:tabs>
              <w:ind w:hanging="95"/>
              <w:jc w:val="right"/>
              <w:rPr>
                <w:sz w:val="16"/>
                <w:szCs w:val="16"/>
              </w:rPr>
            </w:pPr>
          </w:p>
        </w:tc>
        <w:tc>
          <w:tcPr>
            <w:tcW w:w="510" w:type="dxa"/>
          </w:tcPr>
          <w:p w:rsidR="00A02534" w:rsidRPr="00E43670" w:rsidRDefault="00A02534" w:rsidP="00045E43">
            <w:pPr>
              <w:tabs>
                <w:tab w:val="left" w:pos="3285"/>
              </w:tabs>
              <w:ind w:hanging="95"/>
              <w:jc w:val="right"/>
              <w:rPr>
                <w:sz w:val="16"/>
                <w:szCs w:val="16"/>
              </w:rPr>
            </w:pPr>
          </w:p>
        </w:tc>
        <w:tc>
          <w:tcPr>
            <w:tcW w:w="696" w:type="dxa"/>
          </w:tcPr>
          <w:p w:rsidR="00A02534" w:rsidRPr="00E43670" w:rsidRDefault="00A02534" w:rsidP="00045E43">
            <w:pPr>
              <w:tabs>
                <w:tab w:val="left" w:pos="3285"/>
              </w:tabs>
              <w:ind w:hanging="95"/>
              <w:jc w:val="right"/>
              <w:rPr>
                <w:sz w:val="16"/>
                <w:szCs w:val="16"/>
              </w:rPr>
            </w:pPr>
          </w:p>
        </w:tc>
        <w:tc>
          <w:tcPr>
            <w:tcW w:w="847" w:type="dxa"/>
          </w:tcPr>
          <w:p w:rsidR="00A02534" w:rsidRPr="00E43670" w:rsidRDefault="00A02534" w:rsidP="00045E43">
            <w:pPr>
              <w:tabs>
                <w:tab w:val="left" w:pos="3285"/>
              </w:tabs>
              <w:ind w:hanging="95"/>
              <w:jc w:val="right"/>
              <w:rPr>
                <w:sz w:val="16"/>
                <w:szCs w:val="16"/>
              </w:rPr>
            </w:pPr>
          </w:p>
        </w:tc>
        <w:tc>
          <w:tcPr>
            <w:tcW w:w="661" w:type="dxa"/>
          </w:tcPr>
          <w:p w:rsidR="00A02534" w:rsidRPr="00E43670" w:rsidRDefault="00A02534" w:rsidP="00045E43">
            <w:pPr>
              <w:tabs>
                <w:tab w:val="left" w:pos="3285"/>
              </w:tabs>
              <w:ind w:hanging="95"/>
              <w:jc w:val="right"/>
              <w:rPr>
                <w:sz w:val="16"/>
                <w:szCs w:val="16"/>
              </w:rPr>
            </w:pPr>
          </w:p>
        </w:tc>
        <w:tc>
          <w:tcPr>
            <w:tcW w:w="643" w:type="dxa"/>
          </w:tcPr>
          <w:p w:rsidR="00A02534" w:rsidRPr="00E43670" w:rsidRDefault="00A02534" w:rsidP="00045E43">
            <w:pPr>
              <w:tabs>
                <w:tab w:val="left" w:pos="3285"/>
              </w:tabs>
              <w:ind w:hanging="95"/>
              <w:jc w:val="right"/>
              <w:rPr>
                <w:sz w:val="16"/>
                <w:szCs w:val="16"/>
              </w:rPr>
            </w:pPr>
          </w:p>
        </w:tc>
      </w:tr>
      <w:tr w:rsidR="00A02534" w:rsidRPr="00E43670">
        <w:trPr>
          <w:trHeight w:val="318"/>
        </w:trPr>
        <w:tc>
          <w:tcPr>
            <w:tcW w:w="1834" w:type="dxa"/>
          </w:tcPr>
          <w:p w:rsidR="00A02534" w:rsidRPr="00E43670" w:rsidRDefault="00A02534" w:rsidP="00045E43">
            <w:pPr>
              <w:tabs>
                <w:tab w:val="left" w:pos="3285"/>
              </w:tabs>
              <w:ind w:hanging="95"/>
              <w:rPr>
                <w:sz w:val="16"/>
                <w:szCs w:val="16"/>
              </w:rPr>
            </w:pPr>
            <w:r w:rsidRPr="00E43670">
              <w:rPr>
                <w:sz w:val="16"/>
                <w:szCs w:val="16"/>
              </w:rPr>
              <w:t>Starka forskningsmiljöer</w:t>
            </w:r>
          </w:p>
        </w:tc>
        <w:tc>
          <w:tcPr>
            <w:tcW w:w="1274" w:type="dxa"/>
          </w:tcPr>
          <w:p w:rsidR="00A02534" w:rsidRPr="00E43670" w:rsidRDefault="00A02534" w:rsidP="00045E43">
            <w:pPr>
              <w:tabs>
                <w:tab w:val="left" w:pos="3285"/>
              </w:tabs>
              <w:ind w:hanging="95"/>
              <w:jc w:val="right"/>
              <w:rPr>
                <w:sz w:val="16"/>
                <w:szCs w:val="16"/>
              </w:rPr>
            </w:pPr>
            <w:r w:rsidRPr="00E43670">
              <w:rPr>
                <w:sz w:val="16"/>
                <w:szCs w:val="16"/>
              </w:rPr>
              <w:t>210</w:t>
            </w:r>
          </w:p>
        </w:tc>
        <w:tc>
          <w:tcPr>
            <w:tcW w:w="768" w:type="dxa"/>
          </w:tcPr>
          <w:p w:rsidR="00A02534" w:rsidRPr="00E43670" w:rsidRDefault="00A02534" w:rsidP="00045E43">
            <w:pPr>
              <w:tabs>
                <w:tab w:val="left" w:pos="3285"/>
              </w:tabs>
              <w:ind w:hanging="95"/>
              <w:jc w:val="right"/>
              <w:rPr>
                <w:sz w:val="16"/>
                <w:szCs w:val="16"/>
              </w:rPr>
            </w:pPr>
            <w:r w:rsidRPr="00E43670">
              <w:rPr>
                <w:sz w:val="16"/>
                <w:szCs w:val="16"/>
              </w:rPr>
              <w:t>60</w:t>
            </w:r>
          </w:p>
        </w:tc>
        <w:tc>
          <w:tcPr>
            <w:tcW w:w="510" w:type="dxa"/>
          </w:tcPr>
          <w:p w:rsidR="00A02534" w:rsidRPr="00E43670" w:rsidRDefault="00A02534" w:rsidP="00045E43">
            <w:pPr>
              <w:tabs>
                <w:tab w:val="left" w:pos="3285"/>
              </w:tabs>
              <w:ind w:hanging="95"/>
              <w:jc w:val="right"/>
              <w:rPr>
                <w:sz w:val="16"/>
                <w:szCs w:val="16"/>
              </w:rPr>
            </w:pPr>
            <w:r w:rsidRPr="00E43670">
              <w:rPr>
                <w:sz w:val="16"/>
                <w:szCs w:val="16"/>
              </w:rPr>
              <w:t>10</w:t>
            </w:r>
          </w:p>
        </w:tc>
        <w:tc>
          <w:tcPr>
            <w:tcW w:w="696" w:type="dxa"/>
          </w:tcPr>
          <w:p w:rsidR="00A02534" w:rsidRPr="00E43670" w:rsidRDefault="00A02534" w:rsidP="00045E43">
            <w:pPr>
              <w:tabs>
                <w:tab w:val="left" w:pos="3285"/>
              </w:tabs>
              <w:ind w:hanging="95"/>
              <w:jc w:val="right"/>
              <w:rPr>
                <w:sz w:val="16"/>
                <w:szCs w:val="16"/>
              </w:rPr>
            </w:pPr>
            <w:r w:rsidRPr="00E43670">
              <w:rPr>
                <w:sz w:val="16"/>
                <w:szCs w:val="16"/>
              </w:rPr>
              <w:t>20</w:t>
            </w:r>
          </w:p>
        </w:tc>
        <w:tc>
          <w:tcPr>
            <w:tcW w:w="847" w:type="dxa"/>
          </w:tcPr>
          <w:p w:rsidR="00A02534" w:rsidRPr="00E43670" w:rsidRDefault="00A02534" w:rsidP="00045E43">
            <w:pPr>
              <w:tabs>
                <w:tab w:val="left" w:pos="3285"/>
              </w:tabs>
              <w:ind w:hanging="95"/>
              <w:jc w:val="right"/>
              <w:rPr>
                <w:sz w:val="16"/>
                <w:szCs w:val="16"/>
              </w:rPr>
            </w:pPr>
          </w:p>
        </w:tc>
        <w:tc>
          <w:tcPr>
            <w:tcW w:w="661" w:type="dxa"/>
          </w:tcPr>
          <w:p w:rsidR="00A02534" w:rsidRPr="00E43670" w:rsidRDefault="00A02534" w:rsidP="00045E43">
            <w:pPr>
              <w:tabs>
                <w:tab w:val="left" w:pos="3285"/>
              </w:tabs>
              <w:ind w:hanging="95"/>
              <w:jc w:val="right"/>
              <w:rPr>
                <w:sz w:val="16"/>
                <w:szCs w:val="16"/>
              </w:rPr>
            </w:pPr>
          </w:p>
        </w:tc>
        <w:tc>
          <w:tcPr>
            <w:tcW w:w="643" w:type="dxa"/>
          </w:tcPr>
          <w:p w:rsidR="00A02534" w:rsidRPr="00E43670" w:rsidRDefault="00A02534" w:rsidP="00045E43">
            <w:pPr>
              <w:tabs>
                <w:tab w:val="left" w:pos="3285"/>
              </w:tabs>
              <w:ind w:hanging="95"/>
              <w:jc w:val="right"/>
              <w:rPr>
                <w:sz w:val="16"/>
                <w:szCs w:val="16"/>
              </w:rPr>
            </w:pPr>
            <w:r w:rsidRPr="00E43670">
              <w:rPr>
                <w:sz w:val="16"/>
                <w:szCs w:val="16"/>
              </w:rPr>
              <w:t>300</w:t>
            </w:r>
          </w:p>
        </w:tc>
      </w:tr>
      <w:tr w:rsidR="00A94DF6" w:rsidRPr="00E43670">
        <w:trPr>
          <w:trHeight w:val="318"/>
        </w:trPr>
        <w:tc>
          <w:tcPr>
            <w:tcW w:w="1834" w:type="dxa"/>
          </w:tcPr>
          <w:p w:rsidR="00384A19" w:rsidRPr="00E43670" w:rsidRDefault="007D10A8" w:rsidP="00045E43">
            <w:pPr>
              <w:tabs>
                <w:tab w:val="left" w:pos="3285"/>
              </w:tabs>
              <w:ind w:hanging="95"/>
              <w:rPr>
                <w:sz w:val="16"/>
                <w:szCs w:val="16"/>
              </w:rPr>
            </w:pPr>
            <w:r w:rsidRPr="00E43670">
              <w:rPr>
                <w:sz w:val="16"/>
                <w:szCs w:val="16"/>
              </w:rPr>
              <w:t>Prioriterade omr</w:t>
            </w:r>
            <w:r w:rsidRPr="00E43670">
              <w:rPr>
                <w:sz w:val="16"/>
                <w:szCs w:val="16"/>
              </w:rPr>
              <w:t>å</w:t>
            </w:r>
            <w:r w:rsidRPr="00E43670">
              <w:rPr>
                <w:sz w:val="16"/>
                <w:szCs w:val="16"/>
              </w:rPr>
              <w:t>den</w:t>
            </w:r>
          </w:p>
        </w:tc>
        <w:tc>
          <w:tcPr>
            <w:tcW w:w="1274" w:type="dxa"/>
          </w:tcPr>
          <w:p w:rsidR="00384A19" w:rsidRPr="00E43670" w:rsidRDefault="00384A19" w:rsidP="00045E43">
            <w:pPr>
              <w:tabs>
                <w:tab w:val="left" w:pos="3285"/>
              </w:tabs>
              <w:ind w:hanging="95"/>
              <w:jc w:val="right"/>
              <w:rPr>
                <w:sz w:val="16"/>
                <w:szCs w:val="16"/>
              </w:rPr>
            </w:pPr>
          </w:p>
        </w:tc>
        <w:tc>
          <w:tcPr>
            <w:tcW w:w="768" w:type="dxa"/>
          </w:tcPr>
          <w:p w:rsidR="00384A19" w:rsidRPr="00E43670" w:rsidRDefault="00384A19" w:rsidP="00045E43">
            <w:pPr>
              <w:tabs>
                <w:tab w:val="left" w:pos="3285"/>
              </w:tabs>
              <w:ind w:hanging="95"/>
              <w:jc w:val="right"/>
              <w:rPr>
                <w:sz w:val="16"/>
                <w:szCs w:val="16"/>
              </w:rPr>
            </w:pPr>
          </w:p>
        </w:tc>
        <w:tc>
          <w:tcPr>
            <w:tcW w:w="510" w:type="dxa"/>
          </w:tcPr>
          <w:p w:rsidR="00384A19" w:rsidRPr="00E43670" w:rsidRDefault="00384A19" w:rsidP="00045E43">
            <w:pPr>
              <w:tabs>
                <w:tab w:val="left" w:pos="3285"/>
              </w:tabs>
              <w:ind w:hanging="95"/>
              <w:jc w:val="right"/>
              <w:rPr>
                <w:sz w:val="16"/>
                <w:szCs w:val="16"/>
              </w:rPr>
            </w:pPr>
          </w:p>
        </w:tc>
        <w:tc>
          <w:tcPr>
            <w:tcW w:w="696" w:type="dxa"/>
          </w:tcPr>
          <w:p w:rsidR="00384A19" w:rsidRPr="00E43670" w:rsidRDefault="00384A19" w:rsidP="00045E43">
            <w:pPr>
              <w:tabs>
                <w:tab w:val="left" w:pos="3285"/>
              </w:tabs>
              <w:ind w:hanging="95"/>
              <w:jc w:val="right"/>
              <w:rPr>
                <w:sz w:val="16"/>
                <w:szCs w:val="16"/>
              </w:rPr>
            </w:pPr>
          </w:p>
        </w:tc>
        <w:tc>
          <w:tcPr>
            <w:tcW w:w="847" w:type="dxa"/>
          </w:tcPr>
          <w:p w:rsidR="00384A19" w:rsidRPr="00E43670" w:rsidRDefault="00384A19" w:rsidP="00045E43">
            <w:pPr>
              <w:tabs>
                <w:tab w:val="left" w:pos="3285"/>
              </w:tabs>
              <w:ind w:hanging="95"/>
              <w:jc w:val="right"/>
              <w:rPr>
                <w:sz w:val="16"/>
                <w:szCs w:val="16"/>
              </w:rPr>
            </w:pPr>
          </w:p>
        </w:tc>
        <w:tc>
          <w:tcPr>
            <w:tcW w:w="661" w:type="dxa"/>
          </w:tcPr>
          <w:p w:rsidR="00384A19" w:rsidRPr="00E43670" w:rsidRDefault="00384A19" w:rsidP="00045E43">
            <w:pPr>
              <w:tabs>
                <w:tab w:val="left" w:pos="3285"/>
              </w:tabs>
              <w:ind w:hanging="95"/>
              <w:jc w:val="right"/>
              <w:rPr>
                <w:sz w:val="16"/>
                <w:szCs w:val="16"/>
              </w:rPr>
            </w:pPr>
          </w:p>
        </w:tc>
        <w:tc>
          <w:tcPr>
            <w:tcW w:w="643" w:type="dxa"/>
          </w:tcPr>
          <w:p w:rsidR="00384A19" w:rsidRPr="00E43670" w:rsidRDefault="00384A19" w:rsidP="00045E43">
            <w:pPr>
              <w:tabs>
                <w:tab w:val="left" w:pos="3285"/>
              </w:tabs>
              <w:ind w:hanging="95"/>
              <w:jc w:val="right"/>
              <w:rPr>
                <w:sz w:val="16"/>
                <w:szCs w:val="16"/>
              </w:rPr>
            </w:pPr>
          </w:p>
        </w:tc>
      </w:tr>
      <w:tr w:rsidR="00A94DF6" w:rsidRPr="00E43670">
        <w:trPr>
          <w:trHeight w:val="318"/>
        </w:trPr>
        <w:tc>
          <w:tcPr>
            <w:tcW w:w="1834" w:type="dxa"/>
          </w:tcPr>
          <w:p w:rsidR="00384A19" w:rsidRPr="00E43670" w:rsidRDefault="007D10A8" w:rsidP="00045E43">
            <w:pPr>
              <w:tabs>
                <w:tab w:val="left" w:pos="3285"/>
              </w:tabs>
              <w:ind w:hanging="95"/>
              <w:rPr>
                <w:i/>
                <w:sz w:val="16"/>
                <w:szCs w:val="16"/>
              </w:rPr>
            </w:pPr>
            <w:r w:rsidRPr="00E43670">
              <w:rPr>
                <w:sz w:val="16"/>
                <w:szCs w:val="16"/>
              </w:rPr>
              <w:t xml:space="preserve">   </w:t>
            </w:r>
            <w:r w:rsidRPr="00E43670">
              <w:rPr>
                <w:i/>
                <w:sz w:val="16"/>
                <w:szCs w:val="16"/>
              </w:rPr>
              <w:t>Medicin</w:t>
            </w:r>
          </w:p>
        </w:tc>
        <w:tc>
          <w:tcPr>
            <w:tcW w:w="1274" w:type="dxa"/>
          </w:tcPr>
          <w:p w:rsidR="00384A19" w:rsidRPr="00E43670" w:rsidRDefault="007D10A8" w:rsidP="00045E43">
            <w:pPr>
              <w:tabs>
                <w:tab w:val="left" w:pos="3285"/>
              </w:tabs>
              <w:ind w:hanging="95"/>
              <w:jc w:val="right"/>
              <w:rPr>
                <w:sz w:val="16"/>
                <w:szCs w:val="16"/>
              </w:rPr>
            </w:pPr>
            <w:r w:rsidRPr="00E43670">
              <w:rPr>
                <w:sz w:val="16"/>
                <w:szCs w:val="16"/>
              </w:rPr>
              <w:t>380</w:t>
            </w:r>
          </w:p>
        </w:tc>
        <w:tc>
          <w:tcPr>
            <w:tcW w:w="768" w:type="dxa"/>
          </w:tcPr>
          <w:p w:rsidR="00384A19" w:rsidRPr="00E43670" w:rsidRDefault="00384A19" w:rsidP="00045E43">
            <w:pPr>
              <w:tabs>
                <w:tab w:val="left" w:pos="3285"/>
              </w:tabs>
              <w:ind w:hanging="95"/>
              <w:jc w:val="right"/>
              <w:rPr>
                <w:sz w:val="16"/>
                <w:szCs w:val="16"/>
              </w:rPr>
            </w:pPr>
          </w:p>
        </w:tc>
        <w:tc>
          <w:tcPr>
            <w:tcW w:w="510" w:type="dxa"/>
          </w:tcPr>
          <w:p w:rsidR="00384A19" w:rsidRPr="00E43670" w:rsidRDefault="007D10A8" w:rsidP="00045E43">
            <w:pPr>
              <w:tabs>
                <w:tab w:val="left" w:pos="3285"/>
              </w:tabs>
              <w:ind w:hanging="95"/>
              <w:jc w:val="right"/>
              <w:rPr>
                <w:sz w:val="16"/>
                <w:szCs w:val="16"/>
              </w:rPr>
            </w:pPr>
            <w:r w:rsidRPr="00E43670">
              <w:rPr>
                <w:sz w:val="16"/>
                <w:szCs w:val="16"/>
              </w:rPr>
              <w:t>20</w:t>
            </w:r>
          </w:p>
        </w:tc>
        <w:tc>
          <w:tcPr>
            <w:tcW w:w="696" w:type="dxa"/>
          </w:tcPr>
          <w:p w:rsidR="00384A19" w:rsidRPr="00E43670" w:rsidRDefault="00384A19" w:rsidP="00045E43">
            <w:pPr>
              <w:tabs>
                <w:tab w:val="left" w:pos="3285"/>
              </w:tabs>
              <w:ind w:hanging="95"/>
              <w:jc w:val="right"/>
              <w:rPr>
                <w:sz w:val="16"/>
                <w:szCs w:val="16"/>
              </w:rPr>
            </w:pPr>
          </w:p>
        </w:tc>
        <w:tc>
          <w:tcPr>
            <w:tcW w:w="847" w:type="dxa"/>
          </w:tcPr>
          <w:p w:rsidR="00384A19" w:rsidRPr="00E43670" w:rsidRDefault="00384A19" w:rsidP="00045E43">
            <w:pPr>
              <w:tabs>
                <w:tab w:val="left" w:pos="3285"/>
              </w:tabs>
              <w:ind w:hanging="95"/>
              <w:jc w:val="right"/>
              <w:rPr>
                <w:sz w:val="16"/>
                <w:szCs w:val="16"/>
              </w:rPr>
            </w:pPr>
          </w:p>
        </w:tc>
        <w:tc>
          <w:tcPr>
            <w:tcW w:w="661" w:type="dxa"/>
          </w:tcPr>
          <w:p w:rsidR="00384A19" w:rsidRPr="00E43670" w:rsidRDefault="00384A19" w:rsidP="00045E43">
            <w:pPr>
              <w:tabs>
                <w:tab w:val="left" w:pos="3285"/>
              </w:tabs>
              <w:ind w:hanging="95"/>
              <w:jc w:val="right"/>
              <w:rPr>
                <w:sz w:val="16"/>
                <w:szCs w:val="16"/>
              </w:rPr>
            </w:pPr>
          </w:p>
        </w:tc>
        <w:tc>
          <w:tcPr>
            <w:tcW w:w="643" w:type="dxa"/>
          </w:tcPr>
          <w:p w:rsidR="00384A19" w:rsidRPr="00E43670" w:rsidRDefault="007D10A8" w:rsidP="00045E43">
            <w:pPr>
              <w:tabs>
                <w:tab w:val="left" w:pos="3285"/>
              </w:tabs>
              <w:ind w:hanging="95"/>
              <w:jc w:val="right"/>
              <w:rPr>
                <w:sz w:val="16"/>
                <w:szCs w:val="16"/>
              </w:rPr>
            </w:pPr>
            <w:r w:rsidRPr="00E43670">
              <w:rPr>
                <w:sz w:val="16"/>
                <w:szCs w:val="16"/>
              </w:rPr>
              <w:t>400</w:t>
            </w:r>
          </w:p>
        </w:tc>
      </w:tr>
      <w:tr w:rsidR="00A94DF6" w:rsidRPr="00E43670">
        <w:trPr>
          <w:trHeight w:val="318"/>
        </w:trPr>
        <w:tc>
          <w:tcPr>
            <w:tcW w:w="1834" w:type="dxa"/>
          </w:tcPr>
          <w:p w:rsidR="00384A19" w:rsidRPr="00E43670" w:rsidRDefault="007D10A8" w:rsidP="00045E43">
            <w:pPr>
              <w:tabs>
                <w:tab w:val="left" w:pos="3285"/>
              </w:tabs>
              <w:ind w:hanging="95"/>
              <w:rPr>
                <w:i/>
                <w:sz w:val="16"/>
                <w:szCs w:val="16"/>
              </w:rPr>
            </w:pPr>
            <w:r w:rsidRPr="00E43670">
              <w:rPr>
                <w:sz w:val="16"/>
                <w:szCs w:val="16"/>
              </w:rPr>
              <w:t xml:space="preserve">   </w:t>
            </w:r>
            <w:r w:rsidRPr="00E43670">
              <w:rPr>
                <w:i/>
                <w:sz w:val="16"/>
                <w:szCs w:val="16"/>
              </w:rPr>
              <w:t>Teknik</w:t>
            </w:r>
          </w:p>
        </w:tc>
        <w:tc>
          <w:tcPr>
            <w:tcW w:w="1274" w:type="dxa"/>
          </w:tcPr>
          <w:p w:rsidR="00384A19" w:rsidRPr="00E43670" w:rsidRDefault="007D10A8" w:rsidP="00045E43">
            <w:pPr>
              <w:tabs>
                <w:tab w:val="left" w:pos="3285"/>
              </w:tabs>
              <w:ind w:hanging="95"/>
              <w:jc w:val="right"/>
              <w:rPr>
                <w:sz w:val="16"/>
                <w:szCs w:val="16"/>
              </w:rPr>
            </w:pPr>
            <w:r w:rsidRPr="00E43670">
              <w:rPr>
                <w:sz w:val="16"/>
                <w:szCs w:val="16"/>
              </w:rPr>
              <w:t>160</w:t>
            </w:r>
          </w:p>
        </w:tc>
        <w:tc>
          <w:tcPr>
            <w:tcW w:w="768" w:type="dxa"/>
          </w:tcPr>
          <w:p w:rsidR="00384A19" w:rsidRPr="00E43670" w:rsidRDefault="007D10A8" w:rsidP="00045E43">
            <w:pPr>
              <w:tabs>
                <w:tab w:val="left" w:pos="3285"/>
              </w:tabs>
              <w:ind w:hanging="95"/>
              <w:jc w:val="right"/>
              <w:rPr>
                <w:sz w:val="16"/>
                <w:szCs w:val="16"/>
              </w:rPr>
            </w:pPr>
            <w:r w:rsidRPr="00E43670">
              <w:rPr>
                <w:sz w:val="16"/>
                <w:szCs w:val="16"/>
              </w:rPr>
              <w:t>180</w:t>
            </w:r>
          </w:p>
        </w:tc>
        <w:tc>
          <w:tcPr>
            <w:tcW w:w="510" w:type="dxa"/>
          </w:tcPr>
          <w:p w:rsidR="00384A19" w:rsidRPr="00E43670" w:rsidRDefault="00384A19" w:rsidP="00045E43">
            <w:pPr>
              <w:tabs>
                <w:tab w:val="left" w:pos="3285"/>
              </w:tabs>
              <w:ind w:hanging="95"/>
              <w:jc w:val="right"/>
              <w:rPr>
                <w:sz w:val="16"/>
                <w:szCs w:val="16"/>
              </w:rPr>
            </w:pPr>
          </w:p>
        </w:tc>
        <w:tc>
          <w:tcPr>
            <w:tcW w:w="696" w:type="dxa"/>
          </w:tcPr>
          <w:p w:rsidR="00384A19" w:rsidRPr="00E43670" w:rsidRDefault="00384A19" w:rsidP="00045E43">
            <w:pPr>
              <w:tabs>
                <w:tab w:val="left" w:pos="3285"/>
              </w:tabs>
              <w:ind w:hanging="95"/>
              <w:jc w:val="right"/>
              <w:rPr>
                <w:sz w:val="16"/>
                <w:szCs w:val="16"/>
              </w:rPr>
            </w:pPr>
          </w:p>
        </w:tc>
        <w:tc>
          <w:tcPr>
            <w:tcW w:w="847" w:type="dxa"/>
          </w:tcPr>
          <w:p w:rsidR="00384A19" w:rsidRPr="00E43670" w:rsidRDefault="00384A19" w:rsidP="00045E43">
            <w:pPr>
              <w:tabs>
                <w:tab w:val="left" w:pos="3285"/>
              </w:tabs>
              <w:ind w:hanging="95"/>
              <w:jc w:val="right"/>
              <w:rPr>
                <w:sz w:val="16"/>
                <w:szCs w:val="16"/>
              </w:rPr>
            </w:pPr>
          </w:p>
        </w:tc>
        <w:tc>
          <w:tcPr>
            <w:tcW w:w="661" w:type="dxa"/>
          </w:tcPr>
          <w:p w:rsidR="00384A19" w:rsidRPr="00E43670" w:rsidRDefault="007D10A8" w:rsidP="00045E43">
            <w:pPr>
              <w:tabs>
                <w:tab w:val="left" w:pos="3285"/>
              </w:tabs>
              <w:ind w:hanging="95"/>
              <w:jc w:val="right"/>
              <w:rPr>
                <w:sz w:val="16"/>
                <w:szCs w:val="16"/>
              </w:rPr>
            </w:pPr>
            <w:r w:rsidRPr="00E43670">
              <w:rPr>
                <w:sz w:val="16"/>
                <w:szCs w:val="16"/>
              </w:rPr>
              <w:t>10</w:t>
            </w:r>
            <w:r w:rsidRPr="00E43670">
              <w:rPr>
                <w:rStyle w:val="Fotnotsreferens"/>
                <w:sz w:val="16"/>
                <w:szCs w:val="16"/>
              </w:rPr>
              <w:footnoteReference w:id="1"/>
            </w:r>
          </w:p>
        </w:tc>
        <w:tc>
          <w:tcPr>
            <w:tcW w:w="643" w:type="dxa"/>
          </w:tcPr>
          <w:p w:rsidR="00384A19" w:rsidRPr="00E43670" w:rsidRDefault="007D10A8" w:rsidP="00045E43">
            <w:pPr>
              <w:tabs>
                <w:tab w:val="left" w:pos="3285"/>
              </w:tabs>
              <w:ind w:hanging="95"/>
              <w:jc w:val="right"/>
              <w:rPr>
                <w:sz w:val="16"/>
                <w:szCs w:val="16"/>
              </w:rPr>
            </w:pPr>
            <w:r w:rsidRPr="00E43670">
              <w:rPr>
                <w:sz w:val="16"/>
                <w:szCs w:val="16"/>
              </w:rPr>
              <w:t>350</w:t>
            </w:r>
          </w:p>
        </w:tc>
      </w:tr>
      <w:tr w:rsidR="00A94DF6" w:rsidRPr="00E43670">
        <w:trPr>
          <w:trHeight w:val="318"/>
        </w:trPr>
        <w:tc>
          <w:tcPr>
            <w:tcW w:w="1834" w:type="dxa"/>
          </w:tcPr>
          <w:p w:rsidR="00384A19" w:rsidRPr="00E43670" w:rsidRDefault="007D10A8" w:rsidP="00045E43">
            <w:pPr>
              <w:tabs>
                <w:tab w:val="left" w:pos="3285"/>
              </w:tabs>
              <w:ind w:hanging="95"/>
              <w:rPr>
                <w:i/>
                <w:sz w:val="16"/>
                <w:szCs w:val="16"/>
              </w:rPr>
            </w:pPr>
            <w:r w:rsidRPr="00E43670">
              <w:rPr>
                <w:sz w:val="16"/>
                <w:szCs w:val="16"/>
              </w:rPr>
              <w:t xml:space="preserve">   </w:t>
            </w:r>
            <w:r w:rsidR="00A02534" w:rsidRPr="00E43670">
              <w:rPr>
                <w:i/>
                <w:sz w:val="16"/>
                <w:szCs w:val="16"/>
              </w:rPr>
              <w:t>Hållbar utveckling</w:t>
            </w:r>
          </w:p>
        </w:tc>
        <w:tc>
          <w:tcPr>
            <w:tcW w:w="1274" w:type="dxa"/>
          </w:tcPr>
          <w:p w:rsidR="00384A19" w:rsidRPr="00E43670" w:rsidRDefault="007D10A8" w:rsidP="00045E43">
            <w:pPr>
              <w:tabs>
                <w:tab w:val="left" w:pos="3285"/>
              </w:tabs>
              <w:ind w:hanging="95"/>
              <w:jc w:val="right"/>
              <w:rPr>
                <w:sz w:val="16"/>
                <w:szCs w:val="16"/>
              </w:rPr>
            </w:pPr>
            <w:r w:rsidRPr="00E43670">
              <w:rPr>
                <w:sz w:val="16"/>
                <w:szCs w:val="16"/>
              </w:rPr>
              <w:t>50</w:t>
            </w:r>
          </w:p>
        </w:tc>
        <w:tc>
          <w:tcPr>
            <w:tcW w:w="768" w:type="dxa"/>
          </w:tcPr>
          <w:p w:rsidR="00384A19" w:rsidRPr="00E43670" w:rsidRDefault="007D10A8" w:rsidP="00045E43">
            <w:pPr>
              <w:tabs>
                <w:tab w:val="left" w:pos="3285"/>
              </w:tabs>
              <w:ind w:hanging="95"/>
              <w:jc w:val="right"/>
              <w:rPr>
                <w:sz w:val="16"/>
                <w:szCs w:val="16"/>
              </w:rPr>
            </w:pPr>
            <w:r w:rsidRPr="00E43670">
              <w:rPr>
                <w:sz w:val="16"/>
                <w:szCs w:val="16"/>
              </w:rPr>
              <w:t>20</w:t>
            </w:r>
          </w:p>
        </w:tc>
        <w:tc>
          <w:tcPr>
            <w:tcW w:w="510" w:type="dxa"/>
          </w:tcPr>
          <w:p w:rsidR="00384A19" w:rsidRPr="00E43670" w:rsidRDefault="00384A19" w:rsidP="00045E43">
            <w:pPr>
              <w:tabs>
                <w:tab w:val="left" w:pos="3285"/>
              </w:tabs>
              <w:ind w:hanging="95"/>
              <w:jc w:val="right"/>
              <w:rPr>
                <w:sz w:val="16"/>
                <w:szCs w:val="16"/>
              </w:rPr>
            </w:pPr>
          </w:p>
        </w:tc>
        <w:tc>
          <w:tcPr>
            <w:tcW w:w="696" w:type="dxa"/>
          </w:tcPr>
          <w:p w:rsidR="00384A19" w:rsidRPr="00E43670" w:rsidRDefault="007D10A8" w:rsidP="00045E43">
            <w:pPr>
              <w:tabs>
                <w:tab w:val="left" w:pos="3285"/>
              </w:tabs>
              <w:ind w:hanging="95"/>
              <w:jc w:val="right"/>
              <w:rPr>
                <w:sz w:val="16"/>
                <w:szCs w:val="16"/>
              </w:rPr>
            </w:pPr>
            <w:r w:rsidRPr="00E43670">
              <w:rPr>
                <w:sz w:val="16"/>
                <w:szCs w:val="16"/>
              </w:rPr>
              <w:t>140</w:t>
            </w:r>
          </w:p>
        </w:tc>
        <w:tc>
          <w:tcPr>
            <w:tcW w:w="847" w:type="dxa"/>
          </w:tcPr>
          <w:p w:rsidR="00384A19" w:rsidRPr="00E43670" w:rsidRDefault="00384A19" w:rsidP="00045E43">
            <w:pPr>
              <w:tabs>
                <w:tab w:val="left" w:pos="3285"/>
              </w:tabs>
              <w:ind w:hanging="95"/>
              <w:jc w:val="right"/>
              <w:rPr>
                <w:sz w:val="16"/>
                <w:szCs w:val="16"/>
              </w:rPr>
            </w:pPr>
          </w:p>
        </w:tc>
        <w:tc>
          <w:tcPr>
            <w:tcW w:w="661" w:type="dxa"/>
          </w:tcPr>
          <w:p w:rsidR="00384A19" w:rsidRPr="00E43670" w:rsidRDefault="00384A19" w:rsidP="00045E43">
            <w:pPr>
              <w:tabs>
                <w:tab w:val="left" w:pos="3285"/>
              </w:tabs>
              <w:ind w:hanging="95"/>
              <w:jc w:val="right"/>
              <w:rPr>
                <w:sz w:val="16"/>
                <w:szCs w:val="16"/>
              </w:rPr>
            </w:pPr>
          </w:p>
        </w:tc>
        <w:tc>
          <w:tcPr>
            <w:tcW w:w="643" w:type="dxa"/>
          </w:tcPr>
          <w:p w:rsidR="00384A19" w:rsidRPr="00E43670" w:rsidRDefault="007D10A8" w:rsidP="00045E43">
            <w:pPr>
              <w:tabs>
                <w:tab w:val="left" w:pos="3285"/>
              </w:tabs>
              <w:ind w:hanging="95"/>
              <w:jc w:val="right"/>
              <w:rPr>
                <w:sz w:val="16"/>
                <w:szCs w:val="16"/>
              </w:rPr>
            </w:pPr>
            <w:r w:rsidRPr="00E43670">
              <w:rPr>
                <w:sz w:val="16"/>
                <w:szCs w:val="16"/>
              </w:rPr>
              <w:t>210</w:t>
            </w:r>
          </w:p>
        </w:tc>
      </w:tr>
      <w:tr w:rsidR="00A94DF6" w:rsidRPr="00E43670">
        <w:trPr>
          <w:trHeight w:val="303"/>
        </w:trPr>
        <w:tc>
          <w:tcPr>
            <w:tcW w:w="1834" w:type="dxa"/>
          </w:tcPr>
          <w:p w:rsidR="00384A19" w:rsidRPr="00E43670" w:rsidRDefault="007D10A8" w:rsidP="00045E43">
            <w:pPr>
              <w:tabs>
                <w:tab w:val="left" w:pos="3285"/>
              </w:tabs>
              <w:ind w:hanging="95"/>
              <w:rPr>
                <w:sz w:val="16"/>
                <w:szCs w:val="16"/>
              </w:rPr>
            </w:pPr>
            <w:r w:rsidRPr="00E43670">
              <w:rPr>
                <w:sz w:val="16"/>
                <w:szCs w:val="16"/>
              </w:rPr>
              <w:t>Forskarskolor</w:t>
            </w:r>
          </w:p>
        </w:tc>
        <w:tc>
          <w:tcPr>
            <w:tcW w:w="1274" w:type="dxa"/>
          </w:tcPr>
          <w:p w:rsidR="00384A19" w:rsidRPr="00E43670" w:rsidRDefault="007D10A8" w:rsidP="00045E43">
            <w:pPr>
              <w:tabs>
                <w:tab w:val="left" w:pos="3285"/>
              </w:tabs>
              <w:ind w:hanging="95"/>
              <w:jc w:val="right"/>
              <w:rPr>
                <w:sz w:val="16"/>
                <w:szCs w:val="16"/>
              </w:rPr>
            </w:pPr>
            <w:r w:rsidRPr="00E43670">
              <w:rPr>
                <w:sz w:val="16"/>
                <w:szCs w:val="16"/>
              </w:rPr>
              <w:t>60</w:t>
            </w:r>
          </w:p>
        </w:tc>
        <w:tc>
          <w:tcPr>
            <w:tcW w:w="768" w:type="dxa"/>
          </w:tcPr>
          <w:p w:rsidR="00384A19" w:rsidRPr="00E43670" w:rsidRDefault="007D10A8" w:rsidP="00045E43">
            <w:pPr>
              <w:tabs>
                <w:tab w:val="left" w:pos="3285"/>
              </w:tabs>
              <w:ind w:hanging="95"/>
              <w:jc w:val="right"/>
              <w:rPr>
                <w:sz w:val="16"/>
                <w:szCs w:val="16"/>
              </w:rPr>
            </w:pPr>
            <w:r w:rsidRPr="00E43670">
              <w:rPr>
                <w:sz w:val="16"/>
                <w:szCs w:val="16"/>
              </w:rPr>
              <w:t>25</w:t>
            </w:r>
          </w:p>
        </w:tc>
        <w:tc>
          <w:tcPr>
            <w:tcW w:w="510" w:type="dxa"/>
          </w:tcPr>
          <w:p w:rsidR="00384A19" w:rsidRPr="00E43670" w:rsidRDefault="007D10A8" w:rsidP="00045E43">
            <w:pPr>
              <w:tabs>
                <w:tab w:val="left" w:pos="3285"/>
              </w:tabs>
              <w:ind w:hanging="95"/>
              <w:jc w:val="right"/>
              <w:rPr>
                <w:sz w:val="16"/>
                <w:szCs w:val="16"/>
              </w:rPr>
            </w:pPr>
            <w:r w:rsidRPr="00E43670">
              <w:rPr>
                <w:sz w:val="16"/>
                <w:szCs w:val="16"/>
              </w:rPr>
              <w:t>5</w:t>
            </w:r>
          </w:p>
        </w:tc>
        <w:tc>
          <w:tcPr>
            <w:tcW w:w="696" w:type="dxa"/>
          </w:tcPr>
          <w:p w:rsidR="00384A19" w:rsidRPr="00E43670" w:rsidRDefault="007D10A8" w:rsidP="00045E43">
            <w:pPr>
              <w:tabs>
                <w:tab w:val="left" w:pos="3285"/>
              </w:tabs>
              <w:ind w:hanging="95"/>
              <w:jc w:val="right"/>
              <w:rPr>
                <w:sz w:val="16"/>
                <w:szCs w:val="16"/>
              </w:rPr>
            </w:pPr>
            <w:r w:rsidRPr="00E43670">
              <w:rPr>
                <w:sz w:val="16"/>
                <w:szCs w:val="16"/>
              </w:rPr>
              <w:t>10</w:t>
            </w:r>
          </w:p>
        </w:tc>
        <w:tc>
          <w:tcPr>
            <w:tcW w:w="847" w:type="dxa"/>
          </w:tcPr>
          <w:p w:rsidR="00384A19" w:rsidRPr="00E43670" w:rsidRDefault="00384A19" w:rsidP="00045E43">
            <w:pPr>
              <w:tabs>
                <w:tab w:val="left" w:pos="3285"/>
              </w:tabs>
              <w:ind w:hanging="95"/>
              <w:jc w:val="right"/>
              <w:rPr>
                <w:sz w:val="16"/>
                <w:szCs w:val="16"/>
              </w:rPr>
            </w:pPr>
          </w:p>
        </w:tc>
        <w:tc>
          <w:tcPr>
            <w:tcW w:w="661" w:type="dxa"/>
          </w:tcPr>
          <w:p w:rsidR="00384A19" w:rsidRPr="00E43670" w:rsidRDefault="00384A19" w:rsidP="00045E43">
            <w:pPr>
              <w:tabs>
                <w:tab w:val="left" w:pos="3285"/>
              </w:tabs>
              <w:ind w:hanging="95"/>
              <w:jc w:val="right"/>
              <w:rPr>
                <w:sz w:val="16"/>
                <w:szCs w:val="16"/>
              </w:rPr>
            </w:pPr>
          </w:p>
        </w:tc>
        <w:tc>
          <w:tcPr>
            <w:tcW w:w="643" w:type="dxa"/>
          </w:tcPr>
          <w:p w:rsidR="00384A19" w:rsidRPr="00E43670" w:rsidRDefault="00C06DDD" w:rsidP="00045E43">
            <w:pPr>
              <w:tabs>
                <w:tab w:val="left" w:pos="3285"/>
              </w:tabs>
              <w:ind w:hanging="95"/>
              <w:jc w:val="right"/>
              <w:rPr>
                <w:sz w:val="16"/>
                <w:szCs w:val="16"/>
              </w:rPr>
            </w:pPr>
            <w:r w:rsidRPr="00E43670">
              <w:rPr>
                <w:sz w:val="16"/>
                <w:szCs w:val="16"/>
              </w:rPr>
              <w:t>100</w:t>
            </w:r>
          </w:p>
        </w:tc>
      </w:tr>
      <w:tr w:rsidR="00A02534" w:rsidRPr="00E43670">
        <w:trPr>
          <w:trHeight w:val="303"/>
        </w:trPr>
        <w:tc>
          <w:tcPr>
            <w:tcW w:w="1834" w:type="dxa"/>
          </w:tcPr>
          <w:p w:rsidR="00A02534" w:rsidRPr="00E43670" w:rsidRDefault="00A02534" w:rsidP="00045E43">
            <w:pPr>
              <w:tabs>
                <w:tab w:val="left" w:pos="3285"/>
              </w:tabs>
              <w:ind w:hanging="95"/>
              <w:rPr>
                <w:sz w:val="16"/>
                <w:szCs w:val="16"/>
              </w:rPr>
            </w:pPr>
            <w:r w:rsidRPr="00E43670">
              <w:rPr>
                <w:sz w:val="16"/>
                <w:szCs w:val="16"/>
              </w:rPr>
              <w:t>Meriteringsanställningar</w:t>
            </w:r>
          </w:p>
        </w:tc>
        <w:tc>
          <w:tcPr>
            <w:tcW w:w="1274" w:type="dxa"/>
          </w:tcPr>
          <w:p w:rsidR="00A02534" w:rsidRPr="00E43670" w:rsidRDefault="00A02534" w:rsidP="00045E43">
            <w:pPr>
              <w:tabs>
                <w:tab w:val="left" w:pos="3285"/>
              </w:tabs>
              <w:ind w:hanging="95"/>
              <w:jc w:val="right"/>
              <w:rPr>
                <w:sz w:val="16"/>
                <w:szCs w:val="16"/>
              </w:rPr>
            </w:pPr>
            <w:r w:rsidRPr="00E43670">
              <w:rPr>
                <w:sz w:val="16"/>
                <w:szCs w:val="16"/>
              </w:rPr>
              <w:t>85</w:t>
            </w:r>
          </w:p>
        </w:tc>
        <w:tc>
          <w:tcPr>
            <w:tcW w:w="768" w:type="dxa"/>
          </w:tcPr>
          <w:p w:rsidR="00A02534" w:rsidRPr="00E43670" w:rsidRDefault="00A02534" w:rsidP="00045E43">
            <w:pPr>
              <w:tabs>
                <w:tab w:val="left" w:pos="3285"/>
              </w:tabs>
              <w:ind w:hanging="95"/>
              <w:jc w:val="right"/>
              <w:rPr>
                <w:sz w:val="16"/>
                <w:szCs w:val="16"/>
              </w:rPr>
            </w:pPr>
            <w:r w:rsidRPr="00E43670">
              <w:rPr>
                <w:sz w:val="16"/>
                <w:szCs w:val="16"/>
              </w:rPr>
              <w:t>50</w:t>
            </w:r>
          </w:p>
        </w:tc>
        <w:tc>
          <w:tcPr>
            <w:tcW w:w="510" w:type="dxa"/>
          </w:tcPr>
          <w:p w:rsidR="00A02534" w:rsidRPr="00E43670" w:rsidRDefault="00A02534" w:rsidP="00045E43">
            <w:pPr>
              <w:tabs>
                <w:tab w:val="left" w:pos="3285"/>
              </w:tabs>
              <w:ind w:hanging="95"/>
              <w:jc w:val="right"/>
              <w:rPr>
                <w:sz w:val="16"/>
                <w:szCs w:val="16"/>
              </w:rPr>
            </w:pPr>
            <w:r w:rsidRPr="00E43670">
              <w:rPr>
                <w:sz w:val="16"/>
                <w:szCs w:val="16"/>
              </w:rPr>
              <w:t>5</w:t>
            </w:r>
          </w:p>
        </w:tc>
        <w:tc>
          <w:tcPr>
            <w:tcW w:w="696" w:type="dxa"/>
          </w:tcPr>
          <w:p w:rsidR="00A02534" w:rsidRPr="00E43670" w:rsidRDefault="00A02534" w:rsidP="00045E43">
            <w:pPr>
              <w:tabs>
                <w:tab w:val="left" w:pos="3285"/>
              </w:tabs>
              <w:ind w:hanging="95"/>
              <w:jc w:val="right"/>
              <w:rPr>
                <w:sz w:val="16"/>
                <w:szCs w:val="16"/>
              </w:rPr>
            </w:pPr>
            <w:r w:rsidRPr="00E43670">
              <w:rPr>
                <w:sz w:val="16"/>
                <w:szCs w:val="16"/>
              </w:rPr>
              <w:t>10</w:t>
            </w:r>
          </w:p>
        </w:tc>
        <w:tc>
          <w:tcPr>
            <w:tcW w:w="847" w:type="dxa"/>
          </w:tcPr>
          <w:p w:rsidR="00A02534" w:rsidRPr="00E43670" w:rsidRDefault="00A02534" w:rsidP="00045E43">
            <w:pPr>
              <w:tabs>
                <w:tab w:val="left" w:pos="3285"/>
              </w:tabs>
              <w:ind w:hanging="95"/>
              <w:jc w:val="right"/>
              <w:rPr>
                <w:sz w:val="16"/>
                <w:szCs w:val="16"/>
              </w:rPr>
            </w:pPr>
          </w:p>
        </w:tc>
        <w:tc>
          <w:tcPr>
            <w:tcW w:w="661" w:type="dxa"/>
          </w:tcPr>
          <w:p w:rsidR="00A02534" w:rsidRPr="00E43670" w:rsidRDefault="00A02534" w:rsidP="00045E43">
            <w:pPr>
              <w:tabs>
                <w:tab w:val="left" w:pos="3285"/>
              </w:tabs>
              <w:ind w:hanging="95"/>
              <w:jc w:val="right"/>
              <w:rPr>
                <w:sz w:val="16"/>
                <w:szCs w:val="16"/>
              </w:rPr>
            </w:pPr>
          </w:p>
        </w:tc>
        <w:tc>
          <w:tcPr>
            <w:tcW w:w="643" w:type="dxa"/>
          </w:tcPr>
          <w:p w:rsidR="00A02534" w:rsidRPr="00E43670" w:rsidRDefault="00A02534" w:rsidP="00045E43">
            <w:pPr>
              <w:tabs>
                <w:tab w:val="left" w:pos="3285"/>
              </w:tabs>
              <w:ind w:hanging="95"/>
              <w:jc w:val="right"/>
              <w:rPr>
                <w:sz w:val="16"/>
                <w:szCs w:val="16"/>
              </w:rPr>
            </w:pPr>
            <w:r w:rsidRPr="00E43670">
              <w:rPr>
                <w:sz w:val="16"/>
                <w:szCs w:val="16"/>
              </w:rPr>
              <w:t>150</w:t>
            </w:r>
          </w:p>
        </w:tc>
      </w:tr>
      <w:tr w:rsidR="00A02534" w:rsidRPr="00E43670">
        <w:trPr>
          <w:trHeight w:val="303"/>
        </w:trPr>
        <w:tc>
          <w:tcPr>
            <w:tcW w:w="1834" w:type="dxa"/>
          </w:tcPr>
          <w:p w:rsidR="00A02534" w:rsidRPr="00E43670" w:rsidRDefault="00A02534" w:rsidP="00045E43">
            <w:pPr>
              <w:tabs>
                <w:tab w:val="left" w:pos="3285"/>
              </w:tabs>
              <w:ind w:hanging="95"/>
              <w:rPr>
                <w:sz w:val="16"/>
                <w:szCs w:val="16"/>
              </w:rPr>
            </w:pPr>
            <w:r w:rsidRPr="00E43670">
              <w:rPr>
                <w:sz w:val="16"/>
                <w:szCs w:val="16"/>
              </w:rPr>
              <w:t>Forskning vid lärosäten</w:t>
            </w:r>
          </w:p>
        </w:tc>
        <w:tc>
          <w:tcPr>
            <w:tcW w:w="1274" w:type="dxa"/>
          </w:tcPr>
          <w:p w:rsidR="00A02534" w:rsidRPr="00E43670" w:rsidRDefault="00A02534" w:rsidP="00045E43">
            <w:pPr>
              <w:tabs>
                <w:tab w:val="left" w:pos="3285"/>
              </w:tabs>
              <w:ind w:hanging="95"/>
              <w:jc w:val="right"/>
              <w:rPr>
                <w:sz w:val="16"/>
                <w:szCs w:val="16"/>
              </w:rPr>
            </w:pPr>
          </w:p>
        </w:tc>
        <w:tc>
          <w:tcPr>
            <w:tcW w:w="768" w:type="dxa"/>
          </w:tcPr>
          <w:p w:rsidR="00A02534" w:rsidRPr="00E43670" w:rsidRDefault="00A02534" w:rsidP="00045E43">
            <w:pPr>
              <w:tabs>
                <w:tab w:val="left" w:pos="3285"/>
              </w:tabs>
              <w:ind w:hanging="95"/>
              <w:jc w:val="right"/>
              <w:rPr>
                <w:sz w:val="16"/>
                <w:szCs w:val="16"/>
              </w:rPr>
            </w:pPr>
          </w:p>
        </w:tc>
        <w:tc>
          <w:tcPr>
            <w:tcW w:w="510" w:type="dxa"/>
          </w:tcPr>
          <w:p w:rsidR="00A02534" w:rsidRPr="00E43670" w:rsidRDefault="00A02534" w:rsidP="00045E43">
            <w:pPr>
              <w:tabs>
                <w:tab w:val="left" w:pos="3285"/>
              </w:tabs>
              <w:ind w:hanging="95"/>
              <w:jc w:val="right"/>
              <w:rPr>
                <w:sz w:val="16"/>
                <w:szCs w:val="16"/>
              </w:rPr>
            </w:pPr>
          </w:p>
        </w:tc>
        <w:tc>
          <w:tcPr>
            <w:tcW w:w="696" w:type="dxa"/>
          </w:tcPr>
          <w:p w:rsidR="00A02534" w:rsidRPr="00E43670" w:rsidRDefault="00A02534" w:rsidP="00045E43">
            <w:pPr>
              <w:tabs>
                <w:tab w:val="left" w:pos="3285"/>
              </w:tabs>
              <w:ind w:hanging="95"/>
              <w:jc w:val="right"/>
              <w:rPr>
                <w:sz w:val="16"/>
                <w:szCs w:val="16"/>
              </w:rPr>
            </w:pPr>
          </w:p>
        </w:tc>
        <w:tc>
          <w:tcPr>
            <w:tcW w:w="847" w:type="dxa"/>
          </w:tcPr>
          <w:p w:rsidR="00A02534" w:rsidRPr="00E43670" w:rsidRDefault="00A02534" w:rsidP="00045E43">
            <w:pPr>
              <w:tabs>
                <w:tab w:val="left" w:pos="3285"/>
              </w:tabs>
              <w:ind w:hanging="95"/>
              <w:jc w:val="right"/>
              <w:rPr>
                <w:sz w:val="16"/>
                <w:szCs w:val="16"/>
              </w:rPr>
            </w:pPr>
            <w:r w:rsidRPr="00E43670">
              <w:rPr>
                <w:sz w:val="16"/>
                <w:szCs w:val="16"/>
              </w:rPr>
              <w:t>520</w:t>
            </w:r>
          </w:p>
        </w:tc>
        <w:tc>
          <w:tcPr>
            <w:tcW w:w="661" w:type="dxa"/>
          </w:tcPr>
          <w:p w:rsidR="00A02534" w:rsidRPr="00E43670" w:rsidRDefault="00A02534" w:rsidP="00045E43">
            <w:pPr>
              <w:tabs>
                <w:tab w:val="left" w:pos="3285"/>
              </w:tabs>
              <w:ind w:hanging="95"/>
              <w:jc w:val="right"/>
              <w:rPr>
                <w:sz w:val="16"/>
                <w:szCs w:val="16"/>
              </w:rPr>
            </w:pPr>
          </w:p>
        </w:tc>
        <w:tc>
          <w:tcPr>
            <w:tcW w:w="643" w:type="dxa"/>
          </w:tcPr>
          <w:p w:rsidR="00A02534" w:rsidRPr="00E43670" w:rsidRDefault="00A02534" w:rsidP="00045E43">
            <w:pPr>
              <w:tabs>
                <w:tab w:val="left" w:pos="3285"/>
              </w:tabs>
              <w:ind w:hanging="95"/>
              <w:jc w:val="right"/>
              <w:rPr>
                <w:sz w:val="16"/>
                <w:szCs w:val="16"/>
              </w:rPr>
            </w:pPr>
            <w:r w:rsidRPr="00E43670">
              <w:rPr>
                <w:sz w:val="16"/>
                <w:szCs w:val="16"/>
              </w:rPr>
              <w:t>520</w:t>
            </w:r>
          </w:p>
        </w:tc>
      </w:tr>
      <w:tr w:rsidR="00A94DF6" w:rsidRPr="00E43670">
        <w:trPr>
          <w:trHeight w:val="318"/>
        </w:trPr>
        <w:tc>
          <w:tcPr>
            <w:tcW w:w="1834" w:type="dxa"/>
          </w:tcPr>
          <w:p w:rsidR="00384A19" w:rsidRPr="00E43670" w:rsidRDefault="007D10A8" w:rsidP="00045E43">
            <w:pPr>
              <w:tabs>
                <w:tab w:val="left" w:pos="3285"/>
              </w:tabs>
              <w:ind w:hanging="95"/>
              <w:rPr>
                <w:sz w:val="16"/>
                <w:szCs w:val="16"/>
              </w:rPr>
            </w:pPr>
            <w:r w:rsidRPr="00E43670">
              <w:rPr>
                <w:sz w:val="16"/>
                <w:szCs w:val="16"/>
              </w:rPr>
              <w:t>Holdingbolag</w:t>
            </w:r>
          </w:p>
        </w:tc>
        <w:tc>
          <w:tcPr>
            <w:tcW w:w="1274" w:type="dxa"/>
          </w:tcPr>
          <w:p w:rsidR="00384A19" w:rsidRPr="00E43670" w:rsidRDefault="00384A19" w:rsidP="00045E43">
            <w:pPr>
              <w:tabs>
                <w:tab w:val="left" w:pos="3285"/>
              </w:tabs>
              <w:ind w:hanging="95"/>
              <w:jc w:val="right"/>
              <w:rPr>
                <w:sz w:val="16"/>
                <w:szCs w:val="16"/>
              </w:rPr>
            </w:pPr>
          </w:p>
        </w:tc>
        <w:tc>
          <w:tcPr>
            <w:tcW w:w="768" w:type="dxa"/>
          </w:tcPr>
          <w:p w:rsidR="00384A19" w:rsidRPr="00E43670" w:rsidRDefault="00384A19" w:rsidP="00045E43">
            <w:pPr>
              <w:tabs>
                <w:tab w:val="left" w:pos="3285"/>
              </w:tabs>
              <w:ind w:hanging="95"/>
              <w:jc w:val="right"/>
              <w:rPr>
                <w:sz w:val="16"/>
                <w:szCs w:val="16"/>
              </w:rPr>
            </w:pPr>
          </w:p>
        </w:tc>
        <w:tc>
          <w:tcPr>
            <w:tcW w:w="510" w:type="dxa"/>
          </w:tcPr>
          <w:p w:rsidR="00384A19" w:rsidRPr="00E43670" w:rsidRDefault="00384A19" w:rsidP="00045E43">
            <w:pPr>
              <w:tabs>
                <w:tab w:val="left" w:pos="3285"/>
              </w:tabs>
              <w:ind w:hanging="95"/>
              <w:jc w:val="right"/>
              <w:rPr>
                <w:sz w:val="16"/>
                <w:szCs w:val="16"/>
              </w:rPr>
            </w:pPr>
          </w:p>
        </w:tc>
        <w:tc>
          <w:tcPr>
            <w:tcW w:w="696" w:type="dxa"/>
          </w:tcPr>
          <w:p w:rsidR="00384A19" w:rsidRPr="00E43670" w:rsidRDefault="00384A19" w:rsidP="00045E43">
            <w:pPr>
              <w:tabs>
                <w:tab w:val="left" w:pos="3285"/>
              </w:tabs>
              <w:ind w:hanging="95"/>
              <w:jc w:val="right"/>
              <w:rPr>
                <w:sz w:val="16"/>
                <w:szCs w:val="16"/>
              </w:rPr>
            </w:pPr>
          </w:p>
        </w:tc>
        <w:tc>
          <w:tcPr>
            <w:tcW w:w="847" w:type="dxa"/>
          </w:tcPr>
          <w:p w:rsidR="00384A19" w:rsidRPr="00E43670" w:rsidRDefault="00384A19" w:rsidP="00045E43">
            <w:pPr>
              <w:tabs>
                <w:tab w:val="left" w:pos="3285"/>
              </w:tabs>
              <w:ind w:hanging="95"/>
              <w:jc w:val="right"/>
              <w:rPr>
                <w:sz w:val="16"/>
                <w:szCs w:val="16"/>
              </w:rPr>
            </w:pPr>
          </w:p>
        </w:tc>
        <w:tc>
          <w:tcPr>
            <w:tcW w:w="661" w:type="dxa"/>
          </w:tcPr>
          <w:p w:rsidR="00384A19" w:rsidRPr="00E43670" w:rsidRDefault="007D10A8" w:rsidP="00045E43">
            <w:pPr>
              <w:tabs>
                <w:tab w:val="left" w:pos="3285"/>
              </w:tabs>
              <w:ind w:hanging="95"/>
              <w:jc w:val="right"/>
              <w:rPr>
                <w:sz w:val="16"/>
                <w:szCs w:val="16"/>
              </w:rPr>
            </w:pPr>
            <w:r w:rsidRPr="00E43670">
              <w:rPr>
                <w:sz w:val="16"/>
                <w:szCs w:val="16"/>
              </w:rPr>
              <w:t>60</w:t>
            </w:r>
            <w:r w:rsidRPr="00E43670">
              <w:rPr>
                <w:rStyle w:val="Fotnotsreferens"/>
                <w:sz w:val="16"/>
                <w:szCs w:val="16"/>
              </w:rPr>
              <w:footnoteReference w:id="2"/>
            </w:r>
          </w:p>
        </w:tc>
        <w:tc>
          <w:tcPr>
            <w:tcW w:w="643" w:type="dxa"/>
          </w:tcPr>
          <w:p w:rsidR="00384A19" w:rsidRPr="00E43670" w:rsidRDefault="00384A19" w:rsidP="00045E43">
            <w:pPr>
              <w:tabs>
                <w:tab w:val="left" w:pos="3285"/>
              </w:tabs>
              <w:ind w:hanging="95"/>
              <w:jc w:val="right"/>
              <w:rPr>
                <w:sz w:val="16"/>
                <w:szCs w:val="16"/>
              </w:rPr>
            </w:pPr>
          </w:p>
        </w:tc>
      </w:tr>
      <w:tr w:rsidR="00A94DF6" w:rsidRPr="00E43670">
        <w:trPr>
          <w:trHeight w:val="318"/>
        </w:trPr>
        <w:tc>
          <w:tcPr>
            <w:tcW w:w="1834" w:type="dxa"/>
          </w:tcPr>
          <w:p w:rsidR="00A94DF6" w:rsidRPr="00E43670" w:rsidRDefault="00A94DF6" w:rsidP="00045E43">
            <w:pPr>
              <w:tabs>
                <w:tab w:val="left" w:pos="3285"/>
              </w:tabs>
              <w:ind w:hanging="95"/>
              <w:rPr>
                <w:sz w:val="16"/>
                <w:szCs w:val="16"/>
              </w:rPr>
            </w:pPr>
            <w:r w:rsidRPr="00E43670">
              <w:rPr>
                <w:sz w:val="16"/>
                <w:szCs w:val="16"/>
              </w:rPr>
              <w:t>Industriforskningsinstitut</w:t>
            </w:r>
          </w:p>
        </w:tc>
        <w:tc>
          <w:tcPr>
            <w:tcW w:w="1274" w:type="dxa"/>
          </w:tcPr>
          <w:p w:rsidR="00A94DF6" w:rsidRPr="00E43670" w:rsidRDefault="00A94DF6" w:rsidP="00045E43">
            <w:pPr>
              <w:tabs>
                <w:tab w:val="left" w:pos="3285"/>
              </w:tabs>
              <w:ind w:hanging="95"/>
              <w:jc w:val="right"/>
              <w:rPr>
                <w:sz w:val="16"/>
                <w:szCs w:val="16"/>
              </w:rPr>
            </w:pPr>
          </w:p>
        </w:tc>
        <w:tc>
          <w:tcPr>
            <w:tcW w:w="768" w:type="dxa"/>
          </w:tcPr>
          <w:p w:rsidR="00A94DF6" w:rsidRPr="00E43670" w:rsidRDefault="00A02534" w:rsidP="00045E43">
            <w:pPr>
              <w:tabs>
                <w:tab w:val="left" w:pos="3285"/>
              </w:tabs>
              <w:ind w:hanging="95"/>
              <w:jc w:val="right"/>
              <w:rPr>
                <w:sz w:val="16"/>
                <w:szCs w:val="16"/>
              </w:rPr>
            </w:pPr>
            <w:r w:rsidRPr="00E43670">
              <w:rPr>
                <w:sz w:val="16"/>
                <w:szCs w:val="16"/>
              </w:rPr>
              <w:t>110</w:t>
            </w:r>
          </w:p>
        </w:tc>
        <w:tc>
          <w:tcPr>
            <w:tcW w:w="510" w:type="dxa"/>
          </w:tcPr>
          <w:p w:rsidR="00A94DF6" w:rsidRPr="00E43670" w:rsidRDefault="00A94DF6" w:rsidP="00045E43">
            <w:pPr>
              <w:tabs>
                <w:tab w:val="left" w:pos="3285"/>
              </w:tabs>
              <w:ind w:hanging="95"/>
              <w:jc w:val="right"/>
              <w:rPr>
                <w:sz w:val="16"/>
                <w:szCs w:val="16"/>
              </w:rPr>
            </w:pPr>
          </w:p>
        </w:tc>
        <w:tc>
          <w:tcPr>
            <w:tcW w:w="696" w:type="dxa"/>
          </w:tcPr>
          <w:p w:rsidR="00A94DF6" w:rsidRPr="00E43670" w:rsidRDefault="00A94DF6" w:rsidP="00045E43">
            <w:pPr>
              <w:tabs>
                <w:tab w:val="left" w:pos="3285"/>
              </w:tabs>
              <w:ind w:hanging="95"/>
              <w:jc w:val="right"/>
              <w:rPr>
                <w:sz w:val="16"/>
                <w:szCs w:val="16"/>
              </w:rPr>
            </w:pPr>
          </w:p>
        </w:tc>
        <w:tc>
          <w:tcPr>
            <w:tcW w:w="847" w:type="dxa"/>
          </w:tcPr>
          <w:p w:rsidR="00A94DF6" w:rsidRPr="00E43670" w:rsidRDefault="00A94DF6" w:rsidP="00045E43">
            <w:pPr>
              <w:tabs>
                <w:tab w:val="left" w:pos="3285"/>
              </w:tabs>
              <w:ind w:hanging="95"/>
              <w:jc w:val="right"/>
              <w:rPr>
                <w:sz w:val="16"/>
                <w:szCs w:val="16"/>
              </w:rPr>
            </w:pPr>
          </w:p>
        </w:tc>
        <w:tc>
          <w:tcPr>
            <w:tcW w:w="661" w:type="dxa"/>
          </w:tcPr>
          <w:p w:rsidR="00A94DF6" w:rsidRPr="00E43670" w:rsidRDefault="00A94DF6" w:rsidP="00045E43">
            <w:pPr>
              <w:tabs>
                <w:tab w:val="left" w:pos="3285"/>
              </w:tabs>
              <w:ind w:hanging="95"/>
              <w:jc w:val="right"/>
              <w:rPr>
                <w:sz w:val="16"/>
                <w:szCs w:val="16"/>
              </w:rPr>
            </w:pPr>
          </w:p>
        </w:tc>
        <w:tc>
          <w:tcPr>
            <w:tcW w:w="643" w:type="dxa"/>
          </w:tcPr>
          <w:p w:rsidR="00A94DF6" w:rsidRPr="00E43670" w:rsidRDefault="00A02534" w:rsidP="00045E43">
            <w:pPr>
              <w:tabs>
                <w:tab w:val="left" w:pos="3285"/>
              </w:tabs>
              <w:ind w:hanging="95"/>
              <w:jc w:val="right"/>
              <w:rPr>
                <w:sz w:val="16"/>
                <w:szCs w:val="16"/>
              </w:rPr>
            </w:pPr>
            <w:r w:rsidRPr="00E43670">
              <w:rPr>
                <w:sz w:val="16"/>
                <w:szCs w:val="16"/>
              </w:rPr>
              <w:t>110</w:t>
            </w:r>
          </w:p>
        </w:tc>
      </w:tr>
      <w:tr w:rsidR="00A02534" w:rsidRPr="00E43670">
        <w:trPr>
          <w:trHeight w:val="318"/>
        </w:trPr>
        <w:tc>
          <w:tcPr>
            <w:tcW w:w="1834" w:type="dxa"/>
          </w:tcPr>
          <w:p w:rsidR="00A02534" w:rsidRPr="00E43670" w:rsidRDefault="00A02534" w:rsidP="00045E43">
            <w:pPr>
              <w:tabs>
                <w:tab w:val="left" w:pos="3285"/>
              </w:tabs>
              <w:ind w:hanging="95"/>
              <w:rPr>
                <w:sz w:val="16"/>
                <w:szCs w:val="16"/>
              </w:rPr>
            </w:pPr>
            <w:r w:rsidRPr="00E43670">
              <w:rPr>
                <w:sz w:val="16"/>
                <w:szCs w:val="16"/>
              </w:rPr>
              <w:t>Samarbetsprogram</w:t>
            </w:r>
          </w:p>
        </w:tc>
        <w:tc>
          <w:tcPr>
            <w:tcW w:w="1274" w:type="dxa"/>
          </w:tcPr>
          <w:p w:rsidR="00A02534" w:rsidRPr="00E43670" w:rsidRDefault="00A02534" w:rsidP="00045E43">
            <w:pPr>
              <w:tabs>
                <w:tab w:val="left" w:pos="3285"/>
              </w:tabs>
              <w:ind w:hanging="95"/>
              <w:jc w:val="right"/>
              <w:rPr>
                <w:sz w:val="16"/>
                <w:szCs w:val="16"/>
              </w:rPr>
            </w:pPr>
          </w:p>
        </w:tc>
        <w:tc>
          <w:tcPr>
            <w:tcW w:w="768" w:type="dxa"/>
          </w:tcPr>
          <w:p w:rsidR="00A02534" w:rsidRPr="00E43670" w:rsidRDefault="00A02534" w:rsidP="00045E43">
            <w:pPr>
              <w:tabs>
                <w:tab w:val="left" w:pos="3285"/>
              </w:tabs>
              <w:ind w:hanging="95"/>
              <w:jc w:val="right"/>
              <w:rPr>
                <w:sz w:val="16"/>
                <w:szCs w:val="16"/>
              </w:rPr>
            </w:pPr>
            <w:r w:rsidRPr="00E43670">
              <w:rPr>
                <w:sz w:val="16"/>
                <w:szCs w:val="16"/>
              </w:rPr>
              <w:t>120</w:t>
            </w:r>
          </w:p>
        </w:tc>
        <w:tc>
          <w:tcPr>
            <w:tcW w:w="510" w:type="dxa"/>
          </w:tcPr>
          <w:p w:rsidR="00A02534" w:rsidRPr="00E43670" w:rsidRDefault="00A02534" w:rsidP="00045E43">
            <w:pPr>
              <w:tabs>
                <w:tab w:val="left" w:pos="3285"/>
              </w:tabs>
              <w:ind w:hanging="95"/>
              <w:jc w:val="right"/>
              <w:rPr>
                <w:sz w:val="16"/>
                <w:szCs w:val="16"/>
              </w:rPr>
            </w:pPr>
          </w:p>
        </w:tc>
        <w:tc>
          <w:tcPr>
            <w:tcW w:w="696" w:type="dxa"/>
          </w:tcPr>
          <w:p w:rsidR="00A02534" w:rsidRPr="00E43670" w:rsidRDefault="00A02534" w:rsidP="00045E43">
            <w:pPr>
              <w:tabs>
                <w:tab w:val="left" w:pos="3285"/>
              </w:tabs>
              <w:ind w:hanging="95"/>
              <w:jc w:val="right"/>
              <w:rPr>
                <w:sz w:val="16"/>
                <w:szCs w:val="16"/>
              </w:rPr>
            </w:pPr>
          </w:p>
        </w:tc>
        <w:tc>
          <w:tcPr>
            <w:tcW w:w="847" w:type="dxa"/>
          </w:tcPr>
          <w:p w:rsidR="00A02534" w:rsidRPr="00E43670" w:rsidRDefault="00A02534" w:rsidP="00045E43">
            <w:pPr>
              <w:tabs>
                <w:tab w:val="left" w:pos="3285"/>
              </w:tabs>
              <w:ind w:hanging="95"/>
              <w:jc w:val="right"/>
              <w:rPr>
                <w:sz w:val="16"/>
                <w:szCs w:val="16"/>
              </w:rPr>
            </w:pPr>
          </w:p>
        </w:tc>
        <w:tc>
          <w:tcPr>
            <w:tcW w:w="661" w:type="dxa"/>
          </w:tcPr>
          <w:p w:rsidR="00A02534" w:rsidRPr="00E43670" w:rsidRDefault="00A02534" w:rsidP="00045E43">
            <w:pPr>
              <w:tabs>
                <w:tab w:val="left" w:pos="3285"/>
              </w:tabs>
              <w:ind w:hanging="95"/>
              <w:jc w:val="right"/>
              <w:rPr>
                <w:sz w:val="16"/>
                <w:szCs w:val="16"/>
              </w:rPr>
            </w:pPr>
          </w:p>
        </w:tc>
        <w:tc>
          <w:tcPr>
            <w:tcW w:w="643" w:type="dxa"/>
          </w:tcPr>
          <w:p w:rsidR="00A02534" w:rsidRPr="00E43670" w:rsidRDefault="00A02534" w:rsidP="00045E43">
            <w:pPr>
              <w:tabs>
                <w:tab w:val="left" w:pos="3285"/>
              </w:tabs>
              <w:ind w:hanging="95"/>
              <w:jc w:val="right"/>
              <w:rPr>
                <w:sz w:val="16"/>
                <w:szCs w:val="16"/>
              </w:rPr>
            </w:pPr>
            <w:r w:rsidRPr="00E43670">
              <w:rPr>
                <w:sz w:val="16"/>
                <w:szCs w:val="16"/>
              </w:rPr>
              <w:t>120</w:t>
            </w:r>
          </w:p>
        </w:tc>
      </w:tr>
      <w:tr w:rsidR="00A94DF6" w:rsidRPr="00E43670">
        <w:trPr>
          <w:trHeight w:val="561"/>
        </w:trPr>
        <w:tc>
          <w:tcPr>
            <w:tcW w:w="1834" w:type="dxa"/>
          </w:tcPr>
          <w:p w:rsidR="00384A19" w:rsidRPr="00E43670" w:rsidRDefault="008D679E" w:rsidP="00045E43">
            <w:pPr>
              <w:tabs>
                <w:tab w:val="left" w:pos="3285"/>
              </w:tabs>
              <w:ind w:hanging="95"/>
              <w:rPr>
                <w:sz w:val="16"/>
                <w:szCs w:val="16"/>
              </w:rPr>
            </w:pPr>
            <w:r w:rsidRPr="00E43670">
              <w:rPr>
                <w:sz w:val="16"/>
                <w:szCs w:val="16"/>
              </w:rPr>
              <w:t>Insatser för små och medelstora företag</w:t>
            </w:r>
          </w:p>
        </w:tc>
        <w:tc>
          <w:tcPr>
            <w:tcW w:w="1274" w:type="dxa"/>
          </w:tcPr>
          <w:p w:rsidR="00384A19" w:rsidRPr="00E43670" w:rsidRDefault="00384A19" w:rsidP="00045E43">
            <w:pPr>
              <w:tabs>
                <w:tab w:val="left" w:pos="3285"/>
              </w:tabs>
              <w:ind w:hanging="95"/>
              <w:jc w:val="right"/>
              <w:rPr>
                <w:sz w:val="16"/>
                <w:szCs w:val="16"/>
              </w:rPr>
            </w:pPr>
          </w:p>
        </w:tc>
        <w:tc>
          <w:tcPr>
            <w:tcW w:w="768" w:type="dxa"/>
          </w:tcPr>
          <w:p w:rsidR="00384A19" w:rsidRPr="00E43670" w:rsidRDefault="005569E2" w:rsidP="00045E43">
            <w:pPr>
              <w:tabs>
                <w:tab w:val="left" w:pos="3285"/>
              </w:tabs>
              <w:ind w:hanging="95"/>
              <w:jc w:val="right"/>
              <w:rPr>
                <w:sz w:val="16"/>
                <w:szCs w:val="16"/>
              </w:rPr>
            </w:pPr>
            <w:r w:rsidRPr="00E43670">
              <w:rPr>
                <w:sz w:val="16"/>
                <w:szCs w:val="16"/>
              </w:rPr>
              <w:t>10</w:t>
            </w:r>
          </w:p>
        </w:tc>
        <w:tc>
          <w:tcPr>
            <w:tcW w:w="510" w:type="dxa"/>
          </w:tcPr>
          <w:p w:rsidR="00384A19" w:rsidRPr="00E43670" w:rsidRDefault="00384A19" w:rsidP="00045E43">
            <w:pPr>
              <w:tabs>
                <w:tab w:val="left" w:pos="3285"/>
              </w:tabs>
              <w:ind w:hanging="95"/>
              <w:jc w:val="right"/>
              <w:rPr>
                <w:sz w:val="16"/>
                <w:szCs w:val="16"/>
              </w:rPr>
            </w:pPr>
          </w:p>
        </w:tc>
        <w:tc>
          <w:tcPr>
            <w:tcW w:w="696" w:type="dxa"/>
          </w:tcPr>
          <w:p w:rsidR="00384A19" w:rsidRPr="00E43670" w:rsidRDefault="00384A19" w:rsidP="00045E43">
            <w:pPr>
              <w:tabs>
                <w:tab w:val="left" w:pos="3285"/>
              </w:tabs>
              <w:ind w:hanging="95"/>
              <w:jc w:val="right"/>
              <w:rPr>
                <w:sz w:val="16"/>
                <w:szCs w:val="16"/>
              </w:rPr>
            </w:pPr>
          </w:p>
        </w:tc>
        <w:tc>
          <w:tcPr>
            <w:tcW w:w="847" w:type="dxa"/>
          </w:tcPr>
          <w:p w:rsidR="00384A19" w:rsidRPr="00E43670" w:rsidRDefault="00384A19" w:rsidP="00045E43">
            <w:pPr>
              <w:tabs>
                <w:tab w:val="left" w:pos="3285"/>
              </w:tabs>
              <w:ind w:hanging="95"/>
              <w:jc w:val="right"/>
              <w:rPr>
                <w:sz w:val="16"/>
                <w:szCs w:val="16"/>
              </w:rPr>
            </w:pPr>
          </w:p>
        </w:tc>
        <w:tc>
          <w:tcPr>
            <w:tcW w:w="661" w:type="dxa"/>
          </w:tcPr>
          <w:p w:rsidR="00384A19" w:rsidRPr="00E43670" w:rsidRDefault="00384A19" w:rsidP="00045E43">
            <w:pPr>
              <w:tabs>
                <w:tab w:val="left" w:pos="3285"/>
              </w:tabs>
              <w:ind w:hanging="95"/>
              <w:jc w:val="right"/>
              <w:rPr>
                <w:sz w:val="16"/>
                <w:szCs w:val="16"/>
              </w:rPr>
            </w:pPr>
          </w:p>
        </w:tc>
        <w:tc>
          <w:tcPr>
            <w:tcW w:w="643" w:type="dxa"/>
          </w:tcPr>
          <w:p w:rsidR="00384A19" w:rsidRPr="00E43670" w:rsidRDefault="008D00E5" w:rsidP="00045E43">
            <w:pPr>
              <w:tabs>
                <w:tab w:val="left" w:pos="3285"/>
              </w:tabs>
              <w:ind w:hanging="95"/>
              <w:jc w:val="right"/>
              <w:rPr>
                <w:sz w:val="16"/>
                <w:szCs w:val="16"/>
              </w:rPr>
            </w:pPr>
            <w:r w:rsidRPr="00E43670">
              <w:rPr>
                <w:sz w:val="16"/>
                <w:szCs w:val="16"/>
              </w:rPr>
              <w:t>10</w:t>
            </w:r>
          </w:p>
        </w:tc>
      </w:tr>
      <w:tr w:rsidR="00A02534" w:rsidRPr="00E43670">
        <w:trPr>
          <w:trHeight w:val="311"/>
        </w:trPr>
        <w:tc>
          <w:tcPr>
            <w:tcW w:w="1834" w:type="dxa"/>
          </w:tcPr>
          <w:p w:rsidR="00A02534" w:rsidRPr="00E43670" w:rsidRDefault="00A02534" w:rsidP="00045E43">
            <w:pPr>
              <w:tabs>
                <w:tab w:val="left" w:pos="3285"/>
              </w:tabs>
              <w:ind w:hanging="95"/>
              <w:rPr>
                <w:sz w:val="16"/>
                <w:szCs w:val="16"/>
              </w:rPr>
            </w:pPr>
            <w:r w:rsidRPr="00E43670">
              <w:rPr>
                <w:sz w:val="16"/>
                <w:szCs w:val="16"/>
              </w:rPr>
              <w:t>Forskningsinfrastruktur</w:t>
            </w:r>
          </w:p>
        </w:tc>
        <w:tc>
          <w:tcPr>
            <w:tcW w:w="1274" w:type="dxa"/>
          </w:tcPr>
          <w:p w:rsidR="00A02534" w:rsidRPr="00E43670" w:rsidRDefault="00361DF4" w:rsidP="00045E43">
            <w:pPr>
              <w:tabs>
                <w:tab w:val="left" w:pos="3285"/>
              </w:tabs>
              <w:ind w:hanging="95"/>
              <w:jc w:val="right"/>
              <w:rPr>
                <w:sz w:val="16"/>
                <w:szCs w:val="16"/>
              </w:rPr>
            </w:pPr>
            <w:r w:rsidRPr="00E43670">
              <w:rPr>
                <w:sz w:val="16"/>
                <w:szCs w:val="16"/>
              </w:rPr>
              <w:t>42</w:t>
            </w:r>
          </w:p>
        </w:tc>
        <w:tc>
          <w:tcPr>
            <w:tcW w:w="768" w:type="dxa"/>
          </w:tcPr>
          <w:p w:rsidR="00A02534" w:rsidRPr="00E43670" w:rsidRDefault="00A02534" w:rsidP="00045E43">
            <w:pPr>
              <w:tabs>
                <w:tab w:val="left" w:pos="3285"/>
              </w:tabs>
              <w:ind w:hanging="95"/>
              <w:jc w:val="right"/>
              <w:rPr>
                <w:sz w:val="16"/>
                <w:szCs w:val="16"/>
              </w:rPr>
            </w:pPr>
          </w:p>
        </w:tc>
        <w:tc>
          <w:tcPr>
            <w:tcW w:w="510" w:type="dxa"/>
          </w:tcPr>
          <w:p w:rsidR="00A02534" w:rsidRPr="00E43670" w:rsidRDefault="00A02534" w:rsidP="00045E43">
            <w:pPr>
              <w:tabs>
                <w:tab w:val="left" w:pos="3285"/>
              </w:tabs>
              <w:ind w:hanging="95"/>
              <w:jc w:val="right"/>
              <w:rPr>
                <w:sz w:val="16"/>
                <w:szCs w:val="16"/>
              </w:rPr>
            </w:pPr>
          </w:p>
        </w:tc>
        <w:tc>
          <w:tcPr>
            <w:tcW w:w="696" w:type="dxa"/>
          </w:tcPr>
          <w:p w:rsidR="00A02534" w:rsidRPr="00E43670" w:rsidRDefault="00A02534" w:rsidP="00045E43">
            <w:pPr>
              <w:tabs>
                <w:tab w:val="left" w:pos="3285"/>
              </w:tabs>
              <w:ind w:hanging="95"/>
              <w:jc w:val="right"/>
              <w:rPr>
                <w:sz w:val="16"/>
                <w:szCs w:val="16"/>
              </w:rPr>
            </w:pPr>
          </w:p>
        </w:tc>
        <w:tc>
          <w:tcPr>
            <w:tcW w:w="847" w:type="dxa"/>
          </w:tcPr>
          <w:p w:rsidR="00A02534" w:rsidRPr="00E43670" w:rsidRDefault="00A02534" w:rsidP="00045E43">
            <w:pPr>
              <w:tabs>
                <w:tab w:val="left" w:pos="3285"/>
              </w:tabs>
              <w:ind w:hanging="95"/>
              <w:jc w:val="right"/>
              <w:rPr>
                <w:sz w:val="16"/>
                <w:szCs w:val="16"/>
              </w:rPr>
            </w:pPr>
          </w:p>
        </w:tc>
        <w:tc>
          <w:tcPr>
            <w:tcW w:w="661" w:type="dxa"/>
          </w:tcPr>
          <w:p w:rsidR="00A02534" w:rsidRPr="00E43670" w:rsidRDefault="00A02534" w:rsidP="00045E43">
            <w:pPr>
              <w:tabs>
                <w:tab w:val="left" w:pos="3285"/>
              </w:tabs>
              <w:ind w:hanging="95"/>
              <w:jc w:val="right"/>
              <w:rPr>
                <w:sz w:val="16"/>
                <w:szCs w:val="16"/>
              </w:rPr>
            </w:pPr>
          </w:p>
        </w:tc>
        <w:tc>
          <w:tcPr>
            <w:tcW w:w="643" w:type="dxa"/>
          </w:tcPr>
          <w:p w:rsidR="00A02534" w:rsidRPr="00E43670" w:rsidRDefault="00361DF4" w:rsidP="00045E43">
            <w:pPr>
              <w:tabs>
                <w:tab w:val="left" w:pos="3285"/>
              </w:tabs>
              <w:ind w:hanging="95"/>
              <w:jc w:val="right"/>
              <w:rPr>
                <w:sz w:val="16"/>
                <w:szCs w:val="16"/>
              </w:rPr>
            </w:pPr>
            <w:r w:rsidRPr="00E43670">
              <w:rPr>
                <w:sz w:val="16"/>
                <w:szCs w:val="16"/>
              </w:rPr>
              <w:t>42</w:t>
            </w:r>
          </w:p>
        </w:tc>
      </w:tr>
      <w:tr w:rsidR="00A94DF6" w:rsidRPr="00E43670">
        <w:trPr>
          <w:trHeight w:val="303"/>
        </w:trPr>
        <w:tc>
          <w:tcPr>
            <w:tcW w:w="1834" w:type="dxa"/>
          </w:tcPr>
          <w:p w:rsidR="00384A19" w:rsidRPr="00E43670" w:rsidRDefault="008D00E5" w:rsidP="00045E43">
            <w:pPr>
              <w:tabs>
                <w:tab w:val="left" w:pos="3285"/>
              </w:tabs>
              <w:ind w:hanging="95"/>
              <w:rPr>
                <w:sz w:val="16"/>
                <w:szCs w:val="16"/>
              </w:rPr>
            </w:pPr>
            <w:r w:rsidRPr="00E43670">
              <w:rPr>
                <w:sz w:val="16"/>
                <w:szCs w:val="16"/>
              </w:rPr>
              <w:t>SLBA</w:t>
            </w:r>
          </w:p>
        </w:tc>
        <w:tc>
          <w:tcPr>
            <w:tcW w:w="1274" w:type="dxa"/>
          </w:tcPr>
          <w:p w:rsidR="00384A19" w:rsidRPr="00E43670" w:rsidRDefault="00384A19" w:rsidP="00045E43">
            <w:pPr>
              <w:tabs>
                <w:tab w:val="left" w:pos="3285"/>
              </w:tabs>
              <w:ind w:hanging="95"/>
              <w:jc w:val="right"/>
              <w:rPr>
                <w:sz w:val="16"/>
                <w:szCs w:val="16"/>
              </w:rPr>
            </w:pPr>
          </w:p>
        </w:tc>
        <w:tc>
          <w:tcPr>
            <w:tcW w:w="768" w:type="dxa"/>
          </w:tcPr>
          <w:p w:rsidR="00384A19" w:rsidRPr="00E43670" w:rsidRDefault="00384A19" w:rsidP="00045E43">
            <w:pPr>
              <w:tabs>
                <w:tab w:val="left" w:pos="3285"/>
              </w:tabs>
              <w:ind w:hanging="95"/>
              <w:jc w:val="right"/>
              <w:rPr>
                <w:sz w:val="16"/>
                <w:szCs w:val="16"/>
              </w:rPr>
            </w:pPr>
          </w:p>
        </w:tc>
        <w:tc>
          <w:tcPr>
            <w:tcW w:w="510" w:type="dxa"/>
          </w:tcPr>
          <w:p w:rsidR="00384A19" w:rsidRPr="00E43670" w:rsidRDefault="00384A19" w:rsidP="00045E43">
            <w:pPr>
              <w:tabs>
                <w:tab w:val="left" w:pos="3285"/>
              </w:tabs>
              <w:ind w:hanging="95"/>
              <w:jc w:val="right"/>
              <w:rPr>
                <w:sz w:val="16"/>
                <w:szCs w:val="16"/>
              </w:rPr>
            </w:pPr>
          </w:p>
        </w:tc>
        <w:tc>
          <w:tcPr>
            <w:tcW w:w="696" w:type="dxa"/>
          </w:tcPr>
          <w:p w:rsidR="00384A19" w:rsidRPr="00E43670" w:rsidRDefault="00384A19" w:rsidP="00045E43">
            <w:pPr>
              <w:tabs>
                <w:tab w:val="left" w:pos="3285"/>
              </w:tabs>
              <w:ind w:hanging="95"/>
              <w:jc w:val="right"/>
              <w:rPr>
                <w:sz w:val="16"/>
                <w:szCs w:val="16"/>
              </w:rPr>
            </w:pPr>
          </w:p>
        </w:tc>
        <w:tc>
          <w:tcPr>
            <w:tcW w:w="847" w:type="dxa"/>
          </w:tcPr>
          <w:p w:rsidR="00384A19" w:rsidRPr="00E43670" w:rsidRDefault="00384A19" w:rsidP="00045E43">
            <w:pPr>
              <w:tabs>
                <w:tab w:val="left" w:pos="3285"/>
              </w:tabs>
              <w:ind w:hanging="95"/>
              <w:jc w:val="right"/>
              <w:rPr>
                <w:sz w:val="16"/>
                <w:szCs w:val="16"/>
              </w:rPr>
            </w:pPr>
          </w:p>
        </w:tc>
        <w:tc>
          <w:tcPr>
            <w:tcW w:w="661" w:type="dxa"/>
          </w:tcPr>
          <w:p w:rsidR="00384A19" w:rsidRPr="00E43670" w:rsidRDefault="008D00E5" w:rsidP="00045E43">
            <w:pPr>
              <w:tabs>
                <w:tab w:val="left" w:pos="3285"/>
              </w:tabs>
              <w:ind w:hanging="95"/>
              <w:jc w:val="right"/>
              <w:rPr>
                <w:sz w:val="16"/>
                <w:szCs w:val="16"/>
              </w:rPr>
            </w:pPr>
            <w:r w:rsidRPr="00E43670">
              <w:rPr>
                <w:sz w:val="16"/>
                <w:szCs w:val="16"/>
              </w:rPr>
              <w:t>5+20</w:t>
            </w:r>
            <w:r w:rsidRPr="00E43670">
              <w:rPr>
                <w:rStyle w:val="Fotnotsreferens"/>
                <w:sz w:val="16"/>
                <w:szCs w:val="16"/>
              </w:rPr>
              <w:footnoteReference w:id="3"/>
            </w:r>
          </w:p>
        </w:tc>
        <w:tc>
          <w:tcPr>
            <w:tcW w:w="643" w:type="dxa"/>
          </w:tcPr>
          <w:p w:rsidR="00384A19" w:rsidRPr="00E43670" w:rsidRDefault="00361DF4" w:rsidP="00045E43">
            <w:pPr>
              <w:tabs>
                <w:tab w:val="left" w:pos="3285"/>
              </w:tabs>
              <w:ind w:hanging="95"/>
              <w:jc w:val="right"/>
              <w:rPr>
                <w:sz w:val="16"/>
                <w:szCs w:val="16"/>
              </w:rPr>
            </w:pPr>
            <w:r w:rsidRPr="00E43670">
              <w:rPr>
                <w:sz w:val="16"/>
                <w:szCs w:val="16"/>
              </w:rPr>
              <w:t>5</w:t>
            </w:r>
          </w:p>
        </w:tc>
      </w:tr>
      <w:tr w:rsidR="00A02534" w:rsidRPr="00E43670">
        <w:trPr>
          <w:trHeight w:val="303"/>
        </w:trPr>
        <w:tc>
          <w:tcPr>
            <w:tcW w:w="1834" w:type="dxa"/>
          </w:tcPr>
          <w:p w:rsidR="00A02534" w:rsidRPr="00E43670" w:rsidRDefault="00A02534" w:rsidP="00045E43">
            <w:pPr>
              <w:tabs>
                <w:tab w:val="left" w:pos="3285"/>
              </w:tabs>
              <w:ind w:hanging="95"/>
              <w:rPr>
                <w:sz w:val="16"/>
                <w:szCs w:val="16"/>
              </w:rPr>
            </w:pPr>
            <w:r w:rsidRPr="00E43670">
              <w:rPr>
                <w:sz w:val="16"/>
                <w:szCs w:val="16"/>
              </w:rPr>
              <w:t>Genusforskning</w:t>
            </w:r>
          </w:p>
        </w:tc>
        <w:tc>
          <w:tcPr>
            <w:tcW w:w="1274" w:type="dxa"/>
          </w:tcPr>
          <w:p w:rsidR="00A02534" w:rsidRPr="00E43670" w:rsidRDefault="00A02534" w:rsidP="00045E43">
            <w:pPr>
              <w:tabs>
                <w:tab w:val="left" w:pos="3285"/>
              </w:tabs>
              <w:ind w:hanging="95"/>
              <w:jc w:val="right"/>
              <w:rPr>
                <w:sz w:val="16"/>
                <w:szCs w:val="16"/>
              </w:rPr>
            </w:pPr>
            <w:r w:rsidRPr="00E43670">
              <w:rPr>
                <w:sz w:val="16"/>
                <w:szCs w:val="16"/>
              </w:rPr>
              <w:t>12</w:t>
            </w:r>
          </w:p>
        </w:tc>
        <w:tc>
          <w:tcPr>
            <w:tcW w:w="768" w:type="dxa"/>
          </w:tcPr>
          <w:p w:rsidR="00A02534" w:rsidRPr="00E43670" w:rsidRDefault="00A02534" w:rsidP="00045E43">
            <w:pPr>
              <w:tabs>
                <w:tab w:val="left" w:pos="3285"/>
              </w:tabs>
              <w:ind w:hanging="95"/>
              <w:jc w:val="right"/>
              <w:rPr>
                <w:sz w:val="16"/>
                <w:szCs w:val="16"/>
              </w:rPr>
            </w:pPr>
          </w:p>
        </w:tc>
        <w:tc>
          <w:tcPr>
            <w:tcW w:w="510" w:type="dxa"/>
          </w:tcPr>
          <w:p w:rsidR="00A02534" w:rsidRPr="00E43670" w:rsidRDefault="00A02534" w:rsidP="00045E43">
            <w:pPr>
              <w:tabs>
                <w:tab w:val="left" w:pos="3285"/>
              </w:tabs>
              <w:ind w:hanging="95"/>
              <w:jc w:val="right"/>
              <w:rPr>
                <w:sz w:val="16"/>
                <w:szCs w:val="16"/>
              </w:rPr>
            </w:pPr>
          </w:p>
        </w:tc>
        <w:tc>
          <w:tcPr>
            <w:tcW w:w="696" w:type="dxa"/>
          </w:tcPr>
          <w:p w:rsidR="00A02534" w:rsidRPr="00E43670" w:rsidRDefault="00A02534" w:rsidP="00045E43">
            <w:pPr>
              <w:tabs>
                <w:tab w:val="left" w:pos="3285"/>
              </w:tabs>
              <w:ind w:hanging="95"/>
              <w:jc w:val="right"/>
              <w:rPr>
                <w:sz w:val="16"/>
                <w:szCs w:val="16"/>
              </w:rPr>
            </w:pPr>
          </w:p>
        </w:tc>
        <w:tc>
          <w:tcPr>
            <w:tcW w:w="847" w:type="dxa"/>
          </w:tcPr>
          <w:p w:rsidR="00A02534" w:rsidRPr="00E43670" w:rsidRDefault="00A02534" w:rsidP="00045E43">
            <w:pPr>
              <w:tabs>
                <w:tab w:val="left" w:pos="3285"/>
              </w:tabs>
              <w:ind w:hanging="95"/>
              <w:jc w:val="right"/>
              <w:rPr>
                <w:sz w:val="16"/>
                <w:szCs w:val="16"/>
              </w:rPr>
            </w:pPr>
            <w:r w:rsidRPr="00E43670">
              <w:rPr>
                <w:sz w:val="16"/>
                <w:szCs w:val="16"/>
              </w:rPr>
              <w:t>1</w:t>
            </w:r>
            <w:r w:rsidRPr="00E43670">
              <w:rPr>
                <w:rStyle w:val="Fotnotsreferens"/>
                <w:sz w:val="16"/>
                <w:szCs w:val="16"/>
              </w:rPr>
              <w:footnoteReference w:id="4"/>
            </w:r>
          </w:p>
        </w:tc>
        <w:tc>
          <w:tcPr>
            <w:tcW w:w="661" w:type="dxa"/>
          </w:tcPr>
          <w:p w:rsidR="00A02534" w:rsidRPr="00E43670" w:rsidRDefault="00A02534" w:rsidP="00045E43">
            <w:pPr>
              <w:tabs>
                <w:tab w:val="left" w:pos="3285"/>
              </w:tabs>
              <w:ind w:hanging="95"/>
              <w:jc w:val="right"/>
              <w:rPr>
                <w:sz w:val="16"/>
                <w:szCs w:val="16"/>
              </w:rPr>
            </w:pPr>
          </w:p>
        </w:tc>
        <w:tc>
          <w:tcPr>
            <w:tcW w:w="643" w:type="dxa"/>
          </w:tcPr>
          <w:p w:rsidR="00A02534" w:rsidRPr="00E43670" w:rsidRDefault="00761F8B" w:rsidP="00045E43">
            <w:pPr>
              <w:tabs>
                <w:tab w:val="left" w:pos="3285"/>
              </w:tabs>
              <w:ind w:hanging="95"/>
              <w:jc w:val="right"/>
              <w:rPr>
                <w:sz w:val="16"/>
                <w:szCs w:val="16"/>
              </w:rPr>
            </w:pPr>
            <w:r w:rsidRPr="00E43670">
              <w:rPr>
                <w:sz w:val="16"/>
                <w:szCs w:val="16"/>
              </w:rPr>
              <w:t>13</w:t>
            </w:r>
          </w:p>
        </w:tc>
      </w:tr>
      <w:tr w:rsidR="00A94DF6" w:rsidRPr="00E43670">
        <w:trPr>
          <w:trHeight w:val="318"/>
        </w:trPr>
        <w:tc>
          <w:tcPr>
            <w:tcW w:w="1834" w:type="dxa"/>
          </w:tcPr>
          <w:p w:rsidR="00384A19" w:rsidRPr="00E43670" w:rsidRDefault="008D00E5" w:rsidP="00045E43">
            <w:pPr>
              <w:tabs>
                <w:tab w:val="left" w:pos="3285"/>
              </w:tabs>
              <w:ind w:hanging="95"/>
              <w:rPr>
                <w:sz w:val="16"/>
                <w:szCs w:val="16"/>
              </w:rPr>
            </w:pPr>
            <w:r w:rsidRPr="00E43670">
              <w:rPr>
                <w:sz w:val="16"/>
                <w:szCs w:val="16"/>
              </w:rPr>
              <w:t>Utbildningsvetenskap</w:t>
            </w:r>
          </w:p>
        </w:tc>
        <w:tc>
          <w:tcPr>
            <w:tcW w:w="1274" w:type="dxa"/>
          </w:tcPr>
          <w:p w:rsidR="00384A19" w:rsidRPr="00E43670" w:rsidRDefault="008D00E5" w:rsidP="00045E43">
            <w:pPr>
              <w:tabs>
                <w:tab w:val="left" w:pos="3285"/>
              </w:tabs>
              <w:ind w:hanging="95"/>
              <w:jc w:val="right"/>
              <w:rPr>
                <w:sz w:val="16"/>
                <w:szCs w:val="16"/>
              </w:rPr>
            </w:pPr>
            <w:r w:rsidRPr="00E43670">
              <w:rPr>
                <w:sz w:val="16"/>
                <w:szCs w:val="16"/>
              </w:rPr>
              <w:t>10</w:t>
            </w:r>
          </w:p>
        </w:tc>
        <w:tc>
          <w:tcPr>
            <w:tcW w:w="768" w:type="dxa"/>
          </w:tcPr>
          <w:p w:rsidR="00384A19" w:rsidRPr="00E43670" w:rsidRDefault="00384A19" w:rsidP="00045E43">
            <w:pPr>
              <w:tabs>
                <w:tab w:val="left" w:pos="3285"/>
              </w:tabs>
              <w:ind w:hanging="95"/>
              <w:jc w:val="right"/>
              <w:rPr>
                <w:sz w:val="16"/>
                <w:szCs w:val="16"/>
              </w:rPr>
            </w:pPr>
          </w:p>
        </w:tc>
        <w:tc>
          <w:tcPr>
            <w:tcW w:w="510" w:type="dxa"/>
          </w:tcPr>
          <w:p w:rsidR="00384A19" w:rsidRPr="00E43670" w:rsidRDefault="00384A19" w:rsidP="00045E43">
            <w:pPr>
              <w:tabs>
                <w:tab w:val="left" w:pos="3285"/>
              </w:tabs>
              <w:ind w:hanging="95"/>
              <w:jc w:val="right"/>
              <w:rPr>
                <w:sz w:val="16"/>
                <w:szCs w:val="16"/>
              </w:rPr>
            </w:pPr>
          </w:p>
        </w:tc>
        <w:tc>
          <w:tcPr>
            <w:tcW w:w="696" w:type="dxa"/>
          </w:tcPr>
          <w:p w:rsidR="00384A19" w:rsidRPr="00E43670" w:rsidRDefault="00384A19" w:rsidP="00045E43">
            <w:pPr>
              <w:tabs>
                <w:tab w:val="left" w:pos="3285"/>
              </w:tabs>
              <w:ind w:hanging="95"/>
              <w:jc w:val="right"/>
              <w:rPr>
                <w:sz w:val="16"/>
                <w:szCs w:val="16"/>
              </w:rPr>
            </w:pPr>
          </w:p>
        </w:tc>
        <w:tc>
          <w:tcPr>
            <w:tcW w:w="847" w:type="dxa"/>
          </w:tcPr>
          <w:p w:rsidR="00384A19" w:rsidRPr="00E43670" w:rsidRDefault="00384A19" w:rsidP="00045E43">
            <w:pPr>
              <w:tabs>
                <w:tab w:val="left" w:pos="3285"/>
              </w:tabs>
              <w:ind w:hanging="95"/>
              <w:jc w:val="right"/>
              <w:rPr>
                <w:sz w:val="16"/>
                <w:szCs w:val="16"/>
              </w:rPr>
            </w:pPr>
          </w:p>
        </w:tc>
        <w:tc>
          <w:tcPr>
            <w:tcW w:w="661" w:type="dxa"/>
          </w:tcPr>
          <w:p w:rsidR="00384A19" w:rsidRPr="00E43670" w:rsidRDefault="00384A19" w:rsidP="00045E43">
            <w:pPr>
              <w:tabs>
                <w:tab w:val="left" w:pos="3285"/>
              </w:tabs>
              <w:ind w:hanging="95"/>
              <w:jc w:val="right"/>
              <w:rPr>
                <w:sz w:val="16"/>
                <w:szCs w:val="16"/>
              </w:rPr>
            </w:pPr>
          </w:p>
        </w:tc>
        <w:tc>
          <w:tcPr>
            <w:tcW w:w="643" w:type="dxa"/>
          </w:tcPr>
          <w:p w:rsidR="00384A19" w:rsidRPr="00E43670" w:rsidRDefault="008D00E5" w:rsidP="00045E43">
            <w:pPr>
              <w:tabs>
                <w:tab w:val="left" w:pos="3285"/>
              </w:tabs>
              <w:ind w:hanging="95"/>
              <w:jc w:val="right"/>
              <w:rPr>
                <w:sz w:val="16"/>
                <w:szCs w:val="16"/>
              </w:rPr>
            </w:pPr>
            <w:r w:rsidRPr="00E43670">
              <w:rPr>
                <w:sz w:val="16"/>
                <w:szCs w:val="16"/>
              </w:rPr>
              <w:t>10</w:t>
            </w:r>
          </w:p>
        </w:tc>
      </w:tr>
      <w:tr w:rsidR="00A94DF6" w:rsidRPr="00E43670">
        <w:trPr>
          <w:cnfStyle w:val="010000000000" w:firstRow="0" w:lastRow="1" w:firstColumn="0" w:lastColumn="0" w:oddVBand="0" w:evenVBand="0" w:oddHBand="0" w:evenHBand="0" w:firstRowFirstColumn="0" w:firstRowLastColumn="0" w:lastRowFirstColumn="0" w:lastRowLastColumn="0"/>
          <w:trHeight w:val="303"/>
        </w:trPr>
        <w:tc>
          <w:tcPr>
            <w:tcW w:w="1834" w:type="dxa"/>
          </w:tcPr>
          <w:p w:rsidR="003A5A8D" w:rsidRPr="00E43670" w:rsidRDefault="003A5A8D" w:rsidP="00045E43">
            <w:pPr>
              <w:pStyle w:val="Normaltindrag"/>
              <w:ind w:hanging="95"/>
              <w:rPr>
                <w:b/>
                <w:sz w:val="16"/>
                <w:szCs w:val="16"/>
              </w:rPr>
            </w:pPr>
            <w:r w:rsidRPr="00E43670">
              <w:rPr>
                <w:b/>
                <w:sz w:val="16"/>
                <w:szCs w:val="16"/>
              </w:rPr>
              <w:t>Totalt</w:t>
            </w:r>
          </w:p>
        </w:tc>
        <w:tc>
          <w:tcPr>
            <w:tcW w:w="1274" w:type="dxa"/>
          </w:tcPr>
          <w:p w:rsidR="003A5A8D" w:rsidRPr="00E43670" w:rsidRDefault="003A5A8D" w:rsidP="00045E43">
            <w:pPr>
              <w:tabs>
                <w:tab w:val="left" w:pos="3285"/>
              </w:tabs>
              <w:ind w:hanging="95"/>
              <w:jc w:val="right"/>
              <w:rPr>
                <w:sz w:val="16"/>
                <w:szCs w:val="16"/>
              </w:rPr>
            </w:pPr>
            <w:r w:rsidRPr="00E43670">
              <w:rPr>
                <w:sz w:val="16"/>
                <w:szCs w:val="16"/>
              </w:rPr>
              <w:t>1 009</w:t>
            </w:r>
          </w:p>
        </w:tc>
        <w:tc>
          <w:tcPr>
            <w:tcW w:w="768" w:type="dxa"/>
          </w:tcPr>
          <w:p w:rsidR="003A5A8D" w:rsidRPr="00E43670" w:rsidRDefault="003A5A8D" w:rsidP="00045E43">
            <w:pPr>
              <w:tabs>
                <w:tab w:val="left" w:pos="3285"/>
              </w:tabs>
              <w:ind w:hanging="95"/>
              <w:jc w:val="right"/>
              <w:rPr>
                <w:sz w:val="16"/>
                <w:szCs w:val="16"/>
              </w:rPr>
            </w:pPr>
            <w:r w:rsidRPr="00E43670">
              <w:rPr>
                <w:sz w:val="16"/>
                <w:szCs w:val="16"/>
              </w:rPr>
              <w:t>575</w:t>
            </w:r>
          </w:p>
        </w:tc>
        <w:tc>
          <w:tcPr>
            <w:tcW w:w="510" w:type="dxa"/>
          </w:tcPr>
          <w:p w:rsidR="003A5A8D" w:rsidRPr="00E43670" w:rsidRDefault="003A5A8D" w:rsidP="00045E43">
            <w:pPr>
              <w:tabs>
                <w:tab w:val="left" w:pos="3285"/>
              </w:tabs>
              <w:ind w:hanging="95"/>
              <w:jc w:val="right"/>
              <w:rPr>
                <w:sz w:val="16"/>
                <w:szCs w:val="16"/>
              </w:rPr>
            </w:pPr>
            <w:r w:rsidRPr="00E43670">
              <w:rPr>
                <w:sz w:val="16"/>
                <w:szCs w:val="16"/>
              </w:rPr>
              <w:t>40</w:t>
            </w:r>
          </w:p>
        </w:tc>
        <w:tc>
          <w:tcPr>
            <w:tcW w:w="696" w:type="dxa"/>
          </w:tcPr>
          <w:p w:rsidR="003A5A8D" w:rsidRPr="00E43670" w:rsidRDefault="003A5A8D" w:rsidP="00045E43">
            <w:pPr>
              <w:tabs>
                <w:tab w:val="left" w:pos="3285"/>
              </w:tabs>
              <w:ind w:hanging="95"/>
              <w:jc w:val="right"/>
              <w:rPr>
                <w:sz w:val="16"/>
                <w:szCs w:val="16"/>
              </w:rPr>
            </w:pPr>
            <w:r w:rsidRPr="00E43670">
              <w:rPr>
                <w:sz w:val="16"/>
                <w:szCs w:val="16"/>
              </w:rPr>
              <w:t>180</w:t>
            </w:r>
          </w:p>
        </w:tc>
        <w:tc>
          <w:tcPr>
            <w:tcW w:w="847" w:type="dxa"/>
          </w:tcPr>
          <w:p w:rsidR="003A5A8D" w:rsidRPr="00E43670" w:rsidRDefault="003A5A8D" w:rsidP="00045E43">
            <w:pPr>
              <w:tabs>
                <w:tab w:val="left" w:pos="3285"/>
              </w:tabs>
              <w:ind w:hanging="95"/>
              <w:jc w:val="right"/>
              <w:rPr>
                <w:sz w:val="16"/>
                <w:szCs w:val="16"/>
              </w:rPr>
            </w:pPr>
            <w:r w:rsidRPr="00E43670">
              <w:rPr>
                <w:sz w:val="16"/>
                <w:szCs w:val="16"/>
              </w:rPr>
              <w:t>521</w:t>
            </w:r>
          </w:p>
        </w:tc>
        <w:tc>
          <w:tcPr>
            <w:tcW w:w="661" w:type="dxa"/>
          </w:tcPr>
          <w:p w:rsidR="003A5A8D" w:rsidRPr="00E43670" w:rsidRDefault="003A5A8D" w:rsidP="00045E43">
            <w:pPr>
              <w:tabs>
                <w:tab w:val="left" w:pos="3285"/>
              </w:tabs>
              <w:ind w:hanging="95"/>
              <w:jc w:val="right"/>
              <w:rPr>
                <w:sz w:val="16"/>
                <w:szCs w:val="16"/>
              </w:rPr>
            </w:pPr>
            <w:r w:rsidRPr="00E43670">
              <w:rPr>
                <w:sz w:val="16"/>
                <w:szCs w:val="16"/>
              </w:rPr>
              <w:t>15</w:t>
            </w:r>
            <w:r w:rsidR="00464194" w:rsidRPr="00E43670">
              <w:rPr>
                <w:rStyle w:val="Fotnotsreferens"/>
                <w:sz w:val="16"/>
                <w:szCs w:val="16"/>
              </w:rPr>
              <w:footnoteReference w:id="5"/>
            </w:r>
          </w:p>
        </w:tc>
        <w:tc>
          <w:tcPr>
            <w:tcW w:w="643" w:type="dxa"/>
          </w:tcPr>
          <w:p w:rsidR="003A5A8D" w:rsidRPr="00E43670" w:rsidRDefault="00361DF4" w:rsidP="00045E43">
            <w:pPr>
              <w:tabs>
                <w:tab w:val="left" w:pos="3285"/>
              </w:tabs>
              <w:ind w:hanging="95"/>
              <w:jc w:val="right"/>
              <w:rPr>
                <w:sz w:val="16"/>
                <w:szCs w:val="16"/>
              </w:rPr>
            </w:pPr>
            <w:r w:rsidRPr="00E43670">
              <w:rPr>
                <w:sz w:val="16"/>
                <w:szCs w:val="16"/>
              </w:rPr>
              <w:t>2 340</w:t>
            </w:r>
            <w:r w:rsidR="003445C4" w:rsidRPr="00E43670">
              <w:rPr>
                <w:rStyle w:val="Fotnotsreferens"/>
                <w:sz w:val="16"/>
                <w:szCs w:val="16"/>
              </w:rPr>
              <w:footnoteReference w:id="6"/>
            </w:r>
          </w:p>
        </w:tc>
      </w:tr>
    </w:tbl>
    <w:p w:rsidR="000341D2" w:rsidRPr="00E43670" w:rsidRDefault="000341D2" w:rsidP="000341D2">
      <w:pPr>
        <w:pStyle w:val="Normaltindrag"/>
      </w:pPr>
    </w:p>
    <w:p w:rsidR="00056051" w:rsidRPr="00E43670" w:rsidRDefault="00056051" w:rsidP="000F5B97">
      <w:pPr>
        <w:pStyle w:val="R2"/>
      </w:pPr>
    </w:p>
    <w:p w:rsidR="004B42D6" w:rsidRPr="00E43670" w:rsidRDefault="004B42D6" w:rsidP="004B42D6"/>
    <w:p w:rsidR="004B42D6" w:rsidRPr="00E43670" w:rsidRDefault="004B42D6" w:rsidP="004B42D6">
      <w:pPr>
        <w:pStyle w:val="Normaltindrag"/>
      </w:pPr>
    </w:p>
    <w:p w:rsidR="00056051" w:rsidRPr="00E43670" w:rsidRDefault="00056051" w:rsidP="00056051">
      <w:r w:rsidRPr="00E43670">
        <w:t>Tabell 2 Anslagsökningar för Vinnova och Rymdstyrelsen fördelade på i</w:t>
      </w:r>
      <w:r w:rsidRPr="00E43670">
        <w:t>n</w:t>
      </w:r>
      <w:r w:rsidRPr="00E43670">
        <w:t xml:space="preserve">satsområden och åren 2005–2008 </w:t>
      </w:r>
    </w:p>
    <w:p w:rsidR="00056051" w:rsidRPr="00E43670" w:rsidRDefault="00056051" w:rsidP="00056051">
      <w:pPr>
        <w:pStyle w:val="Normaltindrag"/>
      </w:pPr>
    </w:p>
    <w:tbl>
      <w:tblPr>
        <w:tblStyle w:val="Enkeltabell1"/>
        <w:tblW w:w="5929" w:type="dxa"/>
        <w:tblLook w:val="01E0" w:firstRow="1" w:lastRow="1" w:firstColumn="1" w:lastColumn="1" w:noHBand="0" w:noVBand="0"/>
      </w:tblPr>
      <w:tblGrid>
        <w:gridCol w:w="1913"/>
        <w:gridCol w:w="855"/>
        <w:gridCol w:w="760"/>
        <w:gridCol w:w="866"/>
        <w:gridCol w:w="693"/>
        <w:gridCol w:w="842"/>
      </w:tblGrid>
      <w:tr w:rsidR="00056051" w:rsidRPr="00E43670">
        <w:trPr>
          <w:cnfStyle w:val="100000000000" w:firstRow="1" w:lastRow="0" w:firstColumn="0" w:lastColumn="0" w:oddVBand="0" w:evenVBand="0" w:oddHBand="0" w:evenHBand="0" w:firstRowFirstColumn="0" w:firstRowLastColumn="0" w:lastRowFirstColumn="0" w:lastRowLastColumn="0"/>
          <w:trHeight w:val="318"/>
        </w:trPr>
        <w:tc>
          <w:tcPr>
            <w:tcW w:w="1913" w:type="dxa"/>
          </w:tcPr>
          <w:p w:rsidR="00056051" w:rsidRPr="00E43670" w:rsidRDefault="009768B9" w:rsidP="00462023">
            <w:pPr>
              <w:tabs>
                <w:tab w:val="left" w:pos="3285"/>
              </w:tabs>
              <w:rPr>
                <w:sz w:val="16"/>
                <w:szCs w:val="16"/>
              </w:rPr>
            </w:pPr>
            <w:r w:rsidRPr="00E43670">
              <w:rPr>
                <w:sz w:val="16"/>
                <w:szCs w:val="16"/>
              </w:rPr>
              <w:t>(M</w:t>
            </w:r>
            <w:r w:rsidR="00056051" w:rsidRPr="00E43670">
              <w:rPr>
                <w:sz w:val="16"/>
                <w:szCs w:val="16"/>
              </w:rPr>
              <w:t>iljoner kronor)</w:t>
            </w:r>
          </w:p>
        </w:tc>
        <w:tc>
          <w:tcPr>
            <w:tcW w:w="855" w:type="dxa"/>
          </w:tcPr>
          <w:p w:rsidR="00056051" w:rsidRPr="00E43670" w:rsidRDefault="00056051" w:rsidP="00462023">
            <w:pPr>
              <w:tabs>
                <w:tab w:val="left" w:pos="3285"/>
              </w:tabs>
              <w:jc w:val="right"/>
              <w:rPr>
                <w:sz w:val="16"/>
                <w:szCs w:val="16"/>
              </w:rPr>
            </w:pPr>
            <w:r w:rsidRPr="00E43670">
              <w:rPr>
                <w:sz w:val="16"/>
                <w:szCs w:val="16"/>
              </w:rPr>
              <w:t>2005</w:t>
            </w:r>
          </w:p>
        </w:tc>
        <w:tc>
          <w:tcPr>
            <w:tcW w:w="760" w:type="dxa"/>
          </w:tcPr>
          <w:p w:rsidR="00056051" w:rsidRPr="00E43670" w:rsidRDefault="00056051" w:rsidP="00462023">
            <w:pPr>
              <w:tabs>
                <w:tab w:val="left" w:pos="3285"/>
              </w:tabs>
              <w:jc w:val="right"/>
              <w:rPr>
                <w:sz w:val="16"/>
                <w:szCs w:val="16"/>
              </w:rPr>
            </w:pPr>
            <w:r w:rsidRPr="00E43670">
              <w:rPr>
                <w:sz w:val="16"/>
                <w:szCs w:val="16"/>
              </w:rPr>
              <w:t>2006</w:t>
            </w:r>
          </w:p>
        </w:tc>
        <w:tc>
          <w:tcPr>
            <w:tcW w:w="866" w:type="dxa"/>
          </w:tcPr>
          <w:p w:rsidR="00056051" w:rsidRPr="00E43670" w:rsidRDefault="00056051" w:rsidP="00462023">
            <w:pPr>
              <w:tabs>
                <w:tab w:val="left" w:pos="3285"/>
              </w:tabs>
              <w:jc w:val="right"/>
              <w:rPr>
                <w:sz w:val="16"/>
                <w:szCs w:val="16"/>
              </w:rPr>
            </w:pPr>
            <w:r w:rsidRPr="00E43670">
              <w:rPr>
                <w:sz w:val="16"/>
                <w:szCs w:val="16"/>
              </w:rPr>
              <w:t>2007</w:t>
            </w:r>
          </w:p>
        </w:tc>
        <w:tc>
          <w:tcPr>
            <w:tcW w:w="693" w:type="dxa"/>
          </w:tcPr>
          <w:p w:rsidR="00056051" w:rsidRPr="00E43670" w:rsidRDefault="00056051" w:rsidP="00462023">
            <w:pPr>
              <w:tabs>
                <w:tab w:val="left" w:pos="3285"/>
              </w:tabs>
              <w:jc w:val="right"/>
              <w:rPr>
                <w:sz w:val="16"/>
                <w:szCs w:val="16"/>
              </w:rPr>
            </w:pPr>
            <w:r w:rsidRPr="00E43670">
              <w:rPr>
                <w:sz w:val="16"/>
                <w:szCs w:val="16"/>
              </w:rPr>
              <w:t>2008</w:t>
            </w:r>
          </w:p>
        </w:tc>
        <w:tc>
          <w:tcPr>
            <w:tcW w:w="842" w:type="dxa"/>
          </w:tcPr>
          <w:p w:rsidR="00056051" w:rsidRPr="00E43670" w:rsidRDefault="00056051" w:rsidP="00462023">
            <w:pPr>
              <w:tabs>
                <w:tab w:val="left" w:pos="3285"/>
              </w:tabs>
              <w:jc w:val="right"/>
              <w:rPr>
                <w:sz w:val="16"/>
                <w:szCs w:val="16"/>
              </w:rPr>
            </w:pPr>
            <w:r w:rsidRPr="00E43670">
              <w:rPr>
                <w:sz w:val="16"/>
                <w:szCs w:val="16"/>
              </w:rPr>
              <w:t>Totalt</w:t>
            </w:r>
          </w:p>
        </w:tc>
      </w:tr>
      <w:tr w:rsidR="00056051" w:rsidRPr="00E43670">
        <w:trPr>
          <w:trHeight w:val="318"/>
        </w:trPr>
        <w:tc>
          <w:tcPr>
            <w:tcW w:w="1913" w:type="dxa"/>
          </w:tcPr>
          <w:p w:rsidR="00056051" w:rsidRPr="00E43670" w:rsidRDefault="00056051" w:rsidP="00462023">
            <w:pPr>
              <w:tabs>
                <w:tab w:val="left" w:pos="3285"/>
              </w:tabs>
              <w:rPr>
                <w:b/>
                <w:sz w:val="16"/>
                <w:szCs w:val="16"/>
              </w:rPr>
            </w:pPr>
            <w:r w:rsidRPr="00E43670">
              <w:rPr>
                <w:b/>
                <w:sz w:val="16"/>
                <w:szCs w:val="16"/>
              </w:rPr>
              <w:t>Vinnova</w:t>
            </w:r>
          </w:p>
        </w:tc>
        <w:tc>
          <w:tcPr>
            <w:tcW w:w="855" w:type="dxa"/>
          </w:tcPr>
          <w:p w:rsidR="00056051" w:rsidRPr="00E43670" w:rsidRDefault="00056051" w:rsidP="00462023">
            <w:pPr>
              <w:tabs>
                <w:tab w:val="left" w:pos="3285"/>
              </w:tabs>
              <w:jc w:val="right"/>
              <w:rPr>
                <w:sz w:val="16"/>
                <w:szCs w:val="16"/>
              </w:rPr>
            </w:pPr>
          </w:p>
        </w:tc>
        <w:tc>
          <w:tcPr>
            <w:tcW w:w="760" w:type="dxa"/>
          </w:tcPr>
          <w:p w:rsidR="00056051" w:rsidRPr="00E43670" w:rsidRDefault="00056051" w:rsidP="00462023">
            <w:pPr>
              <w:tabs>
                <w:tab w:val="left" w:pos="3285"/>
              </w:tabs>
              <w:jc w:val="right"/>
              <w:rPr>
                <w:sz w:val="16"/>
                <w:szCs w:val="16"/>
              </w:rPr>
            </w:pPr>
          </w:p>
        </w:tc>
        <w:tc>
          <w:tcPr>
            <w:tcW w:w="866" w:type="dxa"/>
          </w:tcPr>
          <w:p w:rsidR="00056051" w:rsidRPr="00E43670" w:rsidRDefault="00056051" w:rsidP="00462023">
            <w:pPr>
              <w:tabs>
                <w:tab w:val="left" w:pos="3285"/>
              </w:tabs>
              <w:jc w:val="right"/>
              <w:rPr>
                <w:sz w:val="16"/>
                <w:szCs w:val="16"/>
              </w:rPr>
            </w:pPr>
          </w:p>
        </w:tc>
        <w:tc>
          <w:tcPr>
            <w:tcW w:w="693" w:type="dxa"/>
          </w:tcPr>
          <w:p w:rsidR="00056051" w:rsidRPr="00E43670" w:rsidRDefault="00056051" w:rsidP="00462023">
            <w:pPr>
              <w:tabs>
                <w:tab w:val="left" w:pos="3285"/>
              </w:tabs>
              <w:jc w:val="right"/>
              <w:rPr>
                <w:sz w:val="16"/>
                <w:szCs w:val="16"/>
              </w:rPr>
            </w:pPr>
          </w:p>
        </w:tc>
        <w:tc>
          <w:tcPr>
            <w:tcW w:w="842" w:type="dxa"/>
          </w:tcPr>
          <w:p w:rsidR="00056051" w:rsidRPr="00E43670" w:rsidRDefault="00056051" w:rsidP="00462023">
            <w:pPr>
              <w:tabs>
                <w:tab w:val="left" w:pos="3285"/>
              </w:tabs>
              <w:jc w:val="right"/>
              <w:rPr>
                <w:sz w:val="16"/>
                <w:szCs w:val="16"/>
              </w:rPr>
            </w:pPr>
          </w:p>
        </w:tc>
      </w:tr>
      <w:tr w:rsidR="00056051" w:rsidRPr="00E43670">
        <w:trPr>
          <w:trHeight w:val="318"/>
        </w:trPr>
        <w:tc>
          <w:tcPr>
            <w:tcW w:w="1913" w:type="dxa"/>
          </w:tcPr>
          <w:p w:rsidR="00056051" w:rsidRPr="00E43670" w:rsidRDefault="00056051" w:rsidP="00462023">
            <w:pPr>
              <w:tabs>
                <w:tab w:val="left" w:pos="3285"/>
              </w:tabs>
              <w:rPr>
                <w:sz w:val="16"/>
                <w:szCs w:val="16"/>
              </w:rPr>
            </w:pPr>
            <w:r w:rsidRPr="00E43670">
              <w:rPr>
                <w:sz w:val="16"/>
                <w:szCs w:val="16"/>
              </w:rPr>
              <w:t>Starka forskningsmiljöer</w:t>
            </w:r>
          </w:p>
        </w:tc>
        <w:tc>
          <w:tcPr>
            <w:tcW w:w="855" w:type="dxa"/>
          </w:tcPr>
          <w:p w:rsidR="00056051" w:rsidRPr="00E43670" w:rsidRDefault="00056051" w:rsidP="00462023">
            <w:pPr>
              <w:tabs>
                <w:tab w:val="left" w:pos="3285"/>
              </w:tabs>
              <w:jc w:val="right"/>
              <w:rPr>
                <w:sz w:val="16"/>
                <w:szCs w:val="16"/>
              </w:rPr>
            </w:pPr>
          </w:p>
        </w:tc>
        <w:tc>
          <w:tcPr>
            <w:tcW w:w="760" w:type="dxa"/>
          </w:tcPr>
          <w:p w:rsidR="00056051" w:rsidRPr="00E43670" w:rsidRDefault="00462023" w:rsidP="00462023">
            <w:pPr>
              <w:tabs>
                <w:tab w:val="left" w:pos="3285"/>
              </w:tabs>
              <w:jc w:val="right"/>
              <w:rPr>
                <w:sz w:val="16"/>
                <w:szCs w:val="16"/>
              </w:rPr>
            </w:pPr>
            <w:r w:rsidRPr="00E43670">
              <w:rPr>
                <w:sz w:val="16"/>
                <w:szCs w:val="16"/>
              </w:rPr>
              <w:t>15</w:t>
            </w:r>
          </w:p>
        </w:tc>
        <w:tc>
          <w:tcPr>
            <w:tcW w:w="866" w:type="dxa"/>
          </w:tcPr>
          <w:p w:rsidR="00056051" w:rsidRPr="00E43670" w:rsidRDefault="00462023" w:rsidP="00462023">
            <w:pPr>
              <w:tabs>
                <w:tab w:val="left" w:pos="3285"/>
              </w:tabs>
              <w:jc w:val="right"/>
              <w:rPr>
                <w:sz w:val="16"/>
                <w:szCs w:val="16"/>
              </w:rPr>
            </w:pPr>
            <w:r w:rsidRPr="00E43670">
              <w:rPr>
                <w:sz w:val="16"/>
                <w:szCs w:val="16"/>
              </w:rPr>
              <w:t>20</w:t>
            </w:r>
          </w:p>
        </w:tc>
        <w:tc>
          <w:tcPr>
            <w:tcW w:w="693" w:type="dxa"/>
          </w:tcPr>
          <w:p w:rsidR="00056051" w:rsidRPr="00E43670" w:rsidRDefault="00462023" w:rsidP="00462023">
            <w:pPr>
              <w:tabs>
                <w:tab w:val="left" w:pos="3285"/>
              </w:tabs>
              <w:jc w:val="right"/>
              <w:rPr>
                <w:sz w:val="16"/>
                <w:szCs w:val="16"/>
              </w:rPr>
            </w:pPr>
            <w:r w:rsidRPr="00E43670">
              <w:rPr>
                <w:sz w:val="16"/>
                <w:szCs w:val="16"/>
              </w:rPr>
              <w:t>25</w:t>
            </w:r>
          </w:p>
        </w:tc>
        <w:tc>
          <w:tcPr>
            <w:tcW w:w="842" w:type="dxa"/>
          </w:tcPr>
          <w:p w:rsidR="00056051" w:rsidRPr="00E43670" w:rsidRDefault="00462023" w:rsidP="00462023">
            <w:pPr>
              <w:tabs>
                <w:tab w:val="left" w:pos="3285"/>
              </w:tabs>
              <w:jc w:val="right"/>
              <w:rPr>
                <w:sz w:val="16"/>
                <w:szCs w:val="16"/>
              </w:rPr>
            </w:pPr>
            <w:r w:rsidRPr="00E43670">
              <w:rPr>
                <w:sz w:val="16"/>
                <w:szCs w:val="16"/>
              </w:rPr>
              <w:t>60</w:t>
            </w:r>
          </w:p>
        </w:tc>
      </w:tr>
      <w:tr w:rsidR="00056051" w:rsidRPr="00E43670">
        <w:trPr>
          <w:trHeight w:val="318"/>
        </w:trPr>
        <w:tc>
          <w:tcPr>
            <w:tcW w:w="1913" w:type="dxa"/>
          </w:tcPr>
          <w:p w:rsidR="00056051" w:rsidRPr="00E43670" w:rsidRDefault="00056051" w:rsidP="00462023">
            <w:pPr>
              <w:tabs>
                <w:tab w:val="left" w:pos="3285"/>
              </w:tabs>
              <w:rPr>
                <w:sz w:val="16"/>
                <w:szCs w:val="16"/>
              </w:rPr>
            </w:pPr>
            <w:r w:rsidRPr="00E43670">
              <w:rPr>
                <w:sz w:val="16"/>
                <w:szCs w:val="16"/>
              </w:rPr>
              <w:t>Prioriterade omr</w:t>
            </w:r>
            <w:r w:rsidRPr="00E43670">
              <w:rPr>
                <w:sz w:val="16"/>
                <w:szCs w:val="16"/>
              </w:rPr>
              <w:t>å</w:t>
            </w:r>
            <w:r w:rsidRPr="00E43670">
              <w:rPr>
                <w:sz w:val="16"/>
                <w:szCs w:val="16"/>
              </w:rPr>
              <w:t>den</w:t>
            </w:r>
          </w:p>
        </w:tc>
        <w:tc>
          <w:tcPr>
            <w:tcW w:w="855" w:type="dxa"/>
          </w:tcPr>
          <w:p w:rsidR="00056051" w:rsidRPr="00E43670" w:rsidRDefault="00056051" w:rsidP="00462023">
            <w:pPr>
              <w:tabs>
                <w:tab w:val="left" w:pos="3285"/>
              </w:tabs>
              <w:jc w:val="right"/>
              <w:rPr>
                <w:sz w:val="16"/>
                <w:szCs w:val="16"/>
              </w:rPr>
            </w:pPr>
          </w:p>
        </w:tc>
        <w:tc>
          <w:tcPr>
            <w:tcW w:w="760" w:type="dxa"/>
          </w:tcPr>
          <w:p w:rsidR="00056051" w:rsidRPr="00E43670" w:rsidRDefault="00056051" w:rsidP="00462023">
            <w:pPr>
              <w:tabs>
                <w:tab w:val="left" w:pos="3285"/>
              </w:tabs>
              <w:jc w:val="right"/>
              <w:rPr>
                <w:sz w:val="16"/>
                <w:szCs w:val="16"/>
              </w:rPr>
            </w:pPr>
          </w:p>
        </w:tc>
        <w:tc>
          <w:tcPr>
            <w:tcW w:w="866" w:type="dxa"/>
          </w:tcPr>
          <w:p w:rsidR="00056051" w:rsidRPr="00E43670" w:rsidRDefault="00056051" w:rsidP="00462023">
            <w:pPr>
              <w:tabs>
                <w:tab w:val="left" w:pos="3285"/>
              </w:tabs>
              <w:jc w:val="right"/>
              <w:rPr>
                <w:sz w:val="16"/>
                <w:szCs w:val="16"/>
              </w:rPr>
            </w:pPr>
          </w:p>
        </w:tc>
        <w:tc>
          <w:tcPr>
            <w:tcW w:w="693" w:type="dxa"/>
          </w:tcPr>
          <w:p w:rsidR="00056051" w:rsidRPr="00E43670" w:rsidRDefault="00056051" w:rsidP="00462023">
            <w:pPr>
              <w:tabs>
                <w:tab w:val="left" w:pos="3285"/>
              </w:tabs>
              <w:jc w:val="right"/>
              <w:rPr>
                <w:sz w:val="16"/>
                <w:szCs w:val="16"/>
              </w:rPr>
            </w:pPr>
          </w:p>
        </w:tc>
        <w:tc>
          <w:tcPr>
            <w:tcW w:w="842" w:type="dxa"/>
          </w:tcPr>
          <w:p w:rsidR="00056051" w:rsidRPr="00E43670" w:rsidRDefault="00056051" w:rsidP="00462023">
            <w:pPr>
              <w:tabs>
                <w:tab w:val="left" w:pos="3285"/>
              </w:tabs>
              <w:jc w:val="right"/>
              <w:rPr>
                <w:sz w:val="16"/>
                <w:szCs w:val="16"/>
              </w:rPr>
            </w:pPr>
          </w:p>
        </w:tc>
      </w:tr>
      <w:tr w:rsidR="00056051" w:rsidRPr="00E43670">
        <w:trPr>
          <w:trHeight w:val="318"/>
        </w:trPr>
        <w:tc>
          <w:tcPr>
            <w:tcW w:w="1913" w:type="dxa"/>
          </w:tcPr>
          <w:p w:rsidR="00056051" w:rsidRPr="00E43670" w:rsidRDefault="00056051" w:rsidP="00462023">
            <w:pPr>
              <w:tabs>
                <w:tab w:val="left" w:pos="3285"/>
              </w:tabs>
              <w:rPr>
                <w:i/>
                <w:sz w:val="16"/>
                <w:szCs w:val="16"/>
              </w:rPr>
            </w:pPr>
            <w:r w:rsidRPr="00E43670">
              <w:rPr>
                <w:sz w:val="16"/>
                <w:szCs w:val="16"/>
              </w:rPr>
              <w:t xml:space="preserve">   </w:t>
            </w:r>
            <w:r w:rsidRPr="00E43670">
              <w:rPr>
                <w:i/>
                <w:sz w:val="16"/>
                <w:szCs w:val="16"/>
              </w:rPr>
              <w:t>Teknik</w:t>
            </w:r>
          </w:p>
        </w:tc>
        <w:tc>
          <w:tcPr>
            <w:tcW w:w="855" w:type="dxa"/>
          </w:tcPr>
          <w:p w:rsidR="00056051" w:rsidRPr="00E43670" w:rsidRDefault="00462023" w:rsidP="00462023">
            <w:pPr>
              <w:tabs>
                <w:tab w:val="left" w:pos="3285"/>
              </w:tabs>
              <w:jc w:val="right"/>
              <w:rPr>
                <w:sz w:val="16"/>
                <w:szCs w:val="16"/>
              </w:rPr>
            </w:pPr>
            <w:r w:rsidRPr="00E43670">
              <w:rPr>
                <w:sz w:val="16"/>
                <w:szCs w:val="16"/>
              </w:rPr>
              <w:t>10</w:t>
            </w:r>
          </w:p>
        </w:tc>
        <w:tc>
          <w:tcPr>
            <w:tcW w:w="760" w:type="dxa"/>
          </w:tcPr>
          <w:p w:rsidR="00056051" w:rsidRPr="00E43670" w:rsidRDefault="00462023" w:rsidP="00462023">
            <w:pPr>
              <w:tabs>
                <w:tab w:val="left" w:pos="3285"/>
              </w:tabs>
              <w:jc w:val="right"/>
              <w:rPr>
                <w:sz w:val="16"/>
                <w:szCs w:val="16"/>
              </w:rPr>
            </w:pPr>
            <w:r w:rsidRPr="00E43670">
              <w:rPr>
                <w:sz w:val="16"/>
                <w:szCs w:val="16"/>
              </w:rPr>
              <w:t>45</w:t>
            </w:r>
          </w:p>
        </w:tc>
        <w:tc>
          <w:tcPr>
            <w:tcW w:w="866" w:type="dxa"/>
          </w:tcPr>
          <w:p w:rsidR="00056051" w:rsidRPr="00E43670" w:rsidRDefault="00462023" w:rsidP="00462023">
            <w:pPr>
              <w:tabs>
                <w:tab w:val="left" w:pos="3285"/>
              </w:tabs>
              <w:jc w:val="right"/>
              <w:rPr>
                <w:sz w:val="16"/>
                <w:szCs w:val="16"/>
              </w:rPr>
            </w:pPr>
            <w:r w:rsidRPr="00E43670">
              <w:rPr>
                <w:sz w:val="16"/>
                <w:szCs w:val="16"/>
              </w:rPr>
              <w:t>25</w:t>
            </w:r>
          </w:p>
        </w:tc>
        <w:tc>
          <w:tcPr>
            <w:tcW w:w="693" w:type="dxa"/>
          </w:tcPr>
          <w:p w:rsidR="00056051" w:rsidRPr="00E43670" w:rsidRDefault="00462023" w:rsidP="00462023">
            <w:pPr>
              <w:tabs>
                <w:tab w:val="left" w:pos="3285"/>
              </w:tabs>
              <w:jc w:val="right"/>
              <w:rPr>
                <w:sz w:val="16"/>
                <w:szCs w:val="16"/>
              </w:rPr>
            </w:pPr>
            <w:r w:rsidRPr="00E43670">
              <w:rPr>
                <w:sz w:val="16"/>
                <w:szCs w:val="16"/>
              </w:rPr>
              <w:t>100</w:t>
            </w:r>
          </w:p>
        </w:tc>
        <w:tc>
          <w:tcPr>
            <w:tcW w:w="842" w:type="dxa"/>
          </w:tcPr>
          <w:p w:rsidR="00056051" w:rsidRPr="00E43670" w:rsidRDefault="00462023" w:rsidP="00462023">
            <w:pPr>
              <w:tabs>
                <w:tab w:val="left" w:pos="3285"/>
              </w:tabs>
              <w:jc w:val="right"/>
              <w:rPr>
                <w:sz w:val="16"/>
                <w:szCs w:val="16"/>
              </w:rPr>
            </w:pPr>
            <w:r w:rsidRPr="00E43670">
              <w:rPr>
                <w:sz w:val="16"/>
                <w:szCs w:val="16"/>
              </w:rPr>
              <w:t>180</w:t>
            </w:r>
          </w:p>
        </w:tc>
      </w:tr>
      <w:tr w:rsidR="00056051" w:rsidRPr="00E43670">
        <w:trPr>
          <w:trHeight w:val="318"/>
        </w:trPr>
        <w:tc>
          <w:tcPr>
            <w:tcW w:w="1913" w:type="dxa"/>
          </w:tcPr>
          <w:p w:rsidR="00056051" w:rsidRPr="00E43670" w:rsidRDefault="00056051" w:rsidP="00462023">
            <w:pPr>
              <w:tabs>
                <w:tab w:val="left" w:pos="3285"/>
              </w:tabs>
              <w:rPr>
                <w:i/>
                <w:sz w:val="16"/>
                <w:szCs w:val="16"/>
              </w:rPr>
            </w:pPr>
            <w:r w:rsidRPr="00E43670">
              <w:rPr>
                <w:sz w:val="16"/>
                <w:szCs w:val="16"/>
              </w:rPr>
              <w:t xml:space="preserve">   </w:t>
            </w:r>
            <w:r w:rsidRPr="00E43670">
              <w:rPr>
                <w:i/>
                <w:sz w:val="16"/>
                <w:szCs w:val="16"/>
              </w:rPr>
              <w:t>Hållbar utveckling</w:t>
            </w:r>
          </w:p>
        </w:tc>
        <w:tc>
          <w:tcPr>
            <w:tcW w:w="855" w:type="dxa"/>
          </w:tcPr>
          <w:p w:rsidR="00056051" w:rsidRPr="00E43670" w:rsidRDefault="00056051" w:rsidP="00462023">
            <w:pPr>
              <w:tabs>
                <w:tab w:val="left" w:pos="3285"/>
              </w:tabs>
              <w:jc w:val="right"/>
              <w:rPr>
                <w:sz w:val="16"/>
                <w:szCs w:val="16"/>
              </w:rPr>
            </w:pPr>
          </w:p>
        </w:tc>
        <w:tc>
          <w:tcPr>
            <w:tcW w:w="760" w:type="dxa"/>
          </w:tcPr>
          <w:p w:rsidR="00056051" w:rsidRPr="00E43670" w:rsidRDefault="00462023" w:rsidP="00462023">
            <w:pPr>
              <w:tabs>
                <w:tab w:val="left" w:pos="3285"/>
              </w:tabs>
              <w:jc w:val="right"/>
              <w:rPr>
                <w:sz w:val="16"/>
                <w:szCs w:val="16"/>
              </w:rPr>
            </w:pPr>
            <w:r w:rsidRPr="00E43670">
              <w:rPr>
                <w:sz w:val="16"/>
                <w:szCs w:val="16"/>
              </w:rPr>
              <w:t>5</w:t>
            </w:r>
          </w:p>
        </w:tc>
        <w:tc>
          <w:tcPr>
            <w:tcW w:w="866" w:type="dxa"/>
          </w:tcPr>
          <w:p w:rsidR="00056051" w:rsidRPr="00E43670" w:rsidRDefault="00462023" w:rsidP="00462023">
            <w:pPr>
              <w:tabs>
                <w:tab w:val="left" w:pos="3285"/>
              </w:tabs>
              <w:jc w:val="right"/>
              <w:rPr>
                <w:sz w:val="16"/>
                <w:szCs w:val="16"/>
              </w:rPr>
            </w:pPr>
            <w:r w:rsidRPr="00E43670">
              <w:rPr>
                <w:sz w:val="16"/>
                <w:szCs w:val="16"/>
              </w:rPr>
              <w:t>5</w:t>
            </w:r>
          </w:p>
        </w:tc>
        <w:tc>
          <w:tcPr>
            <w:tcW w:w="693" w:type="dxa"/>
          </w:tcPr>
          <w:p w:rsidR="00056051" w:rsidRPr="00E43670" w:rsidRDefault="00462023" w:rsidP="00462023">
            <w:pPr>
              <w:tabs>
                <w:tab w:val="left" w:pos="3285"/>
              </w:tabs>
              <w:jc w:val="right"/>
              <w:rPr>
                <w:sz w:val="16"/>
                <w:szCs w:val="16"/>
              </w:rPr>
            </w:pPr>
            <w:r w:rsidRPr="00E43670">
              <w:rPr>
                <w:sz w:val="16"/>
                <w:szCs w:val="16"/>
              </w:rPr>
              <w:t>10</w:t>
            </w:r>
          </w:p>
        </w:tc>
        <w:tc>
          <w:tcPr>
            <w:tcW w:w="842" w:type="dxa"/>
          </w:tcPr>
          <w:p w:rsidR="00056051" w:rsidRPr="00E43670" w:rsidRDefault="00462023" w:rsidP="00462023">
            <w:pPr>
              <w:tabs>
                <w:tab w:val="left" w:pos="3285"/>
              </w:tabs>
              <w:jc w:val="right"/>
              <w:rPr>
                <w:sz w:val="16"/>
                <w:szCs w:val="16"/>
              </w:rPr>
            </w:pPr>
            <w:r w:rsidRPr="00E43670">
              <w:rPr>
                <w:sz w:val="16"/>
                <w:szCs w:val="16"/>
              </w:rPr>
              <w:t>20</w:t>
            </w:r>
          </w:p>
        </w:tc>
      </w:tr>
      <w:tr w:rsidR="00761F8B" w:rsidRPr="00E43670">
        <w:trPr>
          <w:trHeight w:val="318"/>
        </w:trPr>
        <w:tc>
          <w:tcPr>
            <w:tcW w:w="1913" w:type="dxa"/>
          </w:tcPr>
          <w:p w:rsidR="00761F8B" w:rsidRPr="00E43670" w:rsidRDefault="00761F8B" w:rsidP="00462023">
            <w:pPr>
              <w:tabs>
                <w:tab w:val="left" w:pos="3285"/>
              </w:tabs>
              <w:rPr>
                <w:sz w:val="16"/>
                <w:szCs w:val="16"/>
              </w:rPr>
            </w:pPr>
            <w:r w:rsidRPr="00E43670">
              <w:rPr>
                <w:sz w:val="16"/>
                <w:szCs w:val="16"/>
              </w:rPr>
              <w:t>Forskarskolor</w:t>
            </w:r>
          </w:p>
        </w:tc>
        <w:tc>
          <w:tcPr>
            <w:tcW w:w="855" w:type="dxa"/>
          </w:tcPr>
          <w:p w:rsidR="00761F8B" w:rsidRPr="00E43670" w:rsidRDefault="00761F8B" w:rsidP="00462023">
            <w:pPr>
              <w:tabs>
                <w:tab w:val="left" w:pos="3285"/>
              </w:tabs>
              <w:jc w:val="right"/>
              <w:rPr>
                <w:sz w:val="16"/>
                <w:szCs w:val="16"/>
              </w:rPr>
            </w:pPr>
          </w:p>
        </w:tc>
        <w:tc>
          <w:tcPr>
            <w:tcW w:w="760" w:type="dxa"/>
          </w:tcPr>
          <w:p w:rsidR="00761F8B" w:rsidRPr="00E43670" w:rsidRDefault="00761F8B" w:rsidP="00462023">
            <w:pPr>
              <w:tabs>
                <w:tab w:val="left" w:pos="3285"/>
              </w:tabs>
              <w:jc w:val="right"/>
              <w:rPr>
                <w:sz w:val="16"/>
                <w:szCs w:val="16"/>
              </w:rPr>
            </w:pPr>
            <w:r w:rsidRPr="00E43670">
              <w:rPr>
                <w:sz w:val="16"/>
                <w:szCs w:val="16"/>
              </w:rPr>
              <w:t>3</w:t>
            </w:r>
          </w:p>
        </w:tc>
        <w:tc>
          <w:tcPr>
            <w:tcW w:w="866" w:type="dxa"/>
          </w:tcPr>
          <w:p w:rsidR="00761F8B" w:rsidRPr="00E43670" w:rsidRDefault="00761F8B" w:rsidP="00462023">
            <w:pPr>
              <w:tabs>
                <w:tab w:val="left" w:pos="3285"/>
              </w:tabs>
              <w:jc w:val="right"/>
              <w:rPr>
                <w:sz w:val="16"/>
                <w:szCs w:val="16"/>
              </w:rPr>
            </w:pPr>
            <w:r w:rsidRPr="00E43670">
              <w:rPr>
                <w:sz w:val="16"/>
                <w:szCs w:val="16"/>
              </w:rPr>
              <w:t>5</w:t>
            </w:r>
          </w:p>
        </w:tc>
        <w:tc>
          <w:tcPr>
            <w:tcW w:w="693" w:type="dxa"/>
          </w:tcPr>
          <w:p w:rsidR="00761F8B" w:rsidRPr="00E43670" w:rsidRDefault="00761F8B" w:rsidP="00462023">
            <w:pPr>
              <w:tabs>
                <w:tab w:val="left" w:pos="3285"/>
              </w:tabs>
              <w:jc w:val="right"/>
              <w:rPr>
                <w:sz w:val="16"/>
                <w:szCs w:val="16"/>
              </w:rPr>
            </w:pPr>
            <w:r w:rsidRPr="00E43670">
              <w:rPr>
                <w:sz w:val="16"/>
                <w:szCs w:val="16"/>
              </w:rPr>
              <w:t>17</w:t>
            </w:r>
          </w:p>
        </w:tc>
        <w:tc>
          <w:tcPr>
            <w:tcW w:w="842" w:type="dxa"/>
          </w:tcPr>
          <w:p w:rsidR="00761F8B" w:rsidRPr="00E43670" w:rsidRDefault="00761F8B" w:rsidP="00462023">
            <w:pPr>
              <w:tabs>
                <w:tab w:val="left" w:pos="3285"/>
              </w:tabs>
              <w:jc w:val="right"/>
              <w:rPr>
                <w:sz w:val="16"/>
                <w:szCs w:val="16"/>
              </w:rPr>
            </w:pPr>
            <w:r w:rsidRPr="00E43670">
              <w:rPr>
                <w:sz w:val="16"/>
                <w:szCs w:val="16"/>
              </w:rPr>
              <w:t>25</w:t>
            </w:r>
          </w:p>
        </w:tc>
      </w:tr>
      <w:tr w:rsidR="00462023" w:rsidRPr="00E43670">
        <w:trPr>
          <w:trHeight w:val="318"/>
        </w:trPr>
        <w:tc>
          <w:tcPr>
            <w:tcW w:w="1913" w:type="dxa"/>
          </w:tcPr>
          <w:p w:rsidR="00462023" w:rsidRPr="00E43670" w:rsidRDefault="00462023" w:rsidP="00462023">
            <w:pPr>
              <w:tabs>
                <w:tab w:val="left" w:pos="3285"/>
              </w:tabs>
              <w:rPr>
                <w:sz w:val="16"/>
                <w:szCs w:val="16"/>
              </w:rPr>
            </w:pPr>
            <w:r w:rsidRPr="00E43670">
              <w:rPr>
                <w:sz w:val="16"/>
                <w:szCs w:val="16"/>
              </w:rPr>
              <w:t>Meriteringsanställningar</w:t>
            </w:r>
          </w:p>
        </w:tc>
        <w:tc>
          <w:tcPr>
            <w:tcW w:w="855" w:type="dxa"/>
          </w:tcPr>
          <w:p w:rsidR="00462023" w:rsidRPr="00E43670" w:rsidRDefault="00462023" w:rsidP="00462023">
            <w:pPr>
              <w:tabs>
                <w:tab w:val="left" w:pos="3285"/>
              </w:tabs>
              <w:jc w:val="right"/>
              <w:rPr>
                <w:sz w:val="16"/>
                <w:szCs w:val="16"/>
              </w:rPr>
            </w:pPr>
          </w:p>
        </w:tc>
        <w:tc>
          <w:tcPr>
            <w:tcW w:w="760" w:type="dxa"/>
          </w:tcPr>
          <w:p w:rsidR="00462023" w:rsidRPr="00E43670" w:rsidRDefault="00462023" w:rsidP="00462023">
            <w:pPr>
              <w:tabs>
                <w:tab w:val="left" w:pos="3285"/>
              </w:tabs>
              <w:jc w:val="right"/>
              <w:rPr>
                <w:sz w:val="16"/>
                <w:szCs w:val="16"/>
              </w:rPr>
            </w:pPr>
            <w:r w:rsidRPr="00E43670">
              <w:rPr>
                <w:sz w:val="16"/>
                <w:szCs w:val="16"/>
              </w:rPr>
              <w:t>3</w:t>
            </w:r>
          </w:p>
        </w:tc>
        <w:tc>
          <w:tcPr>
            <w:tcW w:w="866" w:type="dxa"/>
          </w:tcPr>
          <w:p w:rsidR="00462023" w:rsidRPr="00E43670" w:rsidRDefault="00462023" w:rsidP="00462023">
            <w:pPr>
              <w:tabs>
                <w:tab w:val="left" w:pos="3285"/>
              </w:tabs>
              <w:jc w:val="right"/>
              <w:rPr>
                <w:sz w:val="16"/>
                <w:szCs w:val="16"/>
              </w:rPr>
            </w:pPr>
            <w:r w:rsidRPr="00E43670">
              <w:rPr>
                <w:sz w:val="16"/>
                <w:szCs w:val="16"/>
              </w:rPr>
              <w:t>5</w:t>
            </w:r>
          </w:p>
        </w:tc>
        <w:tc>
          <w:tcPr>
            <w:tcW w:w="693" w:type="dxa"/>
          </w:tcPr>
          <w:p w:rsidR="00462023" w:rsidRPr="00E43670" w:rsidRDefault="00462023" w:rsidP="00462023">
            <w:pPr>
              <w:tabs>
                <w:tab w:val="left" w:pos="3285"/>
              </w:tabs>
              <w:jc w:val="right"/>
              <w:rPr>
                <w:sz w:val="16"/>
                <w:szCs w:val="16"/>
              </w:rPr>
            </w:pPr>
            <w:r w:rsidRPr="00E43670">
              <w:rPr>
                <w:sz w:val="16"/>
                <w:szCs w:val="16"/>
              </w:rPr>
              <w:t>42</w:t>
            </w:r>
          </w:p>
        </w:tc>
        <w:tc>
          <w:tcPr>
            <w:tcW w:w="842" w:type="dxa"/>
          </w:tcPr>
          <w:p w:rsidR="00462023" w:rsidRPr="00E43670" w:rsidRDefault="00462023" w:rsidP="00462023">
            <w:pPr>
              <w:tabs>
                <w:tab w:val="left" w:pos="3285"/>
              </w:tabs>
              <w:jc w:val="right"/>
              <w:rPr>
                <w:sz w:val="16"/>
                <w:szCs w:val="16"/>
              </w:rPr>
            </w:pPr>
            <w:r w:rsidRPr="00E43670">
              <w:rPr>
                <w:sz w:val="16"/>
                <w:szCs w:val="16"/>
              </w:rPr>
              <w:t>50</w:t>
            </w:r>
          </w:p>
        </w:tc>
      </w:tr>
      <w:tr w:rsidR="00056051" w:rsidRPr="00E43670">
        <w:trPr>
          <w:trHeight w:val="318"/>
        </w:trPr>
        <w:tc>
          <w:tcPr>
            <w:tcW w:w="1913" w:type="dxa"/>
          </w:tcPr>
          <w:p w:rsidR="00056051" w:rsidRPr="00E43670" w:rsidRDefault="00056051" w:rsidP="00462023">
            <w:pPr>
              <w:tabs>
                <w:tab w:val="left" w:pos="3285"/>
              </w:tabs>
              <w:rPr>
                <w:sz w:val="16"/>
                <w:szCs w:val="16"/>
              </w:rPr>
            </w:pPr>
            <w:r w:rsidRPr="00E43670">
              <w:rPr>
                <w:sz w:val="16"/>
                <w:szCs w:val="16"/>
              </w:rPr>
              <w:t>Industriforskningsinstitut</w:t>
            </w:r>
          </w:p>
        </w:tc>
        <w:tc>
          <w:tcPr>
            <w:tcW w:w="855" w:type="dxa"/>
          </w:tcPr>
          <w:p w:rsidR="00056051" w:rsidRPr="00E43670" w:rsidRDefault="00056051" w:rsidP="00462023">
            <w:pPr>
              <w:tabs>
                <w:tab w:val="left" w:pos="3285"/>
              </w:tabs>
              <w:jc w:val="right"/>
              <w:rPr>
                <w:sz w:val="16"/>
                <w:szCs w:val="16"/>
              </w:rPr>
            </w:pPr>
          </w:p>
        </w:tc>
        <w:tc>
          <w:tcPr>
            <w:tcW w:w="760" w:type="dxa"/>
          </w:tcPr>
          <w:p w:rsidR="00056051" w:rsidRPr="00E43670" w:rsidRDefault="00056051" w:rsidP="00462023">
            <w:pPr>
              <w:tabs>
                <w:tab w:val="left" w:pos="3285"/>
              </w:tabs>
              <w:jc w:val="right"/>
              <w:rPr>
                <w:sz w:val="16"/>
                <w:szCs w:val="16"/>
              </w:rPr>
            </w:pPr>
          </w:p>
        </w:tc>
        <w:tc>
          <w:tcPr>
            <w:tcW w:w="866" w:type="dxa"/>
          </w:tcPr>
          <w:p w:rsidR="00056051" w:rsidRPr="00E43670" w:rsidRDefault="00462023" w:rsidP="00462023">
            <w:pPr>
              <w:tabs>
                <w:tab w:val="left" w:pos="3285"/>
              </w:tabs>
              <w:jc w:val="right"/>
              <w:rPr>
                <w:sz w:val="16"/>
                <w:szCs w:val="16"/>
              </w:rPr>
            </w:pPr>
            <w:r w:rsidRPr="00E43670">
              <w:rPr>
                <w:sz w:val="16"/>
                <w:szCs w:val="16"/>
              </w:rPr>
              <w:t>45</w:t>
            </w:r>
          </w:p>
        </w:tc>
        <w:tc>
          <w:tcPr>
            <w:tcW w:w="693" w:type="dxa"/>
          </w:tcPr>
          <w:p w:rsidR="00056051" w:rsidRPr="00E43670" w:rsidRDefault="00462023" w:rsidP="00462023">
            <w:pPr>
              <w:tabs>
                <w:tab w:val="left" w:pos="3285"/>
              </w:tabs>
              <w:jc w:val="right"/>
              <w:rPr>
                <w:sz w:val="16"/>
                <w:szCs w:val="16"/>
              </w:rPr>
            </w:pPr>
            <w:r w:rsidRPr="00E43670">
              <w:rPr>
                <w:sz w:val="16"/>
                <w:szCs w:val="16"/>
              </w:rPr>
              <w:t>65</w:t>
            </w:r>
          </w:p>
        </w:tc>
        <w:tc>
          <w:tcPr>
            <w:tcW w:w="842" w:type="dxa"/>
          </w:tcPr>
          <w:p w:rsidR="00056051" w:rsidRPr="00E43670" w:rsidRDefault="00462023" w:rsidP="00462023">
            <w:pPr>
              <w:tabs>
                <w:tab w:val="left" w:pos="3285"/>
              </w:tabs>
              <w:jc w:val="right"/>
              <w:rPr>
                <w:sz w:val="16"/>
                <w:szCs w:val="16"/>
              </w:rPr>
            </w:pPr>
            <w:r w:rsidRPr="00E43670">
              <w:rPr>
                <w:sz w:val="16"/>
                <w:szCs w:val="16"/>
              </w:rPr>
              <w:t>110</w:t>
            </w:r>
          </w:p>
        </w:tc>
      </w:tr>
      <w:tr w:rsidR="00056051" w:rsidRPr="00E43670">
        <w:trPr>
          <w:trHeight w:val="318"/>
        </w:trPr>
        <w:tc>
          <w:tcPr>
            <w:tcW w:w="1913" w:type="dxa"/>
          </w:tcPr>
          <w:p w:rsidR="00056051" w:rsidRPr="00E43670" w:rsidRDefault="00056051" w:rsidP="00462023">
            <w:pPr>
              <w:tabs>
                <w:tab w:val="left" w:pos="3285"/>
              </w:tabs>
              <w:rPr>
                <w:sz w:val="16"/>
                <w:szCs w:val="16"/>
              </w:rPr>
            </w:pPr>
            <w:r w:rsidRPr="00E43670">
              <w:rPr>
                <w:sz w:val="16"/>
                <w:szCs w:val="16"/>
              </w:rPr>
              <w:t>Samarbetsprogram</w:t>
            </w:r>
          </w:p>
        </w:tc>
        <w:tc>
          <w:tcPr>
            <w:tcW w:w="855" w:type="dxa"/>
          </w:tcPr>
          <w:p w:rsidR="00056051" w:rsidRPr="00E43670" w:rsidRDefault="00462023" w:rsidP="00462023">
            <w:pPr>
              <w:tabs>
                <w:tab w:val="left" w:pos="3285"/>
              </w:tabs>
              <w:jc w:val="right"/>
              <w:rPr>
                <w:sz w:val="16"/>
                <w:szCs w:val="16"/>
              </w:rPr>
            </w:pPr>
            <w:r w:rsidRPr="00E43670">
              <w:rPr>
                <w:sz w:val="16"/>
                <w:szCs w:val="16"/>
              </w:rPr>
              <w:t>10</w:t>
            </w:r>
          </w:p>
        </w:tc>
        <w:tc>
          <w:tcPr>
            <w:tcW w:w="760" w:type="dxa"/>
          </w:tcPr>
          <w:p w:rsidR="00056051" w:rsidRPr="00E43670" w:rsidRDefault="00462023" w:rsidP="00462023">
            <w:pPr>
              <w:tabs>
                <w:tab w:val="left" w:pos="3285"/>
              </w:tabs>
              <w:jc w:val="right"/>
              <w:rPr>
                <w:sz w:val="16"/>
                <w:szCs w:val="16"/>
              </w:rPr>
            </w:pPr>
            <w:r w:rsidRPr="00E43670">
              <w:rPr>
                <w:sz w:val="16"/>
                <w:szCs w:val="16"/>
              </w:rPr>
              <w:t>60</w:t>
            </w:r>
          </w:p>
        </w:tc>
        <w:tc>
          <w:tcPr>
            <w:tcW w:w="866" w:type="dxa"/>
          </w:tcPr>
          <w:p w:rsidR="00056051" w:rsidRPr="00E43670" w:rsidRDefault="00462023" w:rsidP="00462023">
            <w:pPr>
              <w:tabs>
                <w:tab w:val="left" w:pos="3285"/>
              </w:tabs>
              <w:jc w:val="right"/>
              <w:rPr>
                <w:sz w:val="16"/>
                <w:szCs w:val="16"/>
              </w:rPr>
            </w:pPr>
            <w:r w:rsidRPr="00E43670">
              <w:rPr>
                <w:sz w:val="16"/>
                <w:szCs w:val="16"/>
              </w:rPr>
              <w:t>10</w:t>
            </w:r>
          </w:p>
        </w:tc>
        <w:tc>
          <w:tcPr>
            <w:tcW w:w="693" w:type="dxa"/>
          </w:tcPr>
          <w:p w:rsidR="00056051" w:rsidRPr="00E43670" w:rsidRDefault="00462023" w:rsidP="00462023">
            <w:pPr>
              <w:tabs>
                <w:tab w:val="left" w:pos="3285"/>
              </w:tabs>
              <w:jc w:val="right"/>
              <w:rPr>
                <w:sz w:val="16"/>
                <w:szCs w:val="16"/>
              </w:rPr>
            </w:pPr>
            <w:r w:rsidRPr="00E43670">
              <w:rPr>
                <w:sz w:val="16"/>
                <w:szCs w:val="16"/>
              </w:rPr>
              <w:t>40</w:t>
            </w:r>
          </w:p>
        </w:tc>
        <w:tc>
          <w:tcPr>
            <w:tcW w:w="842" w:type="dxa"/>
          </w:tcPr>
          <w:p w:rsidR="00056051" w:rsidRPr="00E43670" w:rsidRDefault="00462023" w:rsidP="00462023">
            <w:pPr>
              <w:tabs>
                <w:tab w:val="left" w:pos="3285"/>
              </w:tabs>
              <w:jc w:val="right"/>
              <w:rPr>
                <w:sz w:val="16"/>
                <w:szCs w:val="16"/>
              </w:rPr>
            </w:pPr>
            <w:r w:rsidRPr="00E43670">
              <w:rPr>
                <w:sz w:val="16"/>
                <w:szCs w:val="16"/>
              </w:rPr>
              <w:t>120</w:t>
            </w:r>
          </w:p>
        </w:tc>
      </w:tr>
      <w:tr w:rsidR="00056051" w:rsidRPr="00E43670">
        <w:trPr>
          <w:trHeight w:val="561"/>
        </w:trPr>
        <w:tc>
          <w:tcPr>
            <w:tcW w:w="1913" w:type="dxa"/>
          </w:tcPr>
          <w:p w:rsidR="00056051" w:rsidRPr="00E43670" w:rsidRDefault="00056051" w:rsidP="00462023">
            <w:pPr>
              <w:tabs>
                <w:tab w:val="left" w:pos="3285"/>
              </w:tabs>
              <w:rPr>
                <w:sz w:val="16"/>
                <w:szCs w:val="16"/>
              </w:rPr>
            </w:pPr>
            <w:r w:rsidRPr="00E43670">
              <w:rPr>
                <w:sz w:val="16"/>
                <w:szCs w:val="16"/>
              </w:rPr>
              <w:t>Insatser för små och medelstora företag</w:t>
            </w:r>
          </w:p>
        </w:tc>
        <w:tc>
          <w:tcPr>
            <w:tcW w:w="855" w:type="dxa"/>
          </w:tcPr>
          <w:p w:rsidR="00056051" w:rsidRPr="00E43670" w:rsidRDefault="00056051" w:rsidP="00462023">
            <w:pPr>
              <w:tabs>
                <w:tab w:val="left" w:pos="3285"/>
              </w:tabs>
              <w:jc w:val="right"/>
              <w:rPr>
                <w:sz w:val="16"/>
                <w:szCs w:val="16"/>
              </w:rPr>
            </w:pPr>
          </w:p>
        </w:tc>
        <w:tc>
          <w:tcPr>
            <w:tcW w:w="760" w:type="dxa"/>
          </w:tcPr>
          <w:p w:rsidR="00056051" w:rsidRPr="00E43670" w:rsidRDefault="00056051" w:rsidP="00462023">
            <w:pPr>
              <w:tabs>
                <w:tab w:val="left" w:pos="3285"/>
              </w:tabs>
              <w:jc w:val="right"/>
              <w:rPr>
                <w:sz w:val="16"/>
                <w:szCs w:val="16"/>
              </w:rPr>
            </w:pPr>
          </w:p>
        </w:tc>
        <w:tc>
          <w:tcPr>
            <w:tcW w:w="866" w:type="dxa"/>
          </w:tcPr>
          <w:p w:rsidR="00056051" w:rsidRPr="00E43670" w:rsidRDefault="00462023" w:rsidP="00462023">
            <w:pPr>
              <w:tabs>
                <w:tab w:val="left" w:pos="3285"/>
              </w:tabs>
              <w:jc w:val="right"/>
              <w:rPr>
                <w:sz w:val="16"/>
                <w:szCs w:val="16"/>
              </w:rPr>
            </w:pPr>
            <w:r w:rsidRPr="00E43670">
              <w:rPr>
                <w:sz w:val="16"/>
                <w:szCs w:val="16"/>
              </w:rPr>
              <w:t>5</w:t>
            </w:r>
          </w:p>
        </w:tc>
        <w:tc>
          <w:tcPr>
            <w:tcW w:w="693" w:type="dxa"/>
          </w:tcPr>
          <w:p w:rsidR="00056051" w:rsidRPr="00E43670" w:rsidRDefault="00462023" w:rsidP="00462023">
            <w:pPr>
              <w:tabs>
                <w:tab w:val="left" w:pos="3285"/>
              </w:tabs>
              <w:jc w:val="right"/>
              <w:rPr>
                <w:sz w:val="16"/>
                <w:szCs w:val="16"/>
              </w:rPr>
            </w:pPr>
            <w:r w:rsidRPr="00E43670">
              <w:rPr>
                <w:sz w:val="16"/>
                <w:szCs w:val="16"/>
              </w:rPr>
              <w:t>5</w:t>
            </w:r>
          </w:p>
        </w:tc>
        <w:tc>
          <w:tcPr>
            <w:tcW w:w="842" w:type="dxa"/>
          </w:tcPr>
          <w:p w:rsidR="00056051" w:rsidRPr="00E43670" w:rsidRDefault="00462023" w:rsidP="00462023">
            <w:pPr>
              <w:tabs>
                <w:tab w:val="left" w:pos="3285"/>
              </w:tabs>
              <w:jc w:val="right"/>
              <w:rPr>
                <w:sz w:val="16"/>
                <w:szCs w:val="16"/>
              </w:rPr>
            </w:pPr>
            <w:r w:rsidRPr="00E43670">
              <w:rPr>
                <w:sz w:val="16"/>
                <w:szCs w:val="16"/>
              </w:rPr>
              <w:t>10</w:t>
            </w:r>
          </w:p>
        </w:tc>
      </w:tr>
      <w:tr w:rsidR="00056051" w:rsidRPr="00E43670">
        <w:trPr>
          <w:trHeight w:val="311"/>
        </w:trPr>
        <w:tc>
          <w:tcPr>
            <w:tcW w:w="1913" w:type="dxa"/>
          </w:tcPr>
          <w:p w:rsidR="00056051" w:rsidRPr="00E43670" w:rsidRDefault="00462023" w:rsidP="00462023">
            <w:pPr>
              <w:tabs>
                <w:tab w:val="left" w:pos="3285"/>
              </w:tabs>
              <w:rPr>
                <w:b/>
                <w:sz w:val="16"/>
                <w:szCs w:val="16"/>
              </w:rPr>
            </w:pPr>
            <w:r w:rsidRPr="00E43670">
              <w:rPr>
                <w:b/>
                <w:sz w:val="16"/>
                <w:szCs w:val="16"/>
              </w:rPr>
              <w:t>Totalt</w:t>
            </w:r>
          </w:p>
        </w:tc>
        <w:tc>
          <w:tcPr>
            <w:tcW w:w="855" w:type="dxa"/>
          </w:tcPr>
          <w:p w:rsidR="00056051" w:rsidRPr="00E43670" w:rsidRDefault="00462023" w:rsidP="00462023">
            <w:pPr>
              <w:tabs>
                <w:tab w:val="left" w:pos="3285"/>
              </w:tabs>
              <w:jc w:val="right"/>
              <w:rPr>
                <w:sz w:val="16"/>
                <w:szCs w:val="16"/>
              </w:rPr>
            </w:pPr>
            <w:r w:rsidRPr="00E43670">
              <w:rPr>
                <w:sz w:val="16"/>
                <w:szCs w:val="16"/>
              </w:rPr>
              <w:t>20</w:t>
            </w:r>
          </w:p>
        </w:tc>
        <w:tc>
          <w:tcPr>
            <w:tcW w:w="760" w:type="dxa"/>
          </w:tcPr>
          <w:p w:rsidR="00056051" w:rsidRPr="00E43670" w:rsidRDefault="00462023" w:rsidP="00462023">
            <w:pPr>
              <w:tabs>
                <w:tab w:val="left" w:pos="3285"/>
              </w:tabs>
              <w:jc w:val="right"/>
              <w:rPr>
                <w:sz w:val="16"/>
                <w:szCs w:val="16"/>
              </w:rPr>
            </w:pPr>
            <w:r w:rsidRPr="00E43670">
              <w:rPr>
                <w:sz w:val="16"/>
                <w:szCs w:val="16"/>
              </w:rPr>
              <w:t>131</w:t>
            </w:r>
          </w:p>
        </w:tc>
        <w:tc>
          <w:tcPr>
            <w:tcW w:w="866" w:type="dxa"/>
          </w:tcPr>
          <w:p w:rsidR="00056051" w:rsidRPr="00E43670" w:rsidRDefault="00462023" w:rsidP="00462023">
            <w:pPr>
              <w:tabs>
                <w:tab w:val="left" w:pos="3285"/>
              </w:tabs>
              <w:jc w:val="right"/>
              <w:rPr>
                <w:sz w:val="16"/>
                <w:szCs w:val="16"/>
              </w:rPr>
            </w:pPr>
            <w:r w:rsidRPr="00E43670">
              <w:rPr>
                <w:sz w:val="16"/>
                <w:szCs w:val="16"/>
              </w:rPr>
              <w:t>120</w:t>
            </w:r>
          </w:p>
        </w:tc>
        <w:tc>
          <w:tcPr>
            <w:tcW w:w="693" w:type="dxa"/>
          </w:tcPr>
          <w:p w:rsidR="00056051" w:rsidRPr="00E43670" w:rsidRDefault="00462023" w:rsidP="00462023">
            <w:pPr>
              <w:tabs>
                <w:tab w:val="left" w:pos="3285"/>
              </w:tabs>
              <w:jc w:val="right"/>
              <w:rPr>
                <w:sz w:val="16"/>
                <w:szCs w:val="16"/>
              </w:rPr>
            </w:pPr>
            <w:r w:rsidRPr="00E43670">
              <w:rPr>
                <w:sz w:val="16"/>
                <w:szCs w:val="16"/>
              </w:rPr>
              <w:t>304</w:t>
            </w:r>
          </w:p>
        </w:tc>
        <w:tc>
          <w:tcPr>
            <w:tcW w:w="842" w:type="dxa"/>
          </w:tcPr>
          <w:p w:rsidR="00056051" w:rsidRPr="00E43670" w:rsidRDefault="00462023" w:rsidP="00462023">
            <w:pPr>
              <w:tabs>
                <w:tab w:val="left" w:pos="3285"/>
              </w:tabs>
              <w:jc w:val="right"/>
              <w:rPr>
                <w:sz w:val="16"/>
                <w:szCs w:val="16"/>
              </w:rPr>
            </w:pPr>
            <w:r w:rsidRPr="00E43670">
              <w:rPr>
                <w:sz w:val="16"/>
                <w:szCs w:val="16"/>
              </w:rPr>
              <w:t>575</w:t>
            </w:r>
          </w:p>
        </w:tc>
      </w:tr>
      <w:tr w:rsidR="00056051" w:rsidRPr="00E43670">
        <w:trPr>
          <w:trHeight w:val="303"/>
        </w:trPr>
        <w:tc>
          <w:tcPr>
            <w:tcW w:w="1913" w:type="dxa"/>
          </w:tcPr>
          <w:p w:rsidR="00056051" w:rsidRPr="00E43670" w:rsidRDefault="00462023" w:rsidP="00462023">
            <w:pPr>
              <w:tabs>
                <w:tab w:val="left" w:pos="3285"/>
              </w:tabs>
              <w:rPr>
                <w:b/>
                <w:sz w:val="16"/>
                <w:szCs w:val="16"/>
              </w:rPr>
            </w:pPr>
            <w:r w:rsidRPr="00E43670">
              <w:rPr>
                <w:b/>
                <w:sz w:val="16"/>
                <w:szCs w:val="16"/>
              </w:rPr>
              <w:t>Rymdstyrelsen</w:t>
            </w:r>
          </w:p>
        </w:tc>
        <w:tc>
          <w:tcPr>
            <w:tcW w:w="855" w:type="dxa"/>
          </w:tcPr>
          <w:p w:rsidR="00056051" w:rsidRPr="00E43670" w:rsidRDefault="00056051" w:rsidP="00462023">
            <w:pPr>
              <w:tabs>
                <w:tab w:val="left" w:pos="3285"/>
              </w:tabs>
              <w:jc w:val="right"/>
              <w:rPr>
                <w:sz w:val="16"/>
                <w:szCs w:val="16"/>
              </w:rPr>
            </w:pPr>
          </w:p>
        </w:tc>
        <w:tc>
          <w:tcPr>
            <w:tcW w:w="760" w:type="dxa"/>
          </w:tcPr>
          <w:p w:rsidR="00056051" w:rsidRPr="00E43670" w:rsidRDefault="00462023" w:rsidP="00462023">
            <w:pPr>
              <w:tabs>
                <w:tab w:val="left" w:pos="3285"/>
              </w:tabs>
              <w:jc w:val="right"/>
              <w:rPr>
                <w:sz w:val="16"/>
                <w:szCs w:val="16"/>
              </w:rPr>
            </w:pPr>
            <w:r w:rsidRPr="00E43670">
              <w:rPr>
                <w:sz w:val="16"/>
                <w:szCs w:val="16"/>
              </w:rPr>
              <w:t>5</w:t>
            </w:r>
          </w:p>
        </w:tc>
        <w:tc>
          <w:tcPr>
            <w:tcW w:w="866" w:type="dxa"/>
          </w:tcPr>
          <w:p w:rsidR="00056051" w:rsidRPr="00E43670" w:rsidRDefault="00462023" w:rsidP="00462023">
            <w:pPr>
              <w:tabs>
                <w:tab w:val="left" w:pos="3285"/>
              </w:tabs>
              <w:jc w:val="right"/>
              <w:rPr>
                <w:sz w:val="16"/>
                <w:szCs w:val="16"/>
              </w:rPr>
            </w:pPr>
            <w:r w:rsidRPr="00E43670">
              <w:rPr>
                <w:sz w:val="16"/>
                <w:szCs w:val="16"/>
              </w:rPr>
              <w:t>5</w:t>
            </w:r>
          </w:p>
        </w:tc>
        <w:tc>
          <w:tcPr>
            <w:tcW w:w="693" w:type="dxa"/>
          </w:tcPr>
          <w:p w:rsidR="00056051" w:rsidRPr="00E43670" w:rsidRDefault="00056051" w:rsidP="00462023">
            <w:pPr>
              <w:tabs>
                <w:tab w:val="left" w:pos="3285"/>
              </w:tabs>
              <w:jc w:val="right"/>
              <w:rPr>
                <w:sz w:val="16"/>
                <w:szCs w:val="16"/>
              </w:rPr>
            </w:pPr>
          </w:p>
        </w:tc>
        <w:tc>
          <w:tcPr>
            <w:tcW w:w="842" w:type="dxa"/>
          </w:tcPr>
          <w:p w:rsidR="00056051" w:rsidRPr="00E43670" w:rsidRDefault="00462023" w:rsidP="00462023">
            <w:pPr>
              <w:tabs>
                <w:tab w:val="left" w:pos="3285"/>
              </w:tabs>
              <w:jc w:val="right"/>
              <w:rPr>
                <w:sz w:val="16"/>
                <w:szCs w:val="16"/>
              </w:rPr>
            </w:pPr>
            <w:r w:rsidRPr="00E43670">
              <w:rPr>
                <w:sz w:val="16"/>
                <w:szCs w:val="16"/>
              </w:rPr>
              <w:t>10</w:t>
            </w:r>
          </w:p>
        </w:tc>
      </w:tr>
      <w:tr w:rsidR="00056051" w:rsidRPr="00E43670">
        <w:trPr>
          <w:cnfStyle w:val="010000000000" w:firstRow="0" w:lastRow="1" w:firstColumn="0" w:lastColumn="0" w:oddVBand="0" w:evenVBand="0" w:oddHBand="0" w:evenHBand="0" w:firstRowFirstColumn="0" w:firstRowLastColumn="0" w:lastRowFirstColumn="0" w:lastRowLastColumn="0"/>
          <w:trHeight w:val="318"/>
        </w:trPr>
        <w:tc>
          <w:tcPr>
            <w:tcW w:w="1913" w:type="dxa"/>
          </w:tcPr>
          <w:p w:rsidR="00056051" w:rsidRPr="00E43670" w:rsidRDefault="00462023" w:rsidP="00462023">
            <w:pPr>
              <w:tabs>
                <w:tab w:val="left" w:pos="3285"/>
              </w:tabs>
              <w:rPr>
                <w:sz w:val="16"/>
                <w:szCs w:val="16"/>
              </w:rPr>
            </w:pPr>
            <w:r w:rsidRPr="00E43670">
              <w:rPr>
                <w:sz w:val="16"/>
                <w:szCs w:val="16"/>
              </w:rPr>
              <w:t>Myndigheter inom NU:s utgiftsområde 24 Näring</w:t>
            </w:r>
            <w:r w:rsidRPr="00E43670">
              <w:rPr>
                <w:sz w:val="16"/>
                <w:szCs w:val="16"/>
              </w:rPr>
              <w:t>s</w:t>
            </w:r>
            <w:r w:rsidRPr="00E43670">
              <w:rPr>
                <w:sz w:val="16"/>
                <w:szCs w:val="16"/>
              </w:rPr>
              <w:t>liv</w:t>
            </w:r>
          </w:p>
        </w:tc>
        <w:tc>
          <w:tcPr>
            <w:tcW w:w="855" w:type="dxa"/>
          </w:tcPr>
          <w:p w:rsidR="00056051" w:rsidRPr="00E43670" w:rsidRDefault="00462023" w:rsidP="00462023">
            <w:pPr>
              <w:tabs>
                <w:tab w:val="left" w:pos="3285"/>
              </w:tabs>
              <w:jc w:val="right"/>
              <w:rPr>
                <w:sz w:val="16"/>
                <w:szCs w:val="16"/>
              </w:rPr>
            </w:pPr>
            <w:r w:rsidRPr="00E43670">
              <w:rPr>
                <w:sz w:val="16"/>
                <w:szCs w:val="16"/>
              </w:rPr>
              <w:t>20</w:t>
            </w:r>
          </w:p>
        </w:tc>
        <w:tc>
          <w:tcPr>
            <w:tcW w:w="760" w:type="dxa"/>
          </w:tcPr>
          <w:p w:rsidR="00056051" w:rsidRPr="00E43670" w:rsidRDefault="00462023" w:rsidP="00462023">
            <w:pPr>
              <w:tabs>
                <w:tab w:val="left" w:pos="3285"/>
              </w:tabs>
              <w:jc w:val="right"/>
              <w:rPr>
                <w:sz w:val="16"/>
                <w:szCs w:val="16"/>
              </w:rPr>
            </w:pPr>
            <w:r w:rsidRPr="00E43670">
              <w:rPr>
                <w:sz w:val="16"/>
                <w:szCs w:val="16"/>
              </w:rPr>
              <w:t>136</w:t>
            </w:r>
          </w:p>
        </w:tc>
        <w:tc>
          <w:tcPr>
            <w:tcW w:w="866" w:type="dxa"/>
          </w:tcPr>
          <w:p w:rsidR="00056051" w:rsidRPr="00E43670" w:rsidRDefault="00462023" w:rsidP="00462023">
            <w:pPr>
              <w:tabs>
                <w:tab w:val="left" w:pos="3285"/>
              </w:tabs>
              <w:jc w:val="right"/>
              <w:rPr>
                <w:sz w:val="16"/>
                <w:szCs w:val="16"/>
              </w:rPr>
            </w:pPr>
            <w:r w:rsidRPr="00E43670">
              <w:rPr>
                <w:sz w:val="16"/>
                <w:szCs w:val="16"/>
              </w:rPr>
              <w:t>125</w:t>
            </w:r>
          </w:p>
        </w:tc>
        <w:tc>
          <w:tcPr>
            <w:tcW w:w="693" w:type="dxa"/>
          </w:tcPr>
          <w:p w:rsidR="00056051" w:rsidRPr="00E43670" w:rsidRDefault="00462023" w:rsidP="00462023">
            <w:pPr>
              <w:tabs>
                <w:tab w:val="left" w:pos="3285"/>
              </w:tabs>
              <w:jc w:val="right"/>
              <w:rPr>
                <w:sz w:val="16"/>
                <w:szCs w:val="16"/>
              </w:rPr>
            </w:pPr>
            <w:r w:rsidRPr="00E43670">
              <w:rPr>
                <w:sz w:val="16"/>
                <w:szCs w:val="16"/>
              </w:rPr>
              <w:t>304</w:t>
            </w:r>
          </w:p>
        </w:tc>
        <w:tc>
          <w:tcPr>
            <w:tcW w:w="842" w:type="dxa"/>
          </w:tcPr>
          <w:p w:rsidR="00056051" w:rsidRPr="00E43670" w:rsidRDefault="00462023" w:rsidP="00462023">
            <w:pPr>
              <w:tabs>
                <w:tab w:val="left" w:pos="3285"/>
              </w:tabs>
              <w:jc w:val="right"/>
              <w:rPr>
                <w:sz w:val="16"/>
                <w:szCs w:val="16"/>
              </w:rPr>
            </w:pPr>
            <w:r w:rsidRPr="00E43670">
              <w:rPr>
                <w:sz w:val="16"/>
                <w:szCs w:val="16"/>
              </w:rPr>
              <w:t>585</w:t>
            </w:r>
          </w:p>
        </w:tc>
      </w:tr>
    </w:tbl>
    <w:p w:rsidR="00303CA0" w:rsidRPr="00E43670" w:rsidRDefault="00303CA0" w:rsidP="000F5B97">
      <w:pPr>
        <w:pStyle w:val="R2"/>
      </w:pPr>
      <w:r w:rsidRPr="00E43670">
        <w:t>A</w:t>
      </w:r>
      <w:r w:rsidR="000F5B97" w:rsidRPr="00E43670">
        <w:t>llmänt om forskning och behovsmotiverad forskning</w:t>
      </w:r>
    </w:p>
    <w:p w:rsidR="00303CA0" w:rsidRPr="00E43670" w:rsidRDefault="00303CA0" w:rsidP="000F5B97">
      <w:pPr>
        <w:pStyle w:val="R3"/>
        <w:spacing w:before="110"/>
      </w:pPr>
      <w:r w:rsidRPr="00E43670">
        <w:t>Propositionen</w:t>
      </w:r>
    </w:p>
    <w:p w:rsidR="00303CA0" w:rsidRPr="00E43670" w:rsidRDefault="00303CA0" w:rsidP="00303CA0">
      <w:r w:rsidRPr="00E43670">
        <w:t>Målen för regeringens forskningspolitik ligger fast</w:t>
      </w:r>
      <w:r w:rsidR="000F5B97" w:rsidRPr="00E43670">
        <w:t>, sägs det i propositionen</w:t>
      </w:r>
      <w:r w:rsidRPr="00E43670">
        <w:t>. Sverige skall vara en ledande kunskaps- och forskningsnation där forskning bedrivs med hög v</w:t>
      </w:r>
      <w:r w:rsidRPr="00E43670">
        <w:t>e</w:t>
      </w:r>
      <w:r w:rsidRPr="00E43670">
        <w:t>tenskaplig kvalitet. Sverige skall vara ett av världens mest FoU-intensiva länder, vilket kräver fortsatt stora insatser av både staten och näringslivet. För att förverkliga visionen att Sverige skall bli Europas mest ko</w:t>
      </w:r>
      <w:r w:rsidRPr="00E43670">
        <w:t>n</w:t>
      </w:r>
      <w:r w:rsidRPr="00E43670">
        <w:t>kurrenskraftiga, dynamiska och kunskapsbaserade ekonomi måste svensk forskning fortsätta att hålla världsklass. I den offentliga debatten framkommer ibland en motsät</w:t>
      </w:r>
      <w:r w:rsidRPr="00E43670">
        <w:t>t</w:t>
      </w:r>
      <w:r w:rsidRPr="00E43670">
        <w:t>ning mellan grundforskning och behovsinriktad, ofta mer tillämpad, forskning. Motsättningen kan till del ha sin upprinnelse i en b</w:t>
      </w:r>
      <w:r w:rsidRPr="00E43670">
        <w:t>e</w:t>
      </w:r>
      <w:r w:rsidRPr="00E43670">
        <w:t>greppsförvirring. Behovsmotiverad forskning utgår från ett problem eller en frågeställning inom en sektor och kan innehålla element av både grundfors</w:t>
      </w:r>
      <w:r w:rsidRPr="00E43670">
        <w:t>k</w:t>
      </w:r>
      <w:r w:rsidRPr="00E43670">
        <w:t>ning och tillä</w:t>
      </w:r>
      <w:r w:rsidRPr="00E43670">
        <w:t>m</w:t>
      </w:r>
      <w:r w:rsidRPr="00E43670">
        <w:t>pad forskning. Forskare kan samtidigt vara engagerade i såväl grundforskning som tillämpad forskning. Det är inte ovanligt att just sådana forskningsmiljöer är framstående.</w:t>
      </w:r>
    </w:p>
    <w:p w:rsidR="00303CA0" w:rsidRPr="00E43670" w:rsidRDefault="00303CA0" w:rsidP="000F5B97">
      <w:pPr>
        <w:pStyle w:val="Normaltindrag"/>
      </w:pPr>
      <w:r w:rsidRPr="00E43670">
        <w:t>Regeringen anser att motsättningen mellan inomvetenskapligt motiverad forskning</w:t>
      </w:r>
      <w:r w:rsidR="000F5B97" w:rsidRPr="00E43670">
        <w:t xml:space="preserve"> och </w:t>
      </w:r>
      <w:r w:rsidRPr="00E43670">
        <w:t xml:space="preserve">grundforskning </w:t>
      </w:r>
      <w:r w:rsidR="000F5B97" w:rsidRPr="00E43670">
        <w:t xml:space="preserve">å ena sidan </w:t>
      </w:r>
      <w:r w:rsidRPr="00E43670">
        <w:t xml:space="preserve">och behovsmotiverad forskning </w:t>
      </w:r>
      <w:r w:rsidR="000F5B97" w:rsidRPr="00E43670">
        <w:t xml:space="preserve">å den andra </w:t>
      </w:r>
      <w:r w:rsidRPr="00E43670">
        <w:t>är olycklig. Ett framgångsrikt svenskt näringsliv med stor konku</w:t>
      </w:r>
      <w:r w:rsidRPr="00E43670">
        <w:t>r</w:t>
      </w:r>
      <w:r w:rsidRPr="00E43670">
        <w:t>renskraft är en förutsättning för välfärdssamhällets fortlevnad. För att det svenska näringslivet även i framtiden skall vara internationellt konkurren</w:t>
      </w:r>
      <w:r w:rsidRPr="00E43670">
        <w:t>s</w:t>
      </w:r>
      <w:r w:rsidRPr="00E43670">
        <w:t>kraftigt behövs en fortsatt stark inriktning mot produkter och processer med kunskapshöjd. I denna utveckling har även staten en viktig roll. En högtekn</w:t>
      </w:r>
      <w:r w:rsidRPr="00E43670">
        <w:t>o</w:t>
      </w:r>
      <w:r w:rsidRPr="00E43670">
        <w:t>logisk industri behöver god tillgång till kompetens inom sådana områden som är strategiska för denna sektor. Omfattande utbildning och en stark offentlig forskning och utveckling inom områden med relevans för det högteknologi</w:t>
      </w:r>
      <w:r w:rsidRPr="00E43670">
        <w:t>s</w:t>
      </w:r>
      <w:r w:rsidRPr="00E43670">
        <w:t>ka näringslivet är därmed viktiga. Sverige har en lång tradition av samarbete mellan akademisk fors</w:t>
      </w:r>
      <w:r w:rsidRPr="00E43670">
        <w:t>k</w:t>
      </w:r>
      <w:r w:rsidRPr="00E43670">
        <w:t>ning och de stora industriföretagen. Framöver bedöms de små och medelstora företagens betydelse för ekonomin öka, varför det är angeläget att det nyssnämnda samarbetet vidareutvecklas till att i större u</w:t>
      </w:r>
      <w:r w:rsidRPr="00E43670">
        <w:t>t</w:t>
      </w:r>
      <w:r w:rsidRPr="00E43670">
        <w:t>sträckning även omfatta små företag och nya branscher. De små företagen måste på ett bättre sätt kunna ta del av kunskapsutvecklingen inom univers</w:t>
      </w:r>
      <w:r w:rsidRPr="00E43670">
        <w:t>i</w:t>
      </w:r>
      <w:r w:rsidRPr="00E43670">
        <w:t>tet, högskolor och forskningsinst</w:t>
      </w:r>
      <w:r w:rsidRPr="00E43670">
        <w:t>i</w:t>
      </w:r>
      <w:r w:rsidRPr="00E43670">
        <w:t>tut.</w:t>
      </w:r>
    </w:p>
    <w:p w:rsidR="000F5B97" w:rsidRPr="00E43670" w:rsidRDefault="00303CA0" w:rsidP="000F5B97">
      <w:pPr>
        <w:pStyle w:val="Normaltindrag"/>
      </w:pPr>
      <w:r w:rsidRPr="00E43670">
        <w:t>Regeringen tillkallade hösten 2004 ett innovationspolitiskt råd som forum för diskussioner om riktlinjer för svensk innovationspolitik och strategier för tillväxt och förnyelse. Rådet leds av näringsministern. Forskningsberedningen och Innovationspolitiska rådet skall samarbeta bl.a. kring den strategi för innovation som presenterades i juni 2004 i skriften Innovativa Sverige – en strategi för tillväxt och förnyelse (Ds 2004:36).</w:t>
      </w:r>
    </w:p>
    <w:p w:rsidR="00303CA0" w:rsidRPr="00E43670" w:rsidRDefault="009509AC" w:rsidP="000F5B97">
      <w:pPr>
        <w:pStyle w:val="R3"/>
      </w:pPr>
      <w:r w:rsidRPr="00E43670">
        <w:t>Motionen</w:t>
      </w:r>
    </w:p>
    <w:p w:rsidR="00303CA0" w:rsidRPr="00E43670" w:rsidRDefault="00AA7F16" w:rsidP="00303CA0">
      <w:r w:rsidRPr="00E43670">
        <w:t xml:space="preserve">I motion </w:t>
      </w:r>
      <w:r w:rsidR="00303CA0" w:rsidRPr="00E43670">
        <w:t>2004/05:Ub11 (fp, m, kd, c)</w:t>
      </w:r>
      <w:r w:rsidRPr="00E43670">
        <w:t xml:space="preserve"> föreslås </w:t>
      </w:r>
      <w:r w:rsidR="009509AC" w:rsidRPr="00E43670">
        <w:t>bl.a. tillkännagivanden</w:t>
      </w:r>
      <w:r w:rsidRPr="00E43670">
        <w:t xml:space="preserve"> </w:t>
      </w:r>
      <w:r w:rsidR="00303CA0" w:rsidRPr="00E43670">
        <w:t xml:space="preserve">om </w:t>
      </w:r>
      <w:r w:rsidRPr="00E43670">
        <w:t>forskningspolitikens inriktning och</w:t>
      </w:r>
      <w:r w:rsidR="00303CA0" w:rsidRPr="00E43670">
        <w:t xml:space="preserve"> om ett bättre beslutsunderlag för förde</w:t>
      </w:r>
      <w:r w:rsidR="00303CA0" w:rsidRPr="00E43670">
        <w:t>l</w:t>
      </w:r>
      <w:r w:rsidR="00303CA0" w:rsidRPr="00E43670">
        <w:t>ningen av resurserna för forskning.</w:t>
      </w:r>
      <w:r w:rsidR="00904512" w:rsidRPr="00E43670">
        <w:t xml:space="preserve"> </w:t>
      </w:r>
      <w:r w:rsidR="00303CA0" w:rsidRPr="00E43670">
        <w:t>Sverige behöver en forskningspolitik som medverkar till att ge landet en möjlighet att bli en långsiktigt framstående aktör i det globala kunskapssamhället</w:t>
      </w:r>
      <w:r w:rsidR="00904512" w:rsidRPr="00E43670">
        <w:t>, anför motionärerna</w:t>
      </w:r>
      <w:r w:rsidR="00303CA0" w:rsidRPr="00E43670">
        <w:t>. De</w:t>
      </w:r>
      <w:r w:rsidR="00904512" w:rsidRPr="00E43670">
        <w:t xml:space="preserve"> anser att de</w:t>
      </w:r>
      <w:r w:rsidR="00303CA0" w:rsidRPr="00E43670">
        <w:t>t behövs starka, självständiga universitet och en mångfald av forskningsfina</w:t>
      </w:r>
      <w:r w:rsidR="00303CA0" w:rsidRPr="00E43670">
        <w:t>n</w:t>
      </w:r>
      <w:r w:rsidR="00303CA0" w:rsidRPr="00E43670">
        <w:t>siä</w:t>
      </w:r>
      <w:r w:rsidR="00904512" w:rsidRPr="00E43670">
        <w:t>rer. Vidare</w:t>
      </w:r>
      <w:r w:rsidR="00303CA0" w:rsidRPr="00E43670">
        <w:t xml:space="preserve"> behövs </w:t>
      </w:r>
      <w:r w:rsidR="00904512" w:rsidRPr="00E43670">
        <w:t xml:space="preserve">det </w:t>
      </w:r>
      <w:r w:rsidR="00303CA0" w:rsidRPr="00E43670">
        <w:t>ett företagsklimat som gör att de stora företagens forskning kan behå</w:t>
      </w:r>
      <w:r w:rsidR="00303CA0" w:rsidRPr="00E43670">
        <w:t>l</w:t>
      </w:r>
      <w:r w:rsidR="00303CA0" w:rsidRPr="00E43670">
        <w:t>las i Sverige, som kan locka andra företag till Sverige och som kan göra det möjligt för nya små och medelstora företag att växa upp. Att förmå utveckla och behålla attraktiv företagsforskning är en viktig del av en nationell forskningsstrategi</w:t>
      </w:r>
      <w:r w:rsidR="00904512" w:rsidRPr="00E43670">
        <w:t>, säger motionärerna</w:t>
      </w:r>
      <w:r w:rsidR="00303CA0" w:rsidRPr="00E43670">
        <w:t xml:space="preserve">. </w:t>
      </w:r>
      <w:r w:rsidR="00904512" w:rsidRPr="00E43670">
        <w:t>De menar att k</w:t>
      </w:r>
      <w:r w:rsidR="00303CA0" w:rsidRPr="00E43670">
        <w:t>unskapsklu</w:t>
      </w:r>
      <w:r w:rsidR="00303CA0" w:rsidRPr="00E43670">
        <w:t>s</w:t>
      </w:r>
      <w:r w:rsidR="00303CA0" w:rsidRPr="00E43670">
        <w:t>ter i världsklass som redan finns eller är på väg att etableras behöver stimul</w:t>
      </w:r>
      <w:r w:rsidR="00303CA0" w:rsidRPr="00E43670">
        <w:t>e</w:t>
      </w:r>
      <w:r w:rsidR="00303CA0" w:rsidRPr="00E43670">
        <w:t>ras</w:t>
      </w:r>
      <w:r w:rsidR="00FC76CB" w:rsidRPr="00E43670">
        <w:t xml:space="preserve">. </w:t>
      </w:r>
      <w:r w:rsidR="00303CA0" w:rsidRPr="00E43670">
        <w:t>Det måste finnas utrymme för fri långsiktig forskning</w:t>
      </w:r>
      <w:r w:rsidR="00904512" w:rsidRPr="00E43670">
        <w:t>, a</w:t>
      </w:r>
      <w:r w:rsidR="00303CA0" w:rsidRPr="00E43670">
        <w:t>nnars kommer också den mer behovsinriktade fors</w:t>
      </w:r>
      <w:r w:rsidR="00303CA0" w:rsidRPr="00E43670">
        <w:t>k</w:t>
      </w:r>
      <w:r w:rsidR="00303CA0" w:rsidRPr="00E43670">
        <w:t>ningen att utarmas</w:t>
      </w:r>
      <w:r w:rsidR="00904512" w:rsidRPr="00E43670">
        <w:t>, påstår motionärerna</w:t>
      </w:r>
      <w:r w:rsidR="00303CA0" w:rsidRPr="00E43670">
        <w:t xml:space="preserve">. </w:t>
      </w:r>
      <w:r w:rsidR="00904512" w:rsidRPr="00E43670">
        <w:t>Sverige ligger sedan flera år i topp n</w:t>
      </w:r>
      <w:r w:rsidR="00303CA0" w:rsidRPr="00E43670">
        <w:t xml:space="preserve">är </w:t>
      </w:r>
      <w:r w:rsidR="00904512" w:rsidRPr="00E43670">
        <w:t xml:space="preserve">det gäller </w:t>
      </w:r>
      <w:r w:rsidR="00303CA0" w:rsidRPr="00E43670">
        <w:t>forsknings- och utveckling</w:t>
      </w:r>
      <w:r w:rsidR="00303CA0" w:rsidRPr="00E43670">
        <w:t>s</w:t>
      </w:r>
      <w:r w:rsidR="00303CA0" w:rsidRPr="00E43670">
        <w:t>insatser som andel av BNP</w:t>
      </w:r>
      <w:r w:rsidR="00904512" w:rsidRPr="00E43670">
        <w:t xml:space="preserve">, men </w:t>
      </w:r>
      <w:r w:rsidR="00303CA0" w:rsidRPr="00E43670">
        <w:t xml:space="preserve">detta </w:t>
      </w:r>
      <w:r w:rsidR="00FC76CB" w:rsidRPr="00E43670">
        <w:t xml:space="preserve">beror </w:t>
      </w:r>
      <w:r w:rsidR="00303CA0" w:rsidRPr="00E43670">
        <w:t>huvudsakligen på stora insa</w:t>
      </w:r>
      <w:r w:rsidR="00303CA0" w:rsidRPr="00E43670">
        <w:t>t</w:t>
      </w:r>
      <w:r w:rsidR="00303CA0" w:rsidRPr="00E43670">
        <w:t>ser inom näringslivet och försvaret</w:t>
      </w:r>
      <w:r w:rsidR="00904512" w:rsidRPr="00E43670">
        <w:t>, framhåller motionärerna</w:t>
      </w:r>
      <w:r w:rsidR="00303CA0" w:rsidRPr="00E43670">
        <w:t xml:space="preserve">. </w:t>
      </w:r>
      <w:r w:rsidR="00904512" w:rsidRPr="00E43670">
        <w:t>De konst</w:t>
      </w:r>
      <w:r w:rsidR="00904512" w:rsidRPr="00E43670">
        <w:t>a</w:t>
      </w:r>
      <w:r w:rsidR="00904512" w:rsidRPr="00E43670">
        <w:t>terar att f</w:t>
      </w:r>
      <w:r w:rsidR="00303CA0" w:rsidRPr="00E43670">
        <w:t>öretagens insa</w:t>
      </w:r>
      <w:r w:rsidR="00303CA0" w:rsidRPr="00E43670">
        <w:t>t</w:t>
      </w:r>
      <w:r w:rsidR="00303CA0" w:rsidRPr="00E43670">
        <w:t>ser har lett till stora framgångar, inte minst i</w:t>
      </w:r>
      <w:r w:rsidR="00FC76CB" w:rsidRPr="00E43670">
        <w:t>nom tillämpad forskning</w:t>
      </w:r>
      <w:r w:rsidR="00303CA0" w:rsidRPr="00E43670">
        <w:t>. Företagen är dock känsl</w:t>
      </w:r>
      <w:r w:rsidR="00303CA0" w:rsidRPr="00E43670">
        <w:t>i</w:t>
      </w:r>
      <w:r w:rsidR="00303CA0" w:rsidRPr="00E43670">
        <w:t>ga för flera faktorer utanför ramen för utbildningspolitiken och forskningsp</w:t>
      </w:r>
      <w:r w:rsidR="00303CA0" w:rsidRPr="00E43670">
        <w:t>o</w:t>
      </w:r>
      <w:r w:rsidR="00303CA0" w:rsidRPr="00E43670">
        <w:t>litiken – det ekonomiska klimatet, de allmänna villkoren för företagande och tillgången på utbi</w:t>
      </w:r>
      <w:r w:rsidR="00303CA0" w:rsidRPr="00E43670">
        <w:t>l</w:t>
      </w:r>
      <w:r w:rsidR="00303CA0" w:rsidRPr="00E43670">
        <w:t>dad arbetskraft</w:t>
      </w:r>
      <w:r w:rsidR="00904512" w:rsidRPr="00E43670">
        <w:t>, anför motionärerna</w:t>
      </w:r>
      <w:r w:rsidR="00303CA0" w:rsidRPr="00E43670">
        <w:t xml:space="preserve">. </w:t>
      </w:r>
    </w:p>
    <w:p w:rsidR="00303CA0" w:rsidRPr="00E43670" w:rsidRDefault="00303CA0" w:rsidP="00904512">
      <w:pPr>
        <w:pStyle w:val="Normaltindrag"/>
      </w:pPr>
      <w:r w:rsidRPr="00E43670">
        <w:t>Sverige behöver en nationell strategi för att skapa en attraktiv miljö för högre utbildning och forskning</w:t>
      </w:r>
      <w:r w:rsidR="00FC76CB" w:rsidRPr="00E43670">
        <w:t xml:space="preserve"> och en forskningspolitik som medverkar till att ge landet en reell möjlighet att bli en framstående aktör på den globala kunskapsarenan</w:t>
      </w:r>
      <w:r w:rsidR="00904512" w:rsidRPr="00E43670">
        <w:t>, säger motionärerna</w:t>
      </w:r>
      <w:r w:rsidRPr="00E43670">
        <w:t xml:space="preserve">. </w:t>
      </w:r>
      <w:r w:rsidR="00904512" w:rsidRPr="00E43670">
        <w:t>F</w:t>
      </w:r>
      <w:r w:rsidRPr="00E43670">
        <w:t>orskningsproposition</w:t>
      </w:r>
      <w:r w:rsidR="00B520FD" w:rsidRPr="00E43670">
        <w:t>en</w:t>
      </w:r>
      <w:r w:rsidRPr="00E43670">
        <w:t xml:space="preserve"> innehå</w:t>
      </w:r>
      <w:r w:rsidRPr="00E43670">
        <w:t>l</w:t>
      </w:r>
      <w:r w:rsidRPr="00E43670">
        <w:t>ler främst en beskrivning av hur regeringen avser att fördela tillgängliga r</w:t>
      </w:r>
      <w:r w:rsidRPr="00E43670">
        <w:t>e</w:t>
      </w:r>
      <w:r w:rsidRPr="00E43670">
        <w:t>surser</w:t>
      </w:r>
      <w:r w:rsidR="00904512" w:rsidRPr="00E43670">
        <w:t>, anför motionärerna</w:t>
      </w:r>
      <w:r w:rsidRPr="00E43670">
        <w:t>. De</w:t>
      </w:r>
      <w:r w:rsidR="007055B7" w:rsidRPr="00E43670">
        <w:t xml:space="preserve"> menar att proposition</w:t>
      </w:r>
      <w:r w:rsidR="00904512" w:rsidRPr="00E43670">
        <w:t>e</w:t>
      </w:r>
      <w:r w:rsidRPr="00E43670">
        <w:t xml:space="preserve">n </w:t>
      </w:r>
      <w:r w:rsidR="00904512" w:rsidRPr="00E43670">
        <w:t xml:space="preserve">inte </w:t>
      </w:r>
      <w:r w:rsidRPr="00E43670">
        <w:t>innehåller n</w:t>
      </w:r>
      <w:r w:rsidR="00904512" w:rsidRPr="00E43670">
        <w:t>å</w:t>
      </w:r>
      <w:r w:rsidRPr="00E43670">
        <w:t>g</w:t>
      </w:r>
      <w:r w:rsidR="00904512" w:rsidRPr="00E43670">
        <w:t>o</w:t>
      </w:r>
      <w:r w:rsidRPr="00E43670">
        <w:t>n syst</w:t>
      </w:r>
      <w:r w:rsidRPr="00E43670">
        <w:t>e</w:t>
      </w:r>
      <w:r w:rsidRPr="00E43670">
        <w:t>matisk genomgång av principer och mål vad avser statens roll i fråga om forskning och utveckling</w:t>
      </w:r>
      <w:r w:rsidRPr="00E43670">
        <w:t>s</w:t>
      </w:r>
      <w:r w:rsidRPr="00E43670">
        <w:t>arbe</w:t>
      </w:r>
      <w:r w:rsidR="007055B7" w:rsidRPr="00E43670">
        <w:t>te och att d</w:t>
      </w:r>
      <w:r w:rsidRPr="00E43670">
        <w:t xml:space="preserve">et </w:t>
      </w:r>
      <w:r w:rsidR="007055B7" w:rsidRPr="00E43670">
        <w:t xml:space="preserve">inte heller </w:t>
      </w:r>
      <w:r w:rsidRPr="00E43670">
        <w:t xml:space="preserve">finns någon tydlig forskningspolitisk inriktning. Propositionen </w:t>
      </w:r>
      <w:r w:rsidR="003445C4" w:rsidRPr="00E43670">
        <w:t>omfattar</w:t>
      </w:r>
      <w:r w:rsidRPr="00E43670">
        <w:t xml:space="preserve"> inga förslag om nya forskningsresurser utöver de som redan avise</w:t>
      </w:r>
      <w:r w:rsidR="007055B7" w:rsidRPr="00E43670">
        <w:t>rats och r</w:t>
      </w:r>
      <w:r w:rsidRPr="00E43670">
        <w:t>egeringen redov</w:t>
      </w:r>
      <w:r w:rsidRPr="00E43670">
        <w:t>i</w:t>
      </w:r>
      <w:r w:rsidRPr="00E43670">
        <w:t>sar inte heller någon utvärdering av vad som uppnåtts som ett resultat av den föregående forskningspolitiska propositionen</w:t>
      </w:r>
      <w:r w:rsidR="007055B7" w:rsidRPr="00E43670">
        <w:t>, säger motion</w:t>
      </w:r>
      <w:r w:rsidR="007055B7" w:rsidRPr="00E43670">
        <w:t>ä</w:t>
      </w:r>
      <w:r w:rsidR="007055B7" w:rsidRPr="00E43670">
        <w:t>rerna</w:t>
      </w:r>
      <w:r w:rsidRPr="00E43670">
        <w:t xml:space="preserve">. </w:t>
      </w:r>
    </w:p>
    <w:p w:rsidR="00303CA0" w:rsidRPr="00E43670" w:rsidRDefault="007055B7" w:rsidP="007055B7">
      <w:pPr>
        <w:pStyle w:val="Normaltindrag"/>
      </w:pPr>
      <w:r w:rsidRPr="00E43670">
        <w:t xml:space="preserve">Motionärerna </w:t>
      </w:r>
      <w:r w:rsidR="00303CA0" w:rsidRPr="00E43670">
        <w:t>anser att det krävs ett bättre beslutsunderlag för svensk forskningspoli</w:t>
      </w:r>
      <w:r w:rsidRPr="00E43670">
        <w:t xml:space="preserve">tik och att det bör ske en </w:t>
      </w:r>
      <w:r w:rsidR="00303CA0" w:rsidRPr="00E43670">
        <w:t>återgå</w:t>
      </w:r>
      <w:r w:rsidRPr="00E43670">
        <w:t>ng</w:t>
      </w:r>
      <w:r w:rsidR="00303CA0" w:rsidRPr="00E43670">
        <w:t xml:space="preserve"> till den princip som tidig</w:t>
      </w:r>
      <w:r w:rsidR="00303CA0" w:rsidRPr="00E43670">
        <w:t>a</w:t>
      </w:r>
      <w:r w:rsidRPr="00E43670">
        <w:t>re gällde</w:t>
      </w:r>
      <w:r w:rsidR="00303CA0" w:rsidRPr="00E43670">
        <w:t>, nämligen att de politiska organen endast skall göra övergripan</w:t>
      </w:r>
      <w:r w:rsidRPr="00E43670">
        <w:t xml:space="preserve">de </w:t>
      </w:r>
      <w:r w:rsidR="00303CA0" w:rsidRPr="00E43670">
        <w:t>b</w:t>
      </w:r>
      <w:r w:rsidR="00303CA0" w:rsidRPr="00E43670">
        <w:t>e</w:t>
      </w:r>
      <w:r w:rsidR="00303CA0" w:rsidRPr="00E43670">
        <w:t>dömningar, medan universitet, högskolor och forskningsfinansierande my</w:t>
      </w:r>
      <w:r w:rsidR="00303CA0" w:rsidRPr="00E43670">
        <w:t>n</w:t>
      </w:r>
      <w:r w:rsidR="00303CA0" w:rsidRPr="00E43670">
        <w:t>digheter skall svara för vetenskapliga och professi</w:t>
      </w:r>
      <w:r w:rsidR="00303CA0" w:rsidRPr="00E43670">
        <w:t>o</w:t>
      </w:r>
      <w:r w:rsidR="00303CA0" w:rsidRPr="00E43670">
        <w:t>nella bedömningar och den närmare uppläggningen av verksamh</w:t>
      </w:r>
      <w:r w:rsidR="00303CA0" w:rsidRPr="00E43670">
        <w:t>e</w:t>
      </w:r>
      <w:r w:rsidR="00303CA0" w:rsidRPr="00E43670">
        <w:t>ten. Det behövs också ett bättre beslutsunderlag för hur de statliga resurserna till forskning skall fördelas för att uppnå balans mellan fasta och rörliga resurser, dvs. me</w:t>
      </w:r>
      <w:r w:rsidR="00303CA0" w:rsidRPr="00E43670">
        <w:t>l</w:t>
      </w:r>
      <w:r w:rsidR="00303CA0" w:rsidRPr="00E43670">
        <w:t>lan direkta anslag till universitet och högskolor å ena sidan och resu</w:t>
      </w:r>
      <w:r w:rsidR="00303CA0" w:rsidRPr="00E43670">
        <w:t>r</w:t>
      </w:r>
      <w:r w:rsidR="00303CA0" w:rsidRPr="00E43670">
        <w:t>serna via forskningsråden och Vinnova å den andra</w:t>
      </w:r>
      <w:r w:rsidRPr="00E43670">
        <w:t>, anför motionärerna</w:t>
      </w:r>
      <w:r w:rsidR="00303CA0" w:rsidRPr="00E43670">
        <w:t>.</w:t>
      </w:r>
    </w:p>
    <w:p w:rsidR="00303CA0" w:rsidRPr="00E43670" w:rsidRDefault="007055B7" w:rsidP="007055B7">
      <w:pPr>
        <w:pStyle w:val="Normaltindrag"/>
      </w:pPr>
      <w:r w:rsidRPr="00E43670">
        <w:t>Anslagen till forskningen måste höjas betydligt mer än vad regeringen f</w:t>
      </w:r>
      <w:r w:rsidRPr="00E43670">
        <w:t>ö</w:t>
      </w:r>
      <w:r w:rsidRPr="00E43670">
        <w:t>reslår o</w:t>
      </w:r>
      <w:r w:rsidR="00B520FD" w:rsidRPr="00E43670">
        <w:t>m det skall bli</w:t>
      </w:r>
      <w:r w:rsidRPr="00E43670">
        <w:t xml:space="preserve"> </w:t>
      </w:r>
      <w:r w:rsidR="00303CA0" w:rsidRPr="00E43670">
        <w:t>en reell satsning på forskning för utveckling, til</w:t>
      </w:r>
      <w:r w:rsidR="00303CA0" w:rsidRPr="00E43670">
        <w:t>l</w:t>
      </w:r>
      <w:r w:rsidRPr="00E43670">
        <w:t>växt och ett bättre liv, anser motionärerna</w:t>
      </w:r>
      <w:r w:rsidR="00303CA0" w:rsidRPr="00E43670">
        <w:t xml:space="preserve">. </w:t>
      </w:r>
      <w:r w:rsidRPr="00E43670">
        <w:t>De föreslår – u</w:t>
      </w:r>
      <w:r w:rsidR="00303CA0" w:rsidRPr="00E43670">
        <w:t>töver regerin</w:t>
      </w:r>
      <w:r w:rsidR="00303CA0" w:rsidRPr="00E43670">
        <w:t>g</w:t>
      </w:r>
      <w:r w:rsidR="00303CA0" w:rsidRPr="00E43670">
        <w:t xml:space="preserve">ens totala ökning av fakultetsanslagen med 520 miljoner kronor </w:t>
      </w:r>
      <w:r w:rsidRPr="00E43670">
        <w:t xml:space="preserve">– </w:t>
      </w:r>
      <w:r w:rsidR="00303CA0" w:rsidRPr="00E43670">
        <w:t>ytterligare</w:t>
      </w:r>
      <w:r w:rsidRPr="00E43670">
        <w:t xml:space="preserve"> </w:t>
      </w:r>
      <w:r w:rsidR="00303CA0" w:rsidRPr="00E43670">
        <w:t>200 milj</w:t>
      </w:r>
      <w:r w:rsidR="00303CA0" w:rsidRPr="00E43670">
        <w:t>o</w:t>
      </w:r>
      <w:r w:rsidR="00303CA0" w:rsidRPr="00E43670">
        <w:t>ner kronor år 2006, 300 miljoner kronor år 2007, 400 miljoner kr</w:t>
      </w:r>
      <w:r w:rsidR="00303CA0" w:rsidRPr="00E43670">
        <w:t>o</w:t>
      </w:r>
      <w:r w:rsidR="00303CA0" w:rsidRPr="00E43670">
        <w:t xml:space="preserve">nor år 2008, 500 miljoner kronor år 2009 och 600 </w:t>
      </w:r>
      <w:r w:rsidRPr="00E43670">
        <w:t>miljoner kronor år 2010, vilket t</w:t>
      </w:r>
      <w:r w:rsidR="00303CA0" w:rsidRPr="00E43670">
        <w:t>otalt innebär ytterligare 2 m</w:t>
      </w:r>
      <w:r w:rsidRPr="00E43670">
        <w:t>iljarder kronor till forskning</w:t>
      </w:r>
      <w:r w:rsidR="00303CA0" w:rsidRPr="00E43670">
        <w:t xml:space="preserve">.   </w:t>
      </w:r>
    </w:p>
    <w:p w:rsidR="00303CA0" w:rsidRPr="00E43670" w:rsidRDefault="00303CA0" w:rsidP="00791E75">
      <w:pPr>
        <w:pStyle w:val="R2"/>
      </w:pPr>
      <w:r w:rsidRPr="00E43670">
        <w:t>P</w:t>
      </w:r>
      <w:r w:rsidR="00791E75" w:rsidRPr="00E43670">
        <w:t>rioriterade forskningsområden</w:t>
      </w:r>
    </w:p>
    <w:p w:rsidR="00303CA0" w:rsidRPr="00E43670" w:rsidRDefault="00303CA0" w:rsidP="00791E75">
      <w:pPr>
        <w:pStyle w:val="R3"/>
        <w:spacing w:before="110"/>
      </w:pPr>
      <w:r w:rsidRPr="00E43670">
        <w:t>Propositionen</w:t>
      </w:r>
    </w:p>
    <w:p w:rsidR="00303CA0" w:rsidRPr="00E43670" w:rsidRDefault="00303CA0" w:rsidP="00791E75">
      <w:pPr>
        <w:pStyle w:val="R4"/>
        <w:spacing w:before="125"/>
      </w:pPr>
      <w:r w:rsidRPr="00E43670">
        <w:t>Inledning</w:t>
      </w:r>
    </w:p>
    <w:p w:rsidR="00791E75" w:rsidRPr="00E43670" w:rsidRDefault="00791E75" w:rsidP="00791E75">
      <w:r w:rsidRPr="00E43670">
        <w:t xml:space="preserve">Som tidigare nämnts anges i propositionen </w:t>
      </w:r>
      <w:r w:rsidR="00303CA0" w:rsidRPr="00E43670">
        <w:t>tre forskningsområden som prior</w:t>
      </w:r>
      <w:r w:rsidR="00303CA0" w:rsidRPr="00E43670">
        <w:t>i</w:t>
      </w:r>
      <w:r w:rsidR="00303CA0" w:rsidRPr="00E43670">
        <w:t>terade, nä</w:t>
      </w:r>
      <w:r w:rsidR="00303CA0" w:rsidRPr="00E43670">
        <w:t>m</w:t>
      </w:r>
      <w:r w:rsidR="00303CA0" w:rsidRPr="00E43670">
        <w:t>ligen medicinsk forskning, teknisk forskning och forskning till stöd för hållbar utveckling. Näringsutskottet</w:t>
      </w:r>
      <w:r w:rsidR="003D449E" w:rsidRPr="00E43670">
        <w:t xml:space="preserve"> tar här upp de två sistnämnda områdena, där myndigheter på näringsutskottets ansvars</w:t>
      </w:r>
      <w:r w:rsidR="00303CA0" w:rsidRPr="00E43670">
        <w:t>område berörs</w:t>
      </w:r>
      <w:r w:rsidR="00B674A7" w:rsidRPr="00E43670">
        <w:t>, nä</w:t>
      </w:r>
      <w:r w:rsidR="00B674A7" w:rsidRPr="00E43670">
        <w:t>m</w:t>
      </w:r>
      <w:r w:rsidR="00B674A7" w:rsidRPr="00E43670">
        <w:t>ligen Vinnova och Rymdstyrelsen.</w:t>
      </w:r>
      <w:r w:rsidR="00303CA0" w:rsidRPr="00E43670">
        <w:t xml:space="preserve"> </w:t>
      </w:r>
      <w:r w:rsidR="00B674A7" w:rsidRPr="00E43670">
        <w:t>För den medicinska forskningen, där oc</w:t>
      </w:r>
      <w:r w:rsidR="00B674A7" w:rsidRPr="00E43670">
        <w:t>k</w:t>
      </w:r>
      <w:r w:rsidR="00B674A7" w:rsidRPr="00E43670">
        <w:t xml:space="preserve">så behovsmotiverad forskning kan vara aktuell, tillhör de berörda aktörerna – Vetenskapsrådet och Forskningsrådet för arbetsliv och socialvetenskap (FAS) – inte näringsutskottets </w:t>
      </w:r>
      <w:r w:rsidR="003445C4" w:rsidRPr="00E43670">
        <w:t>berednings</w:t>
      </w:r>
      <w:r w:rsidR="00B674A7" w:rsidRPr="00E43670">
        <w:t>område</w:t>
      </w:r>
      <w:r w:rsidRPr="00E43670">
        <w:t>.</w:t>
      </w:r>
    </w:p>
    <w:p w:rsidR="00303CA0" w:rsidRPr="00E43670" w:rsidRDefault="00303CA0" w:rsidP="00791E75">
      <w:pPr>
        <w:pStyle w:val="R4"/>
      </w:pPr>
      <w:r w:rsidRPr="00E43670">
        <w:t>Teknisk forskning</w:t>
      </w:r>
    </w:p>
    <w:p w:rsidR="00303CA0" w:rsidRPr="00E43670" w:rsidRDefault="00791E75" w:rsidP="00303CA0">
      <w:r w:rsidRPr="00E43670">
        <w:t xml:space="preserve">Regeringen gör </w:t>
      </w:r>
      <w:r w:rsidR="00303CA0" w:rsidRPr="00E43670">
        <w:t>bedömning</w:t>
      </w:r>
      <w:r w:rsidRPr="00E43670">
        <w:t xml:space="preserve">en att </w:t>
      </w:r>
      <w:r w:rsidR="00303CA0" w:rsidRPr="00E43670">
        <w:t>Vetenskapsrådet, Vinnova och Rymdstyre</w:t>
      </w:r>
      <w:r w:rsidR="00303CA0" w:rsidRPr="00E43670">
        <w:t>l</w:t>
      </w:r>
      <w:r w:rsidRPr="00E43670">
        <w:t>sen</w:t>
      </w:r>
      <w:r w:rsidR="00303CA0" w:rsidRPr="00E43670">
        <w:t xml:space="preserve"> under åren 2005–2008 tillsammans </w:t>
      </w:r>
      <w:r w:rsidRPr="00E43670">
        <w:t xml:space="preserve">bör </w:t>
      </w:r>
      <w:r w:rsidR="00303CA0" w:rsidRPr="00E43670">
        <w:t>tillföras 350 miljoner kronor för stöd till teknisk forskning, varav 160 miljoner kronor till Vetenskapsrådet, 180 miljoner kronor till Vinnova och 10 miljoner kronor till Rymdstyrelsen. Medlen till Vetenskapsrådet bör öka med 10 miljoner kronor år 2005, ytterl</w:t>
      </w:r>
      <w:r w:rsidR="00303CA0" w:rsidRPr="00E43670">
        <w:t>i</w:t>
      </w:r>
      <w:r w:rsidR="00303CA0" w:rsidRPr="00E43670">
        <w:t>gare 45 miljoner kronor år 2006, ytterligare 25 miljoner kronor år 2007 och ytte</w:t>
      </w:r>
      <w:r w:rsidR="00303CA0" w:rsidRPr="00E43670">
        <w:t>r</w:t>
      </w:r>
      <w:r w:rsidR="00303CA0" w:rsidRPr="00E43670">
        <w:t>ligare 80 miljoner kronor år 2008. Medlen till Vinnova bör öka med</w:t>
      </w:r>
      <w:r w:rsidR="000B32CE" w:rsidRPr="00E43670">
        <w:t xml:space="preserve">     </w:t>
      </w:r>
      <w:r w:rsidR="00303CA0" w:rsidRPr="00E43670">
        <w:t xml:space="preserve"> 10 miljoner kronor år 2005, ytterlig</w:t>
      </w:r>
      <w:r w:rsidR="00303CA0" w:rsidRPr="00E43670">
        <w:t>a</w:t>
      </w:r>
      <w:r w:rsidR="00303CA0" w:rsidRPr="00E43670">
        <w:t>re 45 miljoner kronor år 2006, ytterligare 25 miljoner kronor år 2007 och ytterligare 100 miljoner kronor år 2008. Me</w:t>
      </w:r>
      <w:r w:rsidR="00303CA0" w:rsidRPr="00E43670">
        <w:t>d</w:t>
      </w:r>
      <w:r w:rsidR="00303CA0" w:rsidRPr="00E43670">
        <w:t>len till Rymdstyrelsen för rym</w:t>
      </w:r>
      <w:r w:rsidR="00303CA0" w:rsidRPr="00E43670">
        <w:t>d</w:t>
      </w:r>
      <w:r w:rsidR="00303CA0" w:rsidRPr="00E43670">
        <w:t>forskning bör öka med 5 miljoner kronor år 2006 och ytterligare 5 miljoner kronor år 2007.</w:t>
      </w:r>
    </w:p>
    <w:p w:rsidR="00303CA0" w:rsidRPr="00E43670" w:rsidRDefault="00791E75" w:rsidP="00791E75">
      <w:pPr>
        <w:pStyle w:val="Normaltindrag"/>
      </w:pPr>
      <w:r w:rsidRPr="00E43670">
        <w:t>Som b</w:t>
      </w:r>
      <w:r w:rsidR="00303CA0" w:rsidRPr="00E43670">
        <w:t>akgrund</w:t>
      </w:r>
      <w:r w:rsidRPr="00E43670">
        <w:t xml:space="preserve"> redovisas att, e</w:t>
      </w:r>
      <w:r w:rsidR="00303CA0" w:rsidRPr="00E43670">
        <w:t>nligt Statistiska centralbyrån (SCB)</w:t>
      </w:r>
      <w:r w:rsidRPr="00E43670">
        <w:t>,</w:t>
      </w:r>
      <w:r w:rsidR="00303CA0" w:rsidRPr="00E43670">
        <w:t xml:space="preserve"> st</w:t>
      </w:r>
      <w:r w:rsidR="00303CA0" w:rsidRPr="00E43670">
        <w:t>a</w:t>
      </w:r>
      <w:r w:rsidR="00303CA0" w:rsidRPr="00E43670">
        <w:t xml:space="preserve">ten år 2004 </w:t>
      </w:r>
      <w:r w:rsidRPr="00E43670">
        <w:t xml:space="preserve">avsatte </w:t>
      </w:r>
      <w:r w:rsidR="00303CA0" w:rsidRPr="00E43670">
        <w:t>2,1 miljarder kronor för teknisk forskning. Utöver detta förd</w:t>
      </w:r>
      <w:r w:rsidR="00303CA0" w:rsidRPr="00E43670">
        <w:t>e</w:t>
      </w:r>
      <w:r w:rsidR="00303CA0" w:rsidRPr="00E43670">
        <w:t>lade forskningsstiftelserna ca 1,5 miljarder kronor, varav mer än 50 % avsåg teknisk forskning. Teknisk forskning finansieras även från andra källor, s</w:t>
      </w:r>
      <w:r w:rsidR="00303CA0" w:rsidRPr="00E43670">
        <w:t>å</w:t>
      </w:r>
      <w:r w:rsidR="00303CA0" w:rsidRPr="00E43670">
        <w:t>som näringslivet och privata stiftelser. Sammantaget uppgick avsättningarna till nästan 3 miljarder kronor. Den</w:t>
      </w:r>
      <w:r w:rsidR="009768B9" w:rsidRPr="00E43670">
        <w:t xml:space="preserve"> offentligt finansierade civila</w:t>
      </w:r>
      <w:r w:rsidR="00303CA0" w:rsidRPr="00E43670">
        <w:t xml:space="preserve"> tekniska fors</w:t>
      </w:r>
      <w:r w:rsidR="00303CA0" w:rsidRPr="00E43670">
        <w:t>k</w:t>
      </w:r>
      <w:r w:rsidR="00303CA0" w:rsidRPr="00E43670">
        <w:t>ningen är mindre i Sverige än i motsvarande länder – Finland har t.ex. ungefär lika omfattande civil teknisk forskning som Sverige trots sitt lägre inv</w:t>
      </w:r>
      <w:r w:rsidR="00303CA0" w:rsidRPr="00E43670">
        <w:t>å</w:t>
      </w:r>
      <w:r w:rsidR="00303CA0" w:rsidRPr="00E43670">
        <w:t>narantal. Huvuddelen av forskning och utveckling inom teknikområdet fina</w:t>
      </w:r>
      <w:r w:rsidR="00303CA0" w:rsidRPr="00E43670">
        <w:t>n</w:t>
      </w:r>
      <w:r w:rsidR="00303CA0" w:rsidRPr="00E43670">
        <w:t>sieras dock främst av och utförs i näringslivet. De neddragningar inom nä</w:t>
      </w:r>
      <w:r w:rsidR="00303CA0" w:rsidRPr="00E43670">
        <w:t>r</w:t>
      </w:r>
      <w:r w:rsidR="00303CA0" w:rsidRPr="00E43670">
        <w:t>ingslivets FoU som gjorts i samband med den senaste lågkonjunkturen har därmed även minskat den sammanlagda tekniska forskningen i Sverige. Sa</w:t>
      </w:r>
      <w:r w:rsidR="00303CA0" w:rsidRPr="00E43670">
        <w:t>m</w:t>
      </w:r>
      <w:r w:rsidR="00303CA0" w:rsidRPr="00E43670">
        <w:t>tidigt har även stödet från forskningsstiftelserna minskat. Sammantaget bet</w:t>
      </w:r>
      <w:r w:rsidR="00303CA0" w:rsidRPr="00E43670">
        <w:t>y</w:t>
      </w:r>
      <w:r w:rsidR="00303CA0" w:rsidRPr="00E43670">
        <w:t>der detta att den tekniska forskningen i Sverige har minskat och fortsätter att minska</w:t>
      </w:r>
      <w:r w:rsidRPr="00E43670">
        <w:t>, konstaterar regeringen</w:t>
      </w:r>
      <w:r w:rsidR="00303CA0" w:rsidRPr="00E43670">
        <w:t xml:space="preserve">.  </w:t>
      </w:r>
    </w:p>
    <w:p w:rsidR="00303CA0" w:rsidRPr="00E43670" w:rsidRDefault="00303CA0" w:rsidP="00791E75">
      <w:pPr>
        <w:pStyle w:val="Normaltindrag"/>
      </w:pPr>
      <w:r w:rsidRPr="00E43670">
        <w:t xml:space="preserve">Bland de tekniska områden som </w:t>
      </w:r>
      <w:r w:rsidR="00791E75" w:rsidRPr="00E43670">
        <w:t xml:space="preserve">har </w:t>
      </w:r>
      <w:r w:rsidRPr="00E43670">
        <w:t>lyfts fram i rådens och lärosätenas forskningsstrategier och som förts fram i kontakter med näringslivets repr</w:t>
      </w:r>
      <w:r w:rsidRPr="00E43670">
        <w:t>e</w:t>
      </w:r>
      <w:r w:rsidRPr="00E43670">
        <w:t>senta</w:t>
      </w:r>
      <w:r w:rsidRPr="00E43670">
        <w:t>n</w:t>
      </w:r>
      <w:r w:rsidRPr="00E43670">
        <w:t>ter finns forskning inom informations- och kommunikationsteknik, materia</w:t>
      </w:r>
      <w:r w:rsidRPr="00E43670">
        <w:t>l</w:t>
      </w:r>
      <w:r w:rsidRPr="00E43670">
        <w:t>forskning med både mikro- och nanovetenskap, biovetenskap och bioteknik samt process- och produktionsteknik</w:t>
      </w:r>
      <w:r w:rsidR="00791E75" w:rsidRPr="00E43670">
        <w:t>, sägs det i propositionen</w:t>
      </w:r>
      <w:r w:rsidRPr="00E43670">
        <w:t>. Det bör ankomma på forskningsfinans</w:t>
      </w:r>
      <w:r w:rsidRPr="00E43670">
        <w:t>i</w:t>
      </w:r>
      <w:r w:rsidRPr="00E43670">
        <w:t>ärerna att avgöra vilka områden som bör få stöd.</w:t>
      </w:r>
    </w:p>
    <w:p w:rsidR="00303CA0" w:rsidRPr="00E43670" w:rsidRDefault="00303CA0" w:rsidP="00791E75">
      <w:pPr>
        <w:pStyle w:val="Normaltindrag"/>
      </w:pPr>
      <w:r w:rsidRPr="00E43670">
        <w:t>I propositionen lämnas en redovisning av den nuvarande situationen när det gäller forskning inom följande fem områden: informations- och komm</w:t>
      </w:r>
      <w:r w:rsidRPr="00E43670">
        <w:t>u</w:t>
      </w:r>
      <w:r w:rsidRPr="00E43670">
        <w:t>nikationsteknik, materialteknik och nanovetenskap, biovetenskap och biote</w:t>
      </w:r>
      <w:r w:rsidRPr="00E43670">
        <w:t>k</w:t>
      </w:r>
      <w:r w:rsidRPr="00E43670">
        <w:t>nik, process- och produktionsteknik samt rymdforskning.</w:t>
      </w:r>
    </w:p>
    <w:p w:rsidR="00D97B63" w:rsidRPr="00E43670" w:rsidRDefault="00303CA0" w:rsidP="00D97B63">
      <w:pPr>
        <w:pStyle w:val="Normaltindrag"/>
      </w:pPr>
      <w:r w:rsidRPr="00E43670">
        <w:t>En stark teknisk forskning är viktig för näringslivets kompetensförsörjning och för utveckling av nya kommersialiserbara idéer och högteknologiska produkter</w:t>
      </w:r>
      <w:r w:rsidR="00D97B63" w:rsidRPr="00E43670">
        <w:t>, framhåller regeringen</w:t>
      </w:r>
      <w:r w:rsidRPr="00E43670">
        <w:t>. Detta gäller speciellt i Sverige där ekon</w:t>
      </w:r>
      <w:r w:rsidRPr="00E43670">
        <w:t>o</w:t>
      </w:r>
      <w:r w:rsidRPr="00E43670">
        <w:t xml:space="preserve">min är mycket exportberoende och där en stor del av </w:t>
      </w:r>
      <w:r w:rsidR="00D97B63" w:rsidRPr="00E43670">
        <w:t>e</w:t>
      </w:r>
      <w:r w:rsidRPr="00E43670">
        <w:t>xport</w:t>
      </w:r>
      <w:r w:rsidR="00D97B63" w:rsidRPr="00E43670">
        <w:t>en</w:t>
      </w:r>
      <w:r w:rsidRPr="00E43670">
        <w:t xml:space="preserve"> består av hö</w:t>
      </w:r>
      <w:r w:rsidRPr="00E43670">
        <w:t>g</w:t>
      </w:r>
      <w:r w:rsidRPr="00E43670">
        <w:t>teknologiska produkter eller härrör från högteknologiska processer. Den ökande internati</w:t>
      </w:r>
      <w:r w:rsidRPr="00E43670">
        <w:t>o</w:t>
      </w:r>
      <w:r w:rsidRPr="00E43670">
        <w:t>nella konkurrensen inom exportsektorn ställer nya krav på förmågan att utveckla och förnya produktutveckling, processer och metoder. Utöver satsningar på teknik för de högteknologiska branscherna, bl.a. biote</w:t>
      </w:r>
      <w:r w:rsidRPr="00E43670">
        <w:t>k</w:t>
      </w:r>
      <w:r w:rsidRPr="00E43670">
        <w:t>nik, nanoteknik och IT-forskning</w:t>
      </w:r>
      <w:r w:rsidR="003445C4" w:rsidRPr="00E43670">
        <w:t>,</w:t>
      </w:r>
      <w:r w:rsidRPr="00E43670">
        <w:t xml:space="preserve"> är det även viktigt att samhället upprätthå</w:t>
      </w:r>
      <w:r w:rsidRPr="00E43670">
        <w:t>l</w:t>
      </w:r>
      <w:r w:rsidRPr="00E43670">
        <w:t>ler en hög kompetens inom de grundläggande teknikvetenskaperna och inom teknik relaterad till process- och produktionsteknik inom traditionell industri. Pr</w:t>
      </w:r>
      <w:r w:rsidRPr="00E43670">
        <w:t>o</w:t>
      </w:r>
      <w:r w:rsidRPr="00E43670">
        <w:t>duktionsteknisk forskning är dessutom viktig för andra sektorer</w:t>
      </w:r>
      <w:r w:rsidR="00D97B63" w:rsidRPr="00E43670">
        <w:t>,</w:t>
      </w:r>
      <w:r w:rsidRPr="00E43670">
        <w:t xml:space="preserve"> såsom bio- och nanotekniki</w:t>
      </w:r>
      <w:r w:rsidRPr="00E43670">
        <w:t>n</w:t>
      </w:r>
      <w:r w:rsidRPr="00E43670">
        <w:t>dustrierna. Dessutom är de st</w:t>
      </w:r>
      <w:r w:rsidR="009768B9" w:rsidRPr="00E43670">
        <w:t>atliga avsättningarna för civil</w:t>
      </w:r>
      <w:r w:rsidRPr="00E43670">
        <w:t xml:space="preserve"> teknisk FoU små, i jämförelse med andra länder med liknande industr</w:t>
      </w:r>
      <w:r w:rsidRPr="00E43670">
        <w:t>i</w:t>
      </w:r>
      <w:r w:rsidRPr="00E43670">
        <w:t>struktur, vilket får till följd att andra aktörers beslut får stor effekt. Samma</w:t>
      </w:r>
      <w:r w:rsidRPr="00E43670">
        <w:t>n</w:t>
      </w:r>
      <w:r w:rsidRPr="00E43670">
        <w:t>taget innebär detta att staten behöver a</w:t>
      </w:r>
      <w:r w:rsidR="009768B9" w:rsidRPr="00E43670">
        <w:t>vsätta ökade resurser för civil</w:t>
      </w:r>
      <w:r w:rsidRPr="00E43670">
        <w:t xml:space="preserve"> teknisk forskning inom såväl teknisk grundforskning som mer direkt näringslivsrel</w:t>
      </w:r>
      <w:r w:rsidRPr="00E43670">
        <w:t>a</w:t>
      </w:r>
      <w:r w:rsidRPr="00E43670">
        <w:t>terad teknikforskning</w:t>
      </w:r>
      <w:r w:rsidR="00D97B63" w:rsidRPr="00E43670">
        <w:t>, sägs det i propositionen.</w:t>
      </w:r>
    </w:p>
    <w:p w:rsidR="00303CA0" w:rsidRPr="00E43670" w:rsidRDefault="00303CA0" w:rsidP="00D97B63">
      <w:pPr>
        <w:pStyle w:val="R4"/>
      </w:pPr>
      <w:r w:rsidRPr="00E43670">
        <w:t>Forskning till stöd för hållbar utveckling</w:t>
      </w:r>
    </w:p>
    <w:p w:rsidR="00303CA0" w:rsidRPr="00E43670" w:rsidRDefault="00D97B63" w:rsidP="00303CA0">
      <w:r w:rsidRPr="00E43670">
        <w:t xml:space="preserve">Regeringen gör </w:t>
      </w:r>
      <w:r w:rsidR="00303CA0" w:rsidRPr="00E43670">
        <w:t>bedömning</w:t>
      </w:r>
      <w:r w:rsidRPr="00E43670">
        <w:t xml:space="preserve">en att </w:t>
      </w:r>
      <w:r w:rsidR="00303CA0" w:rsidRPr="00E43670">
        <w:t>Forskningsrådet för miljö, areella näringar och samhällsbyggande (Formas</w:t>
      </w:r>
      <w:r w:rsidR="0023254A" w:rsidRPr="00E43670">
        <w:t>), Vetenskapsrådet och Vinnova u</w:t>
      </w:r>
      <w:r w:rsidR="00303CA0" w:rsidRPr="00E43670">
        <w:t xml:space="preserve">nder åren 2005–2008 tillsammans </w:t>
      </w:r>
      <w:r w:rsidR="0023254A" w:rsidRPr="00E43670">
        <w:t xml:space="preserve">bör </w:t>
      </w:r>
      <w:r w:rsidR="00303CA0" w:rsidRPr="00E43670">
        <w:t>tillföras 210 miljoner kronor för stöd till fors</w:t>
      </w:r>
      <w:r w:rsidR="00303CA0" w:rsidRPr="00E43670">
        <w:t>k</w:t>
      </w:r>
      <w:r w:rsidR="00303CA0" w:rsidRPr="00E43670">
        <w:t>ning om miljö och hållbar utveckling, varav</w:t>
      </w:r>
      <w:r w:rsidR="0023254A" w:rsidRPr="00E43670">
        <w:t xml:space="preserve"> </w:t>
      </w:r>
      <w:r w:rsidR="00303CA0" w:rsidRPr="00E43670">
        <w:t xml:space="preserve">140 miljoner kronor till Formas, 50 miljoner kronor till Vetenskapsrådet och 20 miljoner kronor till Vinnova. Medlen till Vinnova bör öka med 5 miljoner kronor år 2006, </w:t>
      </w:r>
      <w:r w:rsidR="003445C4" w:rsidRPr="00E43670">
        <w:t>ytterligare</w:t>
      </w:r>
      <w:r w:rsidR="00E750EF" w:rsidRPr="00E43670">
        <w:t xml:space="preserve">         </w:t>
      </w:r>
      <w:r w:rsidR="003445C4" w:rsidRPr="00E43670">
        <w:t xml:space="preserve"> 5</w:t>
      </w:r>
      <w:r w:rsidR="00303CA0" w:rsidRPr="00E43670">
        <w:t xml:space="preserve"> miljoner kronor år 2007 och ytterligare 10 milj</w:t>
      </w:r>
      <w:r w:rsidR="00303CA0" w:rsidRPr="00E43670">
        <w:t>o</w:t>
      </w:r>
      <w:r w:rsidR="00303CA0" w:rsidRPr="00E43670">
        <w:t>ner kronor år 2008 för stöd till forskning om hållbar utveckling.</w:t>
      </w:r>
    </w:p>
    <w:p w:rsidR="00303CA0" w:rsidRPr="00E43670" w:rsidRDefault="00303CA0" w:rsidP="0023254A">
      <w:pPr>
        <w:pStyle w:val="Normaltindrag"/>
      </w:pPr>
      <w:r w:rsidRPr="00E43670">
        <w:t>Formas och Vinnova bör i samverkan finansiera ett forskningsprogram för miljöteknik, för vilket Formas bör utnyttja 5 miljoner kronor år 2007 och ytterligare 5 miljoner kronor år 2008 och Vinnova bör utnyttja 10 milj</w:t>
      </w:r>
      <w:r w:rsidRPr="00E43670">
        <w:t>o</w:t>
      </w:r>
      <w:r w:rsidRPr="00E43670">
        <w:t>ner kronor år 2007 och ytterligare 10 miljoner kronor år 2008 (se vidare avsnitt</w:t>
      </w:r>
      <w:r w:rsidR="0023254A" w:rsidRPr="00E43670">
        <w:t>et om FoU-program i samverkan med näringslivet i det följa</w:t>
      </w:r>
      <w:r w:rsidR="0023254A" w:rsidRPr="00E43670">
        <w:t>n</w:t>
      </w:r>
      <w:r w:rsidR="0023254A" w:rsidRPr="00E43670">
        <w:t>de</w:t>
      </w:r>
      <w:r w:rsidRPr="00E43670">
        <w:t>).</w:t>
      </w:r>
    </w:p>
    <w:p w:rsidR="00303CA0" w:rsidRPr="00E43670" w:rsidRDefault="009509AC" w:rsidP="0023254A">
      <w:pPr>
        <w:pStyle w:val="R3"/>
      </w:pPr>
      <w:r w:rsidRPr="00E43670">
        <w:t>Motionen</w:t>
      </w:r>
    </w:p>
    <w:p w:rsidR="00303CA0" w:rsidRPr="00E43670" w:rsidRDefault="00303CA0" w:rsidP="00303CA0">
      <w:r w:rsidRPr="00E43670">
        <w:t>I motion</w:t>
      </w:r>
      <w:r w:rsidR="0023254A" w:rsidRPr="00E43670">
        <w:t xml:space="preserve"> 2004/05:Ub11 (fp, m, kd, c) </w:t>
      </w:r>
      <w:r w:rsidRPr="00E43670">
        <w:t>sägs – utan direkt koppling till något yrkande – att framstående forskning inom medicin och teknik är en viktig grund för Sveriges framtid</w:t>
      </w:r>
      <w:r w:rsidRPr="00E43670">
        <w:t>s</w:t>
      </w:r>
      <w:r w:rsidRPr="00E43670">
        <w:t>möjligheter. Motionärerna stöder därför att dessa områden skall vara priorit</w:t>
      </w:r>
      <w:r w:rsidRPr="00E43670">
        <w:t>e</w:t>
      </w:r>
      <w:r w:rsidRPr="00E43670">
        <w:t xml:space="preserve">rade. </w:t>
      </w:r>
    </w:p>
    <w:p w:rsidR="00303CA0" w:rsidRPr="00E43670" w:rsidRDefault="00303CA0" w:rsidP="00E601C3">
      <w:pPr>
        <w:pStyle w:val="R2"/>
      </w:pPr>
      <w:r w:rsidRPr="00E43670">
        <w:t>S</w:t>
      </w:r>
      <w:r w:rsidR="00E601C3" w:rsidRPr="00E43670">
        <w:t>tarka forskningsmiljöer</w:t>
      </w:r>
    </w:p>
    <w:p w:rsidR="00303CA0" w:rsidRPr="00E43670" w:rsidRDefault="00303CA0" w:rsidP="00E601C3">
      <w:pPr>
        <w:pStyle w:val="R3"/>
        <w:spacing w:before="110"/>
      </w:pPr>
      <w:r w:rsidRPr="00E43670">
        <w:t>Propositionen</w:t>
      </w:r>
    </w:p>
    <w:p w:rsidR="00303CA0" w:rsidRPr="00E43670" w:rsidRDefault="00303CA0" w:rsidP="00303CA0">
      <w:r w:rsidRPr="00E43670">
        <w:t>Regeringen</w:t>
      </w:r>
      <w:r w:rsidR="00E601C3" w:rsidRPr="00E43670">
        <w:t xml:space="preserve"> gör</w:t>
      </w:r>
      <w:r w:rsidRPr="00E43670">
        <w:t xml:space="preserve"> bedömning</w:t>
      </w:r>
      <w:r w:rsidR="00E601C3" w:rsidRPr="00E43670">
        <w:t>en</w:t>
      </w:r>
      <w:r w:rsidRPr="00E43670">
        <w:t xml:space="preserve"> </w:t>
      </w:r>
      <w:r w:rsidR="00E601C3" w:rsidRPr="00E43670">
        <w:t>att t</w:t>
      </w:r>
      <w:r w:rsidRPr="00E43670">
        <w:t>illgången till större forskningsanslag som ger långsiktigt stöd till internati</w:t>
      </w:r>
      <w:r w:rsidRPr="00E43670">
        <w:t>o</w:t>
      </w:r>
      <w:r w:rsidRPr="00E43670">
        <w:t>nellt ledande forskningsmiljöer bör öka i det svenska forskningssystemet. Vetenskapsrådet, Forskningsrådet för arbetsliv och socialvetenskap (FAS), Formas och Vinnova bör under åren 2006–2008 tillsammans tillföras 300 miljoner kronor för stöd till starka forskningsmilj</w:t>
      </w:r>
      <w:r w:rsidRPr="00E43670">
        <w:t>ö</w:t>
      </w:r>
      <w:r w:rsidRPr="00E43670">
        <w:t>er, varav 210 miljoner kronor till Vetenskapsrådet, 10 miljoner kronor till FAS, 20 miljoner kronor till Formas och 60 miljoner kronor till Vinnova. Vetenskapsrådet bör tillföras 77 miljoner kronor år 2006, ytterligare 73 mi</w:t>
      </w:r>
      <w:r w:rsidRPr="00E43670">
        <w:t>l</w:t>
      </w:r>
      <w:r w:rsidRPr="00E43670">
        <w:t>joner kronor år 2007 och ytte</w:t>
      </w:r>
      <w:r w:rsidRPr="00E43670">
        <w:t>r</w:t>
      </w:r>
      <w:r w:rsidRPr="00E43670">
        <w:t>ligare 60 miljoner kronor år 2008. FAS bör tillföras 3 miljoner kronor år 2006, ytterligare 2 miljoner kronor år 2007 och ytterligare 5 miljoner kronor år 2008. Formas bör tillföras 5 miljoner kronor år 2006, ytterligare 5 miljoner kronor år 2007 och ytterligare 10 miljoner kronor år 2008. Vinnova bör tillf</w:t>
      </w:r>
      <w:r w:rsidRPr="00E43670">
        <w:t>ö</w:t>
      </w:r>
      <w:r w:rsidRPr="00E43670">
        <w:t>ras 15 miljoner kronor år 2006, ytterligare 20 miljoner kronor år 2007 och ytterligare 25 miljoner kronor år 2008.</w:t>
      </w:r>
    </w:p>
    <w:p w:rsidR="00303CA0" w:rsidRPr="00E43670" w:rsidRDefault="00303CA0" w:rsidP="00E601C3">
      <w:pPr>
        <w:pStyle w:val="Normaltindrag"/>
      </w:pPr>
      <w:r w:rsidRPr="00E43670">
        <w:t>I propositionen anges olika skäl för att satsa på starka forskningsmiljöer, t.ex. inomvetenskapliga, fördelningspolitiska, näringspolitiska och samhäll</w:t>
      </w:r>
      <w:r w:rsidRPr="00E43670">
        <w:t>s</w:t>
      </w:r>
      <w:r w:rsidRPr="00E43670">
        <w:t>pol</w:t>
      </w:r>
      <w:r w:rsidRPr="00E43670">
        <w:t>i</w:t>
      </w:r>
      <w:r w:rsidRPr="00E43670">
        <w:t>tiska. När det gäller det näringspolitiska perspektivet sägs att tillgången till starka forskningsmiljöer inom näringslivsrelevanta forskningsfält är av stor vikt för att öka konkurrenskraften hos kunskapsintensiva företag samt för att öka Sveriges attraktionskraft för internationella FoU-investeringar. Rege</w:t>
      </w:r>
      <w:r w:rsidRPr="00E43670">
        <w:t>r</w:t>
      </w:r>
      <w:r w:rsidRPr="00E43670">
        <w:t>ingen gör bedömningen att tillgången till större forskningsanslag som ger lån</w:t>
      </w:r>
      <w:r w:rsidRPr="00E43670">
        <w:t>g</w:t>
      </w:r>
      <w:r w:rsidRPr="00E43670">
        <w:t>siktigt stöd till starka forskningsmiljöer av världsklass bör öka. När det gäller Vinnova sägs att myndigheten bör stödja starka forsknings- och innov</w:t>
      </w:r>
      <w:r w:rsidRPr="00E43670">
        <w:t>a</w:t>
      </w:r>
      <w:r w:rsidRPr="00E43670">
        <w:t>tion</w:t>
      </w:r>
      <w:r w:rsidRPr="00E43670">
        <w:t>s</w:t>
      </w:r>
      <w:r w:rsidRPr="00E43670">
        <w:t>miljöer som bedriver långsiktig, behovsmotiverad forskning av stort värde för svensk konkurrenskraft och en hållbar tillväxt. För de starka fors</w:t>
      </w:r>
      <w:r w:rsidRPr="00E43670">
        <w:t>k</w:t>
      </w:r>
      <w:r w:rsidRPr="00E43670">
        <w:t>nings- och innovationsmiljöer som finansieras av Vinnova ställs, utöver krav på vete</w:t>
      </w:r>
      <w:r w:rsidRPr="00E43670">
        <w:t>n</w:t>
      </w:r>
      <w:r w:rsidRPr="00E43670">
        <w:t>skaplig excellens, också höga krav på miljöernas relevans för svenskt näring</w:t>
      </w:r>
      <w:r w:rsidRPr="00E43670">
        <w:t>s</w:t>
      </w:r>
      <w:r w:rsidRPr="00E43670">
        <w:t>liv och på deras förmåga att bidra till innovationer och hållbar tillväxt. Vikt</w:t>
      </w:r>
      <w:r w:rsidRPr="00E43670">
        <w:t>i</w:t>
      </w:r>
      <w:r w:rsidRPr="00E43670">
        <w:t>ga kriterier för dessa miljöer bör därför vara förmåga till samspel med FoU-baserade företag, förekomst av effektiva stödfunktioner för kommersi</w:t>
      </w:r>
      <w:r w:rsidRPr="00E43670">
        <w:t>a</w:t>
      </w:r>
      <w:r w:rsidRPr="00E43670">
        <w:t>lisering av forskningsresultat och tekniköverföring samt fungerande samf</w:t>
      </w:r>
      <w:r w:rsidRPr="00E43670">
        <w:t>i</w:t>
      </w:r>
      <w:r w:rsidRPr="00E43670">
        <w:t xml:space="preserve">nansiering med deltagande företag. </w:t>
      </w:r>
    </w:p>
    <w:p w:rsidR="00303CA0" w:rsidRPr="00E43670" w:rsidRDefault="00303CA0" w:rsidP="007B0B91">
      <w:pPr>
        <w:pStyle w:val="Normaltindrag"/>
      </w:pPr>
      <w:r w:rsidRPr="00E43670">
        <w:t>Fördjupad samverkan mellan Vetenskapsrådet och Vinnova – som föro</w:t>
      </w:r>
      <w:r w:rsidRPr="00E43670">
        <w:t>r</w:t>
      </w:r>
      <w:r w:rsidRPr="00E43670">
        <w:t>das i propositionen – syftar till att förena Vetenskapsrådets kunskaper om villkoren för den nyfikenhetsstyrda och forskarinitierade forskningen med Vinnovas kompetens inom innovations- och tillväxtfrågor. Regeringen avser att öronmärka delar av de medel som fördelas till satsningen på starka fors</w:t>
      </w:r>
      <w:r w:rsidRPr="00E43670">
        <w:t>k</w:t>
      </w:r>
      <w:r w:rsidRPr="00E43670">
        <w:t>ningsmi</w:t>
      </w:r>
      <w:r w:rsidRPr="00E43670">
        <w:t>l</w:t>
      </w:r>
      <w:r w:rsidRPr="00E43670">
        <w:t>jöer för nyssnämnda gemensamt beslutade satsningar. Regeringen planerar att ge myndigheterna i uppdrag att samverka kring satsningen på starka fors</w:t>
      </w:r>
      <w:r w:rsidRPr="00E43670">
        <w:t>k</w:t>
      </w:r>
      <w:r w:rsidRPr="00E43670">
        <w:t>ningsmiljöer och förutsätter att samordningen sker genom någon form av myndighetsgemensam arbetsgrupp eller motsvarande. Regeringen förutsätter att satsningar som har en varaktighet på upp till tio år blir föremål för flera utvärderingar under verksamhetsperioden. Det är på längre sikt också angel</w:t>
      </w:r>
      <w:r w:rsidRPr="00E43670">
        <w:t>ä</w:t>
      </w:r>
      <w:r w:rsidRPr="00E43670">
        <w:t>get att satsningen på starka forskningsmiljöer i sin helhet utvärderas för att analysera vilka effekter den har haft på utvecklingen av svensk forskning, innovation och dess finansiering. För att underlätta regeringens uppföljning och redovisning till riksdagen avser regeringen att ge myndigheterna i up</w:t>
      </w:r>
      <w:r w:rsidRPr="00E43670">
        <w:t>p</w:t>
      </w:r>
      <w:r w:rsidRPr="00E43670">
        <w:t>drag att regelbundet lämna redogörelser för hur satsningen på starka fors</w:t>
      </w:r>
      <w:r w:rsidRPr="00E43670">
        <w:t>k</w:t>
      </w:r>
      <w:r w:rsidRPr="00E43670">
        <w:t>ningsmiljöer utvecklas.</w:t>
      </w:r>
    </w:p>
    <w:p w:rsidR="00303CA0" w:rsidRPr="00E43670" w:rsidRDefault="00303CA0" w:rsidP="00387AE0">
      <w:pPr>
        <w:pStyle w:val="R2"/>
      </w:pPr>
      <w:r w:rsidRPr="00E43670">
        <w:t>M</w:t>
      </w:r>
      <w:r w:rsidR="00387AE0" w:rsidRPr="00E43670">
        <w:t>eriteringsanställningar</w:t>
      </w:r>
    </w:p>
    <w:p w:rsidR="00303CA0" w:rsidRPr="00E43670" w:rsidRDefault="00303CA0" w:rsidP="00387AE0">
      <w:pPr>
        <w:pStyle w:val="R3"/>
        <w:spacing w:before="110"/>
      </w:pPr>
      <w:r w:rsidRPr="00E43670">
        <w:t>Propositionen</w:t>
      </w:r>
    </w:p>
    <w:p w:rsidR="00303CA0" w:rsidRPr="00E43670" w:rsidRDefault="00303CA0" w:rsidP="00303CA0">
      <w:r w:rsidRPr="00E43670">
        <w:t>Lärosätena bör</w:t>
      </w:r>
      <w:r w:rsidR="00387AE0" w:rsidRPr="00E43670">
        <w:t>, enligt regeringens bedömning,</w:t>
      </w:r>
      <w:r w:rsidRPr="00E43670">
        <w:t xml:space="preserve"> utveckla en långsiktig plan</w:t>
      </w:r>
      <w:r w:rsidRPr="00E43670">
        <w:t>e</w:t>
      </w:r>
      <w:r w:rsidRPr="00E43670">
        <w:t>ring av kompetensförsör</w:t>
      </w:r>
      <w:r w:rsidRPr="00E43670">
        <w:t>j</w:t>
      </w:r>
      <w:r w:rsidRPr="00E43670">
        <w:t>ning och en balanserad karriärstruktur. Den årliga examinationen inom forskarutbildningen bör vara fortsatt hög</w:t>
      </w:r>
      <w:r w:rsidR="00387AE0" w:rsidRPr="00E43670">
        <w:t>, och d</w:t>
      </w:r>
      <w:r w:rsidRPr="00E43670">
        <w:t>e nydi</w:t>
      </w:r>
      <w:r w:rsidRPr="00E43670">
        <w:t>s</w:t>
      </w:r>
      <w:r w:rsidRPr="00E43670">
        <w:t>pute</w:t>
      </w:r>
      <w:r w:rsidR="00387AE0" w:rsidRPr="00E43670">
        <w:t xml:space="preserve">rades </w:t>
      </w:r>
      <w:r w:rsidRPr="00E43670">
        <w:t>möjligheter till fortsatt forskning och meritering bör öka. Den fö</w:t>
      </w:r>
      <w:r w:rsidRPr="00E43670">
        <w:t>r</w:t>
      </w:r>
      <w:r w:rsidRPr="00E43670">
        <w:t>stärkning av lärosätenas anslag för forskning och forskarutbildning som av</w:t>
      </w:r>
      <w:r w:rsidRPr="00E43670">
        <w:t>i</w:t>
      </w:r>
      <w:r w:rsidRPr="00E43670">
        <w:t>seras i propositionen bör bidra till att bl.a. öka antalet forskarassistenter och biträdande lektorer. För att öka antalet meriteringsanställningar bör Vete</w:t>
      </w:r>
      <w:r w:rsidRPr="00E43670">
        <w:t>n</w:t>
      </w:r>
      <w:r w:rsidRPr="00E43670">
        <w:t>skapsr</w:t>
      </w:r>
      <w:r w:rsidRPr="00E43670">
        <w:t>å</w:t>
      </w:r>
      <w:r w:rsidRPr="00E43670">
        <w:t xml:space="preserve">det, FAS, Formas och Vinnova under åren 2006–2008 tillföras </w:t>
      </w:r>
      <w:r w:rsidR="000B32CE" w:rsidRPr="00E43670">
        <w:t xml:space="preserve">       </w:t>
      </w:r>
      <w:r w:rsidRPr="00E43670">
        <w:t>150 miljoner kronor, varav 85 miljoner kronor till Vetenskapsrådet, 5 milj</w:t>
      </w:r>
      <w:r w:rsidRPr="00E43670">
        <w:t>o</w:t>
      </w:r>
      <w:r w:rsidRPr="00E43670">
        <w:t>ner kronor till FAS, 10 miljoner kronor till Formas och 50 mi</w:t>
      </w:r>
      <w:r w:rsidRPr="00E43670">
        <w:t>l</w:t>
      </w:r>
      <w:r w:rsidRPr="00E43670">
        <w:t>joner kronor till Vinnova. Medlen till Vinnova bör fördelas med 3 miljoner kronor år 2006, ytterligare 5 miljoner kronor år 2007 och ytterlig</w:t>
      </w:r>
      <w:r w:rsidRPr="00E43670">
        <w:t>a</w:t>
      </w:r>
      <w:r w:rsidRPr="00E43670">
        <w:t>re 42 miljoner kronor år 2008.</w:t>
      </w:r>
      <w:r w:rsidR="00387AE0" w:rsidRPr="00E43670">
        <w:t xml:space="preserve"> </w:t>
      </w:r>
    </w:p>
    <w:p w:rsidR="00303CA0" w:rsidRPr="00E43670" w:rsidRDefault="00303CA0" w:rsidP="00387AE0">
      <w:pPr>
        <w:pStyle w:val="Normaltindrag"/>
      </w:pPr>
      <w:r w:rsidRPr="00E43670">
        <w:t>Den nuvarande situationen för de nyexaminerade doktorerna är i hög grad otillfredsställande</w:t>
      </w:r>
      <w:r w:rsidR="00387AE0" w:rsidRPr="00E43670">
        <w:t>, sägs det i propositionen</w:t>
      </w:r>
      <w:r w:rsidRPr="00E43670">
        <w:t>. Perioden närmast efter doktorse</w:t>
      </w:r>
      <w:r w:rsidRPr="00E43670">
        <w:t>x</w:t>
      </w:r>
      <w:r w:rsidRPr="00E43670">
        <w:t>amen bör kunna vara en av de mest produktiva i en forskarkarriär, och denna potential bör utnyttjas bättre. Bristen på tydliga meriteringsmöjligheter min</w:t>
      </w:r>
      <w:r w:rsidRPr="00E43670">
        <w:t>s</w:t>
      </w:r>
      <w:r w:rsidRPr="00E43670">
        <w:t>kar forskarkarriärens attraktivitet. Antalet forskarassistenter och biträdande lekt</w:t>
      </w:r>
      <w:r w:rsidRPr="00E43670">
        <w:t>o</w:t>
      </w:r>
      <w:r w:rsidRPr="00E43670">
        <w:t>rer bör öka kraftigt för att hantera det generationsskifte som stundar, för att skapa en mer balans</w:t>
      </w:r>
      <w:r w:rsidRPr="00E43670">
        <w:t>e</w:t>
      </w:r>
      <w:r w:rsidRPr="00E43670">
        <w:t>rad karriärstege där de yngre forskarnas kapacitet tas till vara och för att s</w:t>
      </w:r>
      <w:r w:rsidRPr="00E43670">
        <w:t>ä</w:t>
      </w:r>
      <w:r w:rsidRPr="00E43670">
        <w:t>kerställa att högt kvalificerade nyexaminerade doktorer ges möjligheter att vidareutvecklas till ledande forskare. Medel bör därför avsättas för förde</w:t>
      </w:r>
      <w:r w:rsidRPr="00E43670">
        <w:t>l</w:t>
      </w:r>
      <w:r w:rsidRPr="00E43670">
        <w:t>ning av de forskningsfinansierande myndigheterna.</w:t>
      </w:r>
    </w:p>
    <w:p w:rsidR="00303CA0" w:rsidRPr="00E43670" w:rsidRDefault="009509AC" w:rsidP="00387AE0">
      <w:pPr>
        <w:pStyle w:val="R3"/>
      </w:pPr>
      <w:r w:rsidRPr="00E43670">
        <w:t>Motionen</w:t>
      </w:r>
    </w:p>
    <w:p w:rsidR="00303CA0" w:rsidRPr="00E43670" w:rsidRDefault="00387AE0" w:rsidP="00303CA0">
      <w:r w:rsidRPr="00E43670">
        <w:t>I motion 2</w:t>
      </w:r>
      <w:r w:rsidR="00303CA0" w:rsidRPr="00E43670">
        <w:t>004/05:Ub11 (fp, m, kd, c)</w:t>
      </w:r>
      <w:r w:rsidRPr="00E43670">
        <w:t xml:space="preserve"> föreslås ett</w:t>
      </w:r>
      <w:r w:rsidR="00303CA0" w:rsidRPr="00E43670">
        <w:t xml:space="preserve"> tillkännag</w:t>
      </w:r>
      <w:r w:rsidRPr="00E43670">
        <w:t>ivande</w:t>
      </w:r>
      <w:r w:rsidR="00303CA0" w:rsidRPr="00E43670">
        <w:t xml:space="preserve"> om beh</w:t>
      </w:r>
      <w:r w:rsidR="00303CA0" w:rsidRPr="00E43670">
        <w:t>o</w:t>
      </w:r>
      <w:r w:rsidR="00303CA0" w:rsidRPr="00E43670">
        <w:t xml:space="preserve">vet </w:t>
      </w:r>
      <w:r w:rsidR="007574BE" w:rsidRPr="00E43670">
        <w:t xml:space="preserve">av </w:t>
      </w:r>
      <w:r w:rsidR="00303CA0" w:rsidRPr="00E43670">
        <w:t>att öka antalet forskartjänster och förbättra forskarnas villkor</w:t>
      </w:r>
      <w:r w:rsidRPr="00E43670">
        <w:t xml:space="preserve">. </w:t>
      </w:r>
      <w:r w:rsidR="00303CA0" w:rsidRPr="00E43670">
        <w:t>Rege</w:t>
      </w:r>
      <w:r w:rsidR="00303CA0" w:rsidRPr="00E43670">
        <w:t>r</w:t>
      </w:r>
      <w:r w:rsidR="00303CA0" w:rsidRPr="00E43670">
        <w:t>ingens förslag om sammanlagt 150 miljoner kronor för att öka antalet merit</w:t>
      </w:r>
      <w:r w:rsidR="00303CA0" w:rsidRPr="00E43670">
        <w:t>e</w:t>
      </w:r>
      <w:r w:rsidR="00303CA0" w:rsidRPr="00E43670">
        <w:t>ringsa</w:t>
      </w:r>
      <w:r w:rsidR="00303CA0" w:rsidRPr="00E43670">
        <w:t>n</w:t>
      </w:r>
      <w:r w:rsidR="00303CA0" w:rsidRPr="00E43670">
        <w:t xml:space="preserve">ställningar </w:t>
      </w:r>
      <w:r w:rsidR="000B3B6A" w:rsidRPr="00E43670">
        <w:t>går</w:t>
      </w:r>
      <w:r w:rsidR="00303CA0" w:rsidRPr="00E43670">
        <w:t xml:space="preserve"> i rätt riktning men </w:t>
      </w:r>
      <w:r w:rsidR="000B3B6A" w:rsidRPr="00E43670">
        <w:t xml:space="preserve">är </w:t>
      </w:r>
      <w:r w:rsidR="00303CA0" w:rsidRPr="00E43670">
        <w:t>otillräckligt</w:t>
      </w:r>
      <w:r w:rsidRPr="00E43670">
        <w:t>, anser motionärerna</w:t>
      </w:r>
      <w:r w:rsidR="00303CA0" w:rsidRPr="00E43670">
        <w:t xml:space="preserve">. </w:t>
      </w:r>
      <w:r w:rsidRPr="00E43670">
        <w:t>De m</w:t>
      </w:r>
      <w:r w:rsidR="00303CA0" w:rsidRPr="00E43670">
        <w:t>e</w:t>
      </w:r>
      <w:r w:rsidRPr="00E43670">
        <w:t>na</w:t>
      </w:r>
      <w:r w:rsidR="00303CA0" w:rsidRPr="00E43670">
        <w:t xml:space="preserve">r att det behöver skapas fler möjligheter för nydisputerade forskare – s.k. postdoktorala tjänster – förutom </w:t>
      </w:r>
      <w:r w:rsidRPr="00E43670">
        <w:t>de nuvarande forskarassistent</w:t>
      </w:r>
      <w:r w:rsidR="00C004AA" w:rsidRPr="00E43670">
        <w:t>tjänsterna</w:t>
      </w:r>
      <w:r w:rsidRPr="00E43670">
        <w:t xml:space="preserve"> </w:t>
      </w:r>
      <w:r w:rsidR="00303CA0" w:rsidRPr="00E43670">
        <w:t>och biträdande lektorstjänsterna. För dem som har disputerat är genomsnitt</w:t>
      </w:r>
      <w:r w:rsidR="00303CA0" w:rsidRPr="00E43670">
        <w:t>s</w:t>
      </w:r>
      <w:r w:rsidR="00303CA0" w:rsidRPr="00E43670">
        <w:t>tiden sju år, innan en fast anställning blir aktuell</w:t>
      </w:r>
      <w:r w:rsidRPr="00E43670">
        <w:t>, säger motionärerna</w:t>
      </w:r>
      <w:r w:rsidR="00303CA0" w:rsidRPr="00E43670">
        <w:t xml:space="preserve">. </w:t>
      </w:r>
      <w:r w:rsidRPr="00E43670">
        <w:t>De hänvisar till att – e</w:t>
      </w:r>
      <w:r w:rsidR="00303CA0" w:rsidRPr="00E43670">
        <w:t xml:space="preserve">nligt tillgänglig statistik </w:t>
      </w:r>
      <w:r w:rsidRPr="00E43670">
        <w:t xml:space="preserve">– </w:t>
      </w:r>
      <w:r w:rsidR="00303CA0" w:rsidRPr="00E43670">
        <w:t xml:space="preserve">särskilt kvinnliga forskare </w:t>
      </w:r>
      <w:r w:rsidRPr="00E43670">
        <w:t>dra</w:t>
      </w:r>
      <w:r w:rsidRPr="00E43670">
        <w:t>b</w:t>
      </w:r>
      <w:r w:rsidRPr="00E43670">
        <w:t xml:space="preserve">bas </w:t>
      </w:r>
      <w:r w:rsidR="00303CA0" w:rsidRPr="00E43670">
        <w:t>av de otrygga anställningsvil</w:t>
      </w:r>
      <w:r w:rsidR="00303CA0" w:rsidRPr="00E43670">
        <w:t>l</w:t>
      </w:r>
      <w:r w:rsidR="00303CA0" w:rsidRPr="00E43670">
        <w:t>koren.</w:t>
      </w:r>
    </w:p>
    <w:p w:rsidR="00303CA0" w:rsidRPr="00E43670" w:rsidRDefault="00303CA0" w:rsidP="00835266">
      <w:pPr>
        <w:pStyle w:val="R2"/>
      </w:pPr>
      <w:r w:rsidRPr="00E43670">
        <w:t>F</w:t>
      </w:r>
      <w:r w:rsidR="00835266" w:rsidRPr="00E43670">
        <w:t>orskarskolor</w:t>
      </w:r>
    </w:p>
    <w:p w:rsidR="00303CA0" w:rsidRPr="00E43670" w:rsidRDefault="00303CA0" w:rsidP="00835266">
      <w:pPr>
        <w:pStyle w:val="R3"/>
        <w:spacing w:before="110"/>
      </w:pPr>
      <w:r w:rsidRPr="00E43670">
        <w:t>Propositionen</w:t>
      </w:r>
    </w:p>
    <w:p w:rsidR="00303CA0" w:rsidRPr="00E43670" w:rsidRDefault="00835266" w:rsidP="00303CA0">
      <w:r w:rsidRPr="00E43670">
        <w:t>Regeringen gör bedömningen att u</w:t>
      </w:r>
      <w:r w:rsidR="00303CA0" w:rsidRPr="00E43670">
        <w:t>tvecklingen av forskarutbildningen bör stimuleras genom att Vetenskapsr</w:t>
      </w:r>
      <w:r w:rsidR="00303CA0" w:rsidRPr="00E43670">
        <w:t>å</w:t>
      </w:r>
      <w:r w:rsidR="00303CA0" w:rsidRPr="00E43670">
        <w:t>det, FAS,</w:t>
      </w:r>
      <w:r w:rsidRPr="00E43670">
        <w:t xml:space="preserve"> </w:t>
      </w:r>
      <w:r w:rsidR="00303CA0" w:rsidRPr="00E43670">
        <w:t>Formas och Vinnova fördelar medel till forskarskolor inom starka forskningsmiljöer och inom andra omr</w:t>
      </w:r>
      <w:r w:rsidR="00303CA0" w:rsidRPr="00E43670">
        <w:t>å</w:t>
      </w:r>
      <w:r w:rsidR="00303CA0" w:rsidRPr="00E43670">
        <w:t>den där det bedöms ändamålsenligt utifrån myndigheternas respektive up</w:t>
      </w:r>
      <w:r w:rsidR="00303CA0" w:rsidRPr="00E43670">
        <w:t>p</w:t>
      </w:r>
      <w:r w:rsidR="00303CA0" w:rsidRPr="00E43670">
        <w:t>drag. För detta ändamål bör myndigheterna under åren 2006–2008 tillföras 100 miljoner kronor, varav 60 miljoner kronor till Vetenskapsrådet, 5 milj</w:t>
      </w:r>
      <w:r w:rsidR="00303CA0" w:rsidRPr="00E43670">
        <w:t>o</w:t>
      </w:r>
      <w:r w:rsidR="00303CA0" w:rsidRPr="00E43670">
        <w:t>ner kronor till FAS, 10 miljoner kronor till Fo</w:t>
      </w:r>
      <w:r w:rsidR="00303CA0" w:rsidRPr="00E43670">
        <w:t>r</w:t>
      </w:r>
      <w:r w:rsidR="00303CA0" w:rsidRPr="00E43670">
        <w:t>mas och 25 miljoner kronor till Vinnova. Medlen till Vinnova bör fördelas med 3 miljoner kronor år 2006, ytterligare 5 miljoner kronor år 2007 och ytterligare 17 miljoner kronor år 2008.</w:t>
      </w:r>
    </w:p>
    <w:p w:rsidR="00303CA0" w:rsidRPr="00E43670" w:rsidRDefault="00303CA0" w:rsidP="00835266">
      <w:pPr>
        <w:pStyle w:val="Normaltindrag"/>
      </w:pPr>
      <w:r w:rsidRPr="00E43670">
        <w:t>Regeringen anser att det inte är önskvärt att bygga upp ett enhetligt system med forskarskolor vid sidan av eller i stället för den nuvarande forskarutbil</w:t>
      </w:r>
      <w:r w:rsidRPr="00E43670">
        <w:t>d</w:t>
      </w:r>
      <w:r w:rsidRPr="00E43670">
        <w:t>ningen. Regeringen menar dock att stöd till forskarskolor från forskningsr</w:t>
      </w:r>
      <w:r w:rsidRPr="00E43670">
        <w:t>å</w:t>
      </w:r>
      <w:r w:rsidRPr="00E43670">
        <w:t>den och Vinnova kan vara ett bra sätt att dra nytta av dessa finansiärers bet</w:t>
      </w:r>
      <w:r w:rsidRPr="00E43670">
        <w:t>y</w:t>
      </w:r>
      <w:r w:rsidRPr="00E43670">
        <w:t>delse för nationell kvalitetsgranskning och prioritering utan att de vare sig ges något generellt ansvar för forskarutbildningens organisation och finansiering eller bygger upp ett särskilt system för en del av forskarutbildningen. Fors</w:t>
      </w:r>
      <w:r w:rsidRPr="00E43670">
        <w:t>k</w:t>
      </w:r>
      <w:r w:rsidRPr="00E43670">
        <w:t>ningsråden och Vinnova bör som ett kompletterande stöd till forskarskolor utlysa långsiktiga men tidsbegränsade medel som lärosäten, eventuellt til</w:t>
      </w:r>
      <w:r w:rsidRPr="00E43670">
        <w:t>l</w:t>
      </w:r>
      <w:r w:rsidRPr="00E43670">
        <w:t>sammans med andra intressenter, ansöker om. Regeringen anser att framstäl</w:t>
      </w:r>
      <w:r w:rsidRPr="00E43670">
        <w:t>l</w:t>
      </w:r>
      <w:r w:rsidRPr="00E43670">
        <w:t>ningar om medel till enskilda forskarskolor i framtiden bör hanteras genom den utlysningsprocess som forskningsråden och Vinnova utarbetar i enlighet med vad som sägs i propositionen. När det gäller forskarskolor i samverkan med näringslivet bör medfinansiering från deltagande företag förutsättas. Liksom när det gäller satsningen på starka forskningsmiljöer är det viktigt att både de enskilda forskarskolor som får stöd och stödformen som sådan följs upp och utvärderas</w:t>
      </w:r>
      <w:r w:rsidR="00D5245C" w:rsidRPr="00E43670">
        <w:t>, sägs det i propositionen</w:t>
      </w:r>
      <w:r w:rsidRPr="00E43670">
        <w:t>.</w:t>
      </w:r>
    </w:p>
    <w:p w:rsidR="00303CA0" w:rsidRPr="00E43670" w:rsidRDefault="00303CA0" w:rsidP="00D5245C">
      <w:pPr>
        <w:pStyle w:val="R2"/>
      </w:pPr>
      <w:r w:rsidRPr="00E43670">
        <w:t>F</w:t>
      </w:r>
      <w:r w:rsidR="00D5245C" w:rsidRPr="00E43670">
        <w:t>orskning, innovation och hållbar tillväxt</w:t>
      </w:r>
    </w:p>
    <w:p w:rsidR="00303CA0" w:rsidRPr="00E43670" w:rsidRDefault="00303CA0" w:rsidP="00D5245C">
      <w:pPr>
        <w:pStyle w:val="R3"/>
        <w:spacing w:before="110"/>
      </w:pPr>
      <w:r w:rsidRPr="00E43670">
        <w:t>Propositionen</w:t>
      </w:r>
    </w:p>
    <w:p w:rsidR="00303CA0" w:rsidRPr="00E43670" w:rsidRDefault="00303CA0" w:rsidP="00D5245C">
      <w:pPr>
        <w:pStyle w:val="R4"/>
        <w:spacing w:before="125"/>
      </w:pPr>
      <w:r w:rsidRPr="00E43670">
        <w:t>Forskningens roll i innovationssystemet</w:t>
      </w:r>
    </w:p>
    <w:p w:rsidR="00303CA0" w:rsidRPr="00E43670" w:rsidRDefault="00303CA0" w:rsidP="00303CA0">
      <w:r w:rsidRPr="00E43670">
        <w:t>Ett effektivt utbyte av kunskap och teknik mellan den akademiska forsknin</w:t>
      </w:r>
      <w:r w:rsidRPr="00E43670">
        <w:t>g</w:t>
      </w:r>
      <w:r w:rsidRPr="00E43670">
        <w:t>en och näringslivet är avgörande för svensk industris framtida konkurren</w:t>
      </w:r>
      <w:r w:rsidRPr="00E43670">
        <w:t>s</w:t>
      </w:r>
      <w:r w:rsidRPr="00E43670">
        <w:t>kraft</w:t>
      </w:r>
      <w:r w:rsidR="0042273E" w:rsidRPr="00E43670">
        <w:t>, sägs det i propositionen</w:t>
      </w:r>
      <w:r w:rsidRPr="00E43670">
        <w:t xml:space="preserve">. Kunskapsöverföringen till näringslivet och </w:t>
      </w:r>
      <w:r w:rsidRPr="00E43670">
        <w:rPr>
          <w:color w:val="000000"/>
        </w:rPr>
        <w:t>kommersialisering</w:t>
      </w:r>
      <w:r w:rsidR="003208EA" w:rsidRPr="00E43670">
        <w:rPr>
          <w:color w:val="000000"/>
        </w:rPr>
        <w:t>en</w:t>
      </w:r>
      <w:r w:rsidRPr="00E43670">
        <w:rPr>
          <w:color w:val="000000"/>
        </w:rPr>
        <w:t xml:space="preserve"> av forskningsresultat behöver öka. </w:t>
      </w:r>
      <w:r w:rsidRPr="00E43670">
        <w:t>Regeringens bedö</w:t>
      </w:r>
      <w:r w:rsidRPr="00E43670">
        <w:t>m</w:t>
      </w:r>
      <w:r w:rsidRPr="00E43670">
        <w:t>ning är att idéer och forskningsresultat från den offentligt finansierade fors</w:t>
      </w:r>
      <w:r w:rsidRPr="00E43670">
        <w:t>k</w:t>
      </w:r>
      <w:r w:rsidRPr="00E43670">
        <w:t>ningen även fortsättningsvis kommer att ha betydelse för framtida framgång</w:t>
      </w:r>
      <w:r w:rsidRPr="00E43670">
        <w:t>s</w:t>
      </w:r>
      <w:r w:rsidRPr="00E43670">
        <w:t>rika företag, på motsvarande sätt som många av de nuvarande vinstgivande produkterna och tjänsterna har sitt ursprung i forskning som finansierats av staten. I propositionen presenteras olika initiativ för att förbättra kommersial</w:t>
      </w:r>
      <w:r w:rsidRPr="00E43670">
        <w:t>i</w:t>
      </w:r>
      <w:r w:rsidRPr="00E43670">
        <w:t>sering av forskningsresultat från offentlig forskning och förslag som syftar till förbättrade möjligh</w:t>
      </w:r>
      <w:r w:rsidRPr="00E43670">
        <w:t>e</w:t>
      </w:r>
      <w:r w:rsidRPr="00E43670">
        <w:t>ter till tekniköverföring mellan offentligt finansierad forskning och näringslivet. De områden som rör näringsutskottets ansvarso</w:t>
      </w:r>
      <w:r w:rsidRPr="00E43670">
        <w:t>m</w:t>
      </w:r>
      <w:r w:rsidRPr="00E43670">
        <w:t xml:space="preserve">råde redovisas i </w:t>
      </w:r>
      <w:r w:rsidR="0042273E" w:rsidRPr="00E43670">
        <w:t xml:space="preserve">de kommande </w:t>
      </w:r>
      <w:r w:rsidRPr="00E43670">
        <w:t xml:space="preserve">avsnitten </w:t>
      </w:r>
      <w:r w:rsidR="0042273E" w:rsidRPr="00E43670">
        <w:t>om forskning i små och medelstora företag, FoU-program i samverkan med näringslivet, institutens roll i innov</w:t>
      </w:r>
      <w:r w:rsidR="0042273E" w:rsidRPr="00E43670">
        <w:t>a</w:t>
      </w:r>
      <w:r w:rsidR="0042273E" w:rsidRPr="00E43670">
        <w:t>tionssystemet och insatser för ökad forskarmobilitet.</w:t>
      </w:r>
    </w:p>
    <w:p w:rsidR="00303CA0" w:rsidRPr="00E43670" w:rsidRDefault="00303CA0" w:rsidP="0042273E">
      <w:pPr>
        <w:pStyle w:val="Normaltindrag"/>
      </w:pPr>
      <w:r w:rsidRPr="00E43670">
        <w:t>Följande initiativ</w:t>
      </w:r>
      <w:r w:rsidR="0042273E" w:rsidRPr="00E43670">
        <w:t xml:space="preserve"> och </w:t>
      </w:r>
      <w:r w:rsidRPr="00E43670">
        <w:t>insatser rör främst utbildningsutskottets ansvarso</w:t>
      </w:r>
      <w:r w:rsidRPr="00E43670">
        <w:t>m</w:t>
      </w:r>
      <w:r w:rsidRPr="00E43670">
        <w:t xml:space="preserve">råde (i ett fall lagutskottets ansvarsområde): </w:t>
      </w:r>
    </w:p>
    <w:p w:rsidR="00303CA0" w:rsidRPr="00E43670" w:rsidRDefault="00303CA0" w:rsidP="0042273E">
      <w:pPr>
        <w:pStyle w:val="Normaltindrag"/>
      </w:pPr>
      <w:r w:rsidRPr="00E43670">
        <w:t xml:space="preserve">– </w:t>
      </w:r>
      <w:r w:rsidRPr="00E43670">
        <w:rPr>
          <w:i/>
        </w:rPr>
        <w:t>Rätten till resultaten av högskoleforskning</w:t>
      </w:r>
      <w:r w:rsidRPr="00E43670">
        <w:t>. Regeringen har tillsatt en sä</w:t>
      </w:r>
      <w:r w:rsidRPr="00E43670">
        <w:t>r</w:t>
      </w:r>
      <w:r w:rsidRPr="00E43670">
        <w:t>skild utredare, professor Marianne Levin, med uppdrag (dir. 2004:106) att klarlägga de rättsliga konsekvenserna av att avskaffa lärarundantaget, vilket innebär att ett avskaffande av lärarundantaget är ett huvudalternativ för rege</w:t>
      </w:r>
      <w:r w:rsidRPr="00E43670">
        <w:t>r</w:t>
      </w:r>
      <w:r w:rsidRPr="00E43670">
        <w:t>ingen i frågan om rätten till forskningsresultaten. Utredaren skall även öve</w:t>
      </w:r>
      <w:r w:rsidRPr="00E43670">
        <w:t>r</w:t>
      </w:r>
      <w:r w:rsidRPr="00E43670">
        <w:t>väga vissa regler i anslutning till ett alternativ med ett bibehållet lärarunda</w:t>
      </w:r>
      <w:r w:rsidRPr="00E43670">
        <w:t>n</w:t>
      </w:r>
      <w:r w:rsidRPr="00E43670">
        <w:t>tag. Utredningen – som enligt de nämnda direktiven skulle redovisa sitt arbete den 31 mars 2005 – kommer, enligt uppgift från Utbildningsdepartementet, att ges utökad tid till den 1 november 2005.</w:t>
      </w:r>
    </w:p>
    <w:p w:rsidR="00303CA0" w:rsidRPr="00E43670" w:rsidRDefault="00303CA0" w:rsidP="0042273E">
      <w:pPr>
        <w:pStyle w:val="Normaltindrag"/>
      </w:pPr>
      <w:r w:rsidRPr="00E43670">
        <w:t xml:space="preserve">– </w:t>
      </w:r>
      <w:r w:rsidRPr="00E43670">
        <w:rPr>
          <w:i/>
        </w:rPr>
        <w:t>Handlingsplaner för kommersialisering och tekniköverföring vid unive</w:t>
      </w:r>
      <w:r w:rsidRPr="00E43670">
        <w:rPr>
          <w:i/>
        </w:rPr>
        <w:t>r</w:t>
      </w:r>
      <w:r w:rsidRPr="00E43670">
        <w:rPr>
          <w:i/>
        </w:rPr>
        <w:t>sitet och högskolor.</w:t>
      </w:r>
      <w:r w:rsidRPr="00E43670">
        <w:t xml:space="preserve"> Regeringen gör bedömningen att universitet och högsk</w:t>
      </w:r>
      <w:r w:rsidRPr="00E43670">
        <w:t>o</w:t>
      </w:r>
      <w:r w:rsidRPr="00E43670">
        <w:t>lor bör upprätta handlingsplaner för sitt arbete med att kommersialisera fors</w:t>
      </w:r>
      <w:r w:rsidRPr="00E43670">
        <w:t>k</w:t>
      </w:r>
      <w:r w:rsidRPr="00E43670">
        <w:t>ningsresultat och med tekniköverföring, varvid främst lärosäten inom med</w:t>
      </w:r>
      <w:r w:rsidRPr="00E43670">
        <w:t>i</w:t>
      </w:r>
      <w:r w:rsidRPr="00E43670">
        <w:t>cinska, tekniska och naturvetenskapliga vetenskapsområden bör utarbeta handling</w:t>
      </w:r>
      <w:r w:rsidRPr="00E43670">
        <w:t>s</w:t>
      </w:r>
      <w:r w:rsidRPr="00E43670">
        <w:t>planer.</w:t>
      </w:r>
    </w:p>
    <w:p w:rsidR="00303CA0" w:rsidRPr="00E43670" w:rsidRDefault="00303CA0" w:rsidP="0042273E">
      <w:pPr>
        <w:pStyle w:val="Normaltindrag"/>
      </w:pPr>
      <w:r w:rsidRPr="00E43670">
        <w:t xml:space="preserve">– </w:t>
      </w:r>
      <w:r w:rsidRPr="00E43670">
        <w:rPr>
          <w:i/>
        </w:rPr>
        <w:t>Holdingbolagens roll i innovationssystemet.</w:t>
      </w:r>
      <w:r w:rsidRPr="00E43670">
        <w:t xml:space="preserve"> Regeringen gör bedömnin</w:t>
      </w:r>
      <w:r w:rsidRPr="00E43670">
        <w:t>g</w:t>
      </w:r>
      <w:r w:rsidRPr="00E43670">
        <w:t>en att lärosätenas holdingbolag bör ses över och stärkas. En förhandlare bör ges i uppdrag att föreslå hur en effektivare struktur av holdingbolag kan bi</w:t>
      </w:r>
      <w:r w:rsidRPr="00E43670">
        <w:t>l</w:t>
      </w:r>
      <w:r w:rsidRPr="00E43670">
        <w:t>das. Alla lärosäten bör på sikt få tillgång till ett holdingbolags tjänster. Ho</w:t>
      </w:r>
      <w:r w:rsidRPr="00E43670">
        <w:t>l</w:t>
      </w:r>
      <w:r w:rsidRPr="00E43670">
        <w:t>dingb</w:t>
      </w:r>
      <w:r w:rsidRPr="00E43670">
        <w:t>o</w:t>
      </w:r>
      <w:r w:rsidRPr="00E43670">
        <w:t>lagen bör förstärkas genom kapitaltillskott om 45 miljoner kronor år 2006 och 15 miljoner kronor år 2007.</w:t>
      </w:r>
    </w:p>
    <w:p w:rsidR="00303CA0" w:rsidRPr="00E43670" w:rsidRDefault="00303CA0" w:rsidP="0042273E">
      <w:pPr>
        <w:pStyle w:val="Normaltindrag"/>
      </w:pPr>
      <w:r w:rsidRPr="00E43670">
        <w:t xml:space="preserve">– </w:t>
      </w:r>
      <w:r w:rsidRPr="00E43670">
        <w:rPr>
          <w:i/>
        </w:rPr>
        <w:t>Immaterialrättsligt skydd</w:t>
      </w:r>
      <w:r w:rsidRPr="00E43670">
        <w:t xml:space="preserve"> (</w:t>
      </w:r>
      <w:r w:rsidR="00213441" w:rsidRPr="00E43670">
        <w:t xml:space="preserve">främst </w:t>
      </w:r>
      <w:r w:rsidRPr="00E43670">
        <w:t>lagutskottets ansvarsområde)</w:t>
      </w:r>
      <w:r w:rsidRPr="00E43670">
        <w:rPr>
          <w:i/>
        </w:rPr>
        <w:t>.</w:t>
      </w:r>
      <w:r w:rsidRPr="00E43670">
        <w:t xml:space="preserve"> Rege</w:t>
      </w:r>
      <w:r w:rsidRPr="00E43670">
        <w:t>r</w:t>
      </w:r>
      <w:r w:rsidRPr="00E43670">
        <w:t>ingen har tillsatt en särskild utredare, professor Ove Granstrand, med uppdrag att se över de ekonomiska aspekterna av patentering för företags tillväxt och anal</w:t>
      </w:r>
      <w:r w:rsidRPr="00E43670">
        <w:t>y</w:t>
      </w:r>
      <w:r w:rsidRPr="00E43670">
        <w:t>sera hur svenska företag hanterar patentering som konkurrensmedel i jämf</w:t>
      </w:r>
      <w:r w:rsidRPr="00E43670">
        <w:t>ö</w:t>
      </w:r>
      <w:r w:rsidRPr="00E43670">
        <w:t>relse med företag i andra länder (dir. 2004:55). Utredningen syftar till att skapa förståelse främst hos små kunskapsintensiva företag för de ekon</w:t>
      </w:r>
      <w:r w:rsidRPr="00E43670">
        <w:t>o</w:t>
      </w:r>
      <w:r w:rsidRPr="00E43670">
        <w:t xml:space="preserve">miska vinsterna – och kostnaderna – med patentering samt att föreslå åtgärder för att stimulera dessa företag att i ökande grad skydda sina innovationer. </w:t>
      </w:r>
      <w:r w:rsidR="003208EA" w:rsidRPr="00E43670">
        <w:t>Utre</w:t>
      </w:r>
      <w:r w:rsidR="003208EA" w:rsidRPr="00E43670">
        <w:t>d</w:t>
      </w:r>
      <w:r w:rsidR="003208EA" w:rsidRPr="00E43670">
        <w:t>ningen skall redovisa sitt uppdrag senast den 31 augusti 2005 (dir. 2005:</w:t>
      </w:r>
      <w:r w:rsidR="00213441" w:rsidRPr="00E43670">
        <w:t xml:space="preserve"> 0</w:t>
      </w:r>
      <w:r w:rsidR="003208EA" w:rsidRPr="00E43670">
        <w:t xml:space="preserve">9). </w:t>
      </w:r>
      <w:r w:rsidRPr="00E43670">
        <w:t xml:space="preserve">Vidare har regeringen tillsatt en </w:t>
      </w:r>
      <w:r w:rsidR="00580FA1" w:rsidRPr="00E43670">
        <w:t xml:space="preserve">kommitté </w:t>
      </w:r>
      <w:r w:rsidR="000B3B6A" w:rsidRPr="00E43670">
        <w:t>(</w:t>
      </w:r>
      <w:r w:rsidR="00580FA1" w:rsidRPr="00E43670">
        <w:t>ordförande</w:t>
      </w:r>
      <w:r w:rsidR="000B3B6A" w:rsidRPr="00E43670">
        <w:t>:</w:t>
      </w:r>
      <w:r w:rsidRPr="00E43670">
        <w:t xml:space="preserve"> justitierådet Kerstin Calissendorff</w:t>
      </w:r>
      <w:r w:rsidR="000B3B6A" w:rsidRPr="00E43670">
        <w:t>)</w:t>
      </w:r>
      <w:r w:rsidRPr="00E43670">
        <w:t xml:space="preserve"> med uppgift att följa upp patentskyddet för biote</w:t>
      </w:r>
      <w:r w:rsidRPr="00E43670">
        <w:t>k</w:t>
      </w:r>
      <w:r w:rsidRPr="00E43670">
        <w:t>niska uppfinningar liksom de effekter på fors</w:t>
      </w:r>
      <w:r w:rsidRPr="00E43670">
        <w:t>k</w:t>
      </w:r>
      <w:r w:rsidRPr="00E43670">
        <w:t>ningen som detta skydd har givit (dir. 2005:02).</w:t>
      </w:r>
      <w:r w:rsidR="003208EA" w:rsidRPr="00E43670">
        <w:t xml:space="preserve"> Kommittén skall lämna en delredovisning den 1 juli 2006 och slutredovisning den 1 mars 2008.</w:t>
      </w:r>
    </w:p>
    <w:p w:rsidR="00303CA0" w:rsidRPr="00E43670" w:rsidRDefault="00303CA0" w:rsidP="0042273E">
      <w:pPr>
        <w:pStyle w:val="Normaltindrag"/>
      </w:pPr>
      <w:r w:rsidRPr="00E43670">
        <w:t xml:space="preserve">– </w:t>
      </w:r>
      <w:r w:rsidRPr="00E43670">
        <w:rPr>
          <w:i/>
        </w:rPr>
        <w:t>Imego AB.</w:t>
      </w:r>
      <w:r w:rsidRPr="00E43670">
        <w:t xml:space="preserve"> Regeringen föreslår att riksdagen skall bemyndiga regeringen att avyttra hela eller delar av statens aktieinnehav i Imego Aktiebolag till ny huvudman.</w:t>
      </w:r>
    </w:p>
    <w:p w:rsidR="00303CA0" w:rsidRPr="00E43670" w:rsidRDefault="00303CA0" w:rsidP="0042273E">
      <w:pPr>
        <w:pStyle w:val="R4"/>
      </w:pPr>
      <w:r w:rsidRPr="00E43670">
        <w:t>Forskning i små och medelstora företag</w:t>
      </w:r>
    </w:p>
    <w:p w:rsidR="00A83EF9" w:rsidRPr="00E43670" w:rsidRDefault="00303CA0" w:rsidP="00303CA0">
      <w:r w:rsidRPr="00E43670">
        <w:t>Vinnova bör</w:t>
      </w:r>
      <w:r w:rsidR="0042273E" w:rsidRPr="00E43670">
        <w:t>, enligt regeringens bedömning,</w:t>
      </w:r>
      <w:r w:rsidRPr="00E43670">
        <w:t xml:space="preserve"> under åren 2007</w:t>
      </w:r>
      <w:r w:rsidR="000B3B6A" w:rsidRPr="00E43670">
        <w:t xml:space="preserve"> och </w:t>
      </w:r>
      <w:r w:rsidRPr="00E43670">
        <w:t>2008 tillf</w:t>
      </w:r>
      <w:r w:rsidRPr="00E43670">
        <w:t>ö</w:t>
      </w:r>
      <w:r w:rsidRPr="00E43670">
        <w:t>ras 10 miljoner kronor för att främja små och medelstora företags tillgång till forskning och utveckling, varav 5 miljoner kronor år 2007 och ytterligare</w:t>
      </w:r>
      <w:r w:rsidR="00A83EF9" w:rsidRPr="00E43670">
        <w:t xml:space="preserve">      5 miljoner kronor år 2008. </w:t>
      </w:r>
    </w:p>
    <w:p w:rsidR="00B26093" w:rsidRPr="00E43670" w:rsidRDefault="00303CA0" w:rsidP="0042273E">
      <w:pPr>
        <w:pStyle w:val="Normaltindrag"/>
      </w:pPr>
      <w:r w:rsidRPr="00E43670">
        <w:t>Mer än 98 % av Sveriges företag är små eller medelstora, dvs. har färre än 250 anställda. Dessa företags konkurrenskraft och tillväxt är betydelsefulla för Sveriges innovationsförmåga och ekonomiska tillväxt. Små och medelst</w:t>
      </w:r>
      <w:r w:rsidRPr="00E43670">
        <w:t>o</w:t>
      </w:r>
      <w:r w:rsidRPr="00E43670">
        <w:t>ra företag sysselsätter 60 % av dem som arbetar i den privata sektorn. Ku</w:t>
      </w:r>
      <w:r w:rsidRPr="00E43670">
        <w:t>n</w:t>
      </w:r>
      <w:r w:rsidRPr="00E43670">
        <w:t>skapsintensiva företag som har ett nära samarbete med universitet och hö</w:t>
      </w:r>
      <w:r w:rsidRPr="00E43670">
        <w:t>g</w:t>
      </w:r>
      <w:r w:rsidRPr="00E43670">
        <w:t>skolor uppvisar en högre tillväxt än andra företag enligt en studie utförd av Institutet för tillväxtpolitiska studier (ITPS). Andra studier visar att svenska små och medelstora företag bedriver relativt lite egen forskning och utvec</w:t>
      </w:r>
      <w:r w:rsidRPr="00E43670">
        <w:t>k</w:t>
      </w:r>
      <w:r w:rsidRPr="00E43670">
        <w:t xml:space="preserve">ling i internationell jämförelse. Det är därför angeläget att den innovativa förmågan och FoU-kompetensen i små och medelstora företag stärks. </w:t>
      </w:r>
    </w:p>
    <w:p w:rsidR="00303CA0" w:rsidRPr="00E43670" w:rsidRDefault="00303CA0" w:rsidP="0042273E">
      <w:pPr>
        <w:pStyle w:val="Normaltindrag"/>
      </w:pPr>
      <w:r w:rsidRPr="00E43670">
        <w:t>Ind</w:t>
      </w:r>
      <w:r w:rsidRPr="00E43670">
        <w:t>u</w:t>
      </w:r>
      <w:r w:rsidRPr="00E43670">
        <w:t>striforskningsinstituten är en viktig samarbetspartner för många små och medelstora företag. Regeringen bedömer att den förstärkning av instit</w:t>
      </w:r>
      <w:r w:rsidRPr="00E43670">
        <w:t>u</w:t>
      </w:r>
      <w:r w:rsidRPr="00E43670">
        <w:t xml:space="preserve">tens långsiktiga, strategiska finansiering som förordas i propositionen (se </w:t>
      </w:r>
      <w:r w:rsidR="00B26093" w:rsidRPr="00E43670">
        <w:t>vid</w:t>
      </w:r>
      <w:r w:rsidR="00B26093" w:rsidRPr="00E43670">
        <w:t>a</w:t>
      </w:r>
      <w:r w:rsidR="00B26093" w:rsidRPr="00E43670">
        <w:t>re</w:t>
      </w:r>
      <w:r w:rsidRPr="00E43670">
        <w:t xml:space="preserve"> i det följande) ytterligare kan förbättra institutens tillgänglighet för dessa för</w:t>
      </w:r>
      <w:r w:rsidRPr="00E43670">
        <w:t>e</w:t>
      </w:r>
      <w:r w:rsidRPr="00E43670">
        <w:t>tag. Samarbetsprogram med näringslivet är en annan insats som kan bidra till att små och medelstora företag kan bilda varaktiga samarbeten inom FoU med andra företag, institut o</w:t>
      </w:r>
      <w:r w:rsidR="00B26093" w:rsidRPr="00E43670">
        <w:t>ch lärosäten (se vidare</w:t>
      </w:r>
      <w:r w:rsidR="00B4787E" w:rsidRPr="00E43670">
        <w:t xml:space="preserve"> näst</w:t>
      </w:r>
      <w:r w:rsidRPr="00E43670">
        <w:t>följande</w:t>
      </w:r>
      <w:r w:rsidR="00B4787E" w:rsidRPr="00E43670">
        <w:t xml:space="preserve"> avsnitt</w:t>
      </w:r>
      <w:r w:rsidRPr="00E43670">
        <w:t>). Flera statliga myndigheter, stiftelser och andra aktörer driver pr</w:t>
      </w:r>
      <w:r w:rsidRPr="00E43670">
        <w:t>o</w:t>
      </w:r>
      <w:r w:rsidRPr="00E43670">
        <w:t>gram som syftar till att stödja forskning och utveckling i små och medelstora företag. Vinnova och Stiftelsen för strategisk forskning samarbetar t.ex. g</w:t>
      </w:r>
      <w:r w:rsidRPr="00E43670">
        <w:t>e</w:t>
      </w:r>
      <w:r w:rsidRPr="00E43670">
        <w:t>nom en insats som syftar till att stödja forskning i små, högteknologiska företag. Den koncern för kommersialisering av idéer från akademisk forskning och det kunskapsintensiva näring</w:t>
      </w:r>
      <w:r w:rsidRPr="00E43670">
        <w:t>s</w:t>
      </w:r>
      <w:r w:rsidRPr="00E43670">
        <w:t>livet som nyligen bildats, Innovationsbron AB, kommer också att kunna bidra till små och medelstora företags innovation</w:t>
      </w:r>
      <w:r w:rsidRPr="00E43670">
        <w:t>s</w:t>
      </w:r>
      <w:r w:rsidRPr="00E43670">
        <w:t>kraft. Regeringen bedömer dock att det behövs ytterligare insatser för att stödja kunskapsu</w:t>
      </w:r>
      <w:r w:rsidRPr="00E43670">
        <w:t>t</w:t>
      </w:r>
      <w:r w:rsidRPr="00E43670">
        <w:t>veckling i små och medelstora företag.</w:t>
      </w:r>
    </w:p>
    <w:p w:rsidR="00303CA0" w:rsidRPr="00E43670" w:rsidRDefault="00303CA0" w:rsidP="00B26093">
      <w:pPr>
        <w:pStyle w:val="R4"/>
      </w:pPr>
      <w:r w:rsidRPr="00E43670">
        <w:t>FoU-program i samverkan med näringslivet</w:t>
      </w:r>
    </w:p>
    <w:p w:rsidR="00303CA0" w:rsidRPr="00E43670" w:rsidRDefault="00B26093" w:rsidP="00303CA0">
      <w:r w:rsidRPr="00E43670">
        <w:t xml:space="preserve">Enligt regeringens bedömning bör </w:t>
      </w:r>
      <w:r w:rsidR="00303CA0" w:rsidRPr="00E43670">
        <w:t>Vinnova under åren 2005–2008 tillf</w:t>
      </w:r>
      <w:r w:rsidR="00303CA0" w:rsidRPr="00E43670">
        <w:t>ö</w:t>
      </w:r>
      <w:r w:rsidR="00303CA0" w:rsidRPr="00E43670">
        <w:t xml:space="preserve">ras 120 miljoner kronor för FoU-program i samverkan med näringslivet, varav </w:t>
      </w:r>
      <w:r w:rsidR="00A83EF9" w:rsidRPr="00E43670">
        <w:t xml:space="preserve"> </w:t>
      </w:r>
      <w:r w:rsidR="00303CA0" w:rsidRPr="00E43670">
        <w:t>10 miljoner kronor år 2005, ytterligare 60 miljoner kronor år 2006, ytterligare 10 miljoner kronor år 2007 och ytterligare 40 miljoner kronor år 2008. Även de medel för allmänna fö</w:t>
      </w:r>
      <w:r w:rsidR="00303CA0" w:rsidRPr="00E43670">
        <w:t>r</w:t>
      </w:r>
      <w:r w:rsidR="00303CA0" w:rsidRPr="00E43670">
        <w:t>stärkningar som enligt propositionen bör fördelas till Vinnova åren 2006 och 2007 kan tas i anspråk för detta än</w:t>
      </w:r>
      <w:r w:rsidRPr="00E43670">
        <w:t>damål. Rege</w:t>
      </w:r>
      <w:r w:rsidRPr="00E43670">
        <w:t>r</w:t>
      </w:r>
      <w:r w:rsidRPr="00E43670">
        <w:t xml:space="preserve">ingen har </w:t>
      </w:r>
      <w:r w:rsidR="00B51217" w:rsidRPr="00E43670">
        <w:t xml:space="preserve">nyligen </w:t>
      </w:r>
      <w:r w:rsidRPr="00E43670">
        <w:t>i</w:t>
      </w:r>
      <w:r w:rsidR="00303CA0" w:rsidRPr="00E43670">
        <w:t xml:space="preserve"> tilläggsbudget i 2005 års ekonomiska vårproposition </w:t>
      </w:r>
      <w:r w:rsidRPr="00E43670">
        <w:t>fra</w:t>
      </w:r>
      <w:r w:rsidRPr="00E43670">
        <w:t>m</w:t>
      </w:r>
      <w:r w:rsidRPr="00E43670">
        <w:t xml:space="preserve">lagt förslag </w:t>
      </w:r>
      <w:r w:rsidR="00303CA0" w:rsidRPr="00E43670">
        <w:t>om de anslagsmässiga kons</w:t>
      </w:r>
      <w:r w:rsidR="00303CA0" w:rsidRPr="00E43670">
        <w:t>e</w:t>
      </w:r>
      <w:r w:rsidR="00303CA0" w:rsidRPr="00E43670">
        <w:t>kvenserna under år 2005.</w:t>
      </w:r>
    </w:p>
    <w:p w:rsidR="00303CA0" w:rsidRPr="00E43670" w:rsidRDefault="00303CA0" w:rsidP="00B26093">
      <w:pPr>
        <w:pStyle w:val="Normaltindrag"/>
      </w:pPr>
      <w:r w:rsidRPr="00E43670">
        <w:t>Erfarenheterna av de nu löpande samverkansprogrammen mellan staten och näringslivet – fordonsforskningsprogrammet och det nationella flygte</w:t>
      </w:r>
      <w:r w:rsidRPr="00E43670">
        <w:t>k</w:t>
      </w:r>
      <w:r w:rsidRPr="00E43670">
        <w:t>niska forskningsprogrammet – är goda</w:t>
      </w:r>
      <w:r w:rsidR="00B26093" w:rsidRPr="00E43670">
        <w:t>, sägs det</w:t>
      </w:r>
      <w:r w:rsidRPr="00E43670">
        <w:t>. Regeringen bedömer mot bakgrund härav att FoU-program i samarbete med näringslivet är ett väl b</w:t>
      </w:r>
      <w:r w:rsidRPr="00E43670">
        <w:t>e</w:t>
      </w:r>
      <w:r w:rsidRPr="00E43670">
        <w:t>prövat i</w:t>
      </w:r>
      <w:r w:rsidRPr="00E43670">
        <w:t>n</w:t>
      </w:r>
      <w:r w:rsidRPr="00E43670">
        <w:t>strument som bör kunna erbjudas även andra för Sverige viktiga branscher. Programmen skall avse områden där Sverige är eller har förutsät</w:t>
      </w:r>
      <w:r w:rsidRPr="00E43670">
        <w:t>t</w:t>
      </w:r>
      <w:r w:rsidRPr="00E43670">
        <w:t>ningar att bli värld</w:t>
      </w:r>
      <w:r w:rsidRPr="00E43670">
        <w:t>s</w:t>
      </w:r>
      <w:r w:rsidRPr="00E43670">
        <w:t>ledande forskningsmässigt och industriellt på kort och lång sikt. En förutsättning för att regeringen skall inrätta samarbetsprogram är att näring</w:t>
      </w:r>
      <w:r w:rsidRPr="00E43670">
        <w:t>s</w:t>
      </w:r>
      <w:r w:rsidRPr="00E43670">
        <w:t>livet bidrar med minst halva finansieringen av programmens totala omfattning. Syftet med programmen är i första hand att stärka svensk ind</w:t>
      </w:r>
      <w:r w:rsidRPr="00E43670">
        <w:t>u</w:t>
      </w:r>
      <w:r w:rsidRPr="00E43670">
        <w:t>stris internationella konkurrenskraft genom att bygga upp strategisk komp</w:t>
      </w:r>
      <w:r w:rsidRPr="00E43670">
        <w:t>e</w:t>
      </w:r>
      <w:r w:rsidRPr="00E43670">
        <w:t>tens inom företagen och forskningsinstitutionerna och genom att skapa m</w:t>
      </w:r>
      <w:r w:rsidRPr="00E43670">
        <w:t>ö</w:t>
      </w:r>
      <w:r w:rsidRPr="00E43670">
        <w:t>tesplatser med föru</w:t>
      </w:r>
      <w:r w:rsidRPr="00E43670">
        <w:t>t</w:t>
      </w:r>
      <w:r w:rsidRPr="00E43670">
        <w:t>sättningar för långsiktigt samarbete mellan näringsliv och forskare vid unive</w:t>
      </w:r>
      <w:r w:rsidRPr="00E43670">
        <w:t>r</w:t>
      </w:r>
      <w:r w:rsidRPr="00E43670">
        <w:t>sitet, högskolor och forskningsinstitut. Programmen skall bidra till att öka tillgången på forskarutbildad personal inom områden som är av vikt för näringslivet. Ytterligare ett syfte med satsningen är att skapa goda föru</w:t>
      </w:r>
      <w:r w:rsidRPr="00E43670">
        <w:t>t</w:t>
      </w:r>
      <w:r w:rsidRPr="00E43670">
        <w:t>sättningar för ett fortsatt högt deltagande och ledarskap i projekt inom EU:s sjunde ramprogram</w:t>
      </w:r>
      <w:r w:rsidR="000B3B6A" w:rsidRPr="00E43670">
        <w:t xml:space="preserve"> för forskning och utveckling</w:t>
      </w:r>
      <w:r w:rsidRPr="00E43670">
        <w:t xml:space="preserve">. </w:t>
      </w:r>
    </w:p>
    <w:p w:rsidR="00303CA0" w:rsidRPr="00E43670" w:rsidRDefault="00303CA0" w:rsidP="00B26093">
      <w:pPr>
        <w:pStyle w:val="Normaltindrag"/>
      </w:pPr>
      <w:r w:rsidRPr="00E43670">
        <w:t>Regeringen har tagit initiativ till ett antal branschvisa samtal med näring</w:t>
      </w:r>
      <w:r w:rsidRPr="00E43670">
        <w:t>s</w:t>
      </w:r>
      <w:r w:rsidRPr="00E43670">
        <w:t>livet med utgångspunkt i de områden som angavs i regeringsförklaringen år 2004 i syfte att genomlysa förutsättningarna för att utveckla Sveriges ledande position inom dessa områden. Samtal kommer sålunda att föras med näring</w:t>
      </w:r>
      <w:r w:rsidRPr="00E43670">
        <w:t>s</w:t>
      </w:r>
      <w:r w:rsidRPr="00E43670">
        <w:t>liv och fackliga organisationer inom IT/telekommunikations- och läkem</w:t>
      </w:r>
      <w:r w:rsidRPr="00E43670">
        <w:t>e</w:t>
      </w:r>
      <w:r w:rsidRPr="00E43670">
        <w:t>dels/bioteknikbranscherna och med företrädare för bas- och verkstadsindustri inom trä/skogsindustri, metallurgi och fordonsindustri. Härefter kommer Vinnova att ges i uppdrag att i interaktion med näringslivet och andra aktörer, såsom universitet, högskolor och industriforskningsinstitut, utveckla sama</w:t>
      </w:r>
      <w:r w:rsidRPr="00E43670">
        <w:t>r</w:t>
      </w:r>
      <w:r w:rsidRPr="00E43670">
        <w:t>betsprogram med näringslivet och inkomma till regeringen med förslag på sådana program. Programmen skall bidra till utvecklingen av innovationss</w:t>
      </w:r>
      <w:r w:rsidRPr="00E43670">
        <w:t>y</w:t>
      </w:r>
      <w:r w:rsidRPr="00E43670">
        <w:t>stemen inom respektive område</w:t>
      </w:r>
      <w:r w:rsidR="000B3B6A" w:rsidRPr="00E43670">
        <w:t>,</w:t>
      </w:r>
      <w:r w:rsidRPr="00E43670">
        <w:t xml:space="preserve"> och även små och medelstora företag bör ges utrymme att delta i programmen. Några av de områden som är aktuella för programsatsningar presenteras i propositionen. Det rör sig om forskningspr</w:t>
      </w:r>
      <w:r w:rsidRPr="00E43670">
        <w:t>o</w:t>
      </w:r>
      <w:r w:rsidRPr="00E43670">
        <w:t>gram med koppling till fordonsindustrin, program inom flyg- och rymdomr</w:t>
      </w:r>
      <w:r w:rsidRPr="00E43670">
        <w:t>å</w:t>
      </w:r>
      <w:r w:rsidRPr="00E43670">
        <w:t xml:space="preserve">dena och program inom miljöteknikområdet. </w:t>
      </w:r>
      <w:r w:rsidR="00F06797" w:rsidRPr="00E43670">
        <w:t>I det följande redovisas vissa uppgifter om dessa forskningsprogram.</w:t>
      </w:r>
    </w:p>
    <w:p w:rsidR="00303CA0" w:rsidRPr="00E43670" w:rsidRDefault="00B674A7" w:rsidP="00C1018C">
      <w:pPr>
        <w:pStyle w:val="Normaltindrag"/>
      </w:pPr>
      <w:r w:rsidRPr="00E43670">
        <w:t xml:space="preserve">Beträffande </w:t>
      </w:r>
      <w:r w:rsidR="00C1018C" w:rsidRPr="00E43670">
        <w:rPr>
          <w:i/>
        </w:rPr>
        <w:t>f</w:t>
      </w:r>
      <w:r w:rsidR="00303CA0" w:rsidRPr="00E43670">
        <w:rPr>
          <w:i/>
        </w:rPr>
        <w:t>ordonsforskningen under programrådet för fordonsfors</w:t>
      </w:r>
      <w:r w:rsidR="00303CA0" w:rsidRPr="00E43670">
        <w:rPr>
          <w:i/>
        </w:rPr>
        <w:t>k</w:t>
      </w:r>
      <w:r w:rsidR="00303CA0" w:rsidRPr="00E43670">
        <w:rPr>
          <w:i/>
        </w:rPr>
        <w:t>ning</w:t>
      </w:r>
      <w:r w:rsidR="00C1018C" w:rsidRPr="00E43670">
        <w:rPr>
          <w:i/>
        </w:rPr>
        <w:t xml:space="preserve"> </w:t>
      </w:r>
      <w:r w:rsidR="00C1018C" w:rsidRPr="00E43670">
        <w:t>sägs i propositionen att – i syfte att</w:t>
      </w:r>
      <w:r w:rsidR="00303CA0" w:rsidRPr="00E43670">
        <w:t xml:space="preserve"> skapa goda förutsättningar för en for</w:t>
      </w:r>
      <w:r w:rsidR="00303CA0" w:rsidRPr="00E43670">
        <w:t>t</w:t>
      </w:r>
      <w:r w:rsidR="00303CA0" w:rsidRPr="00E43670">
        <w:t xml:space="preserve">satt konkurrenskraftig fordonsindustri </w:t>
      </w:r>
      <w:r w:rsidR="00C1018C" w:rsidRPr="00E43670">
        <w:t xml:space="preserve">– </w:t>
      </w:r>
      <w:r w:rsidR="00303CA0" w:rsidRPr="00E43670">
        <w:t>staten, berörda regioner och näringsl</w:t>
      </w:r>
      <w:r w:rsidR="00303CA0" w:rsidRPr="00E43670">
        <w:t>i</w:t>
      </w:r>
      <w:r w:rsidR="00303CA0" w:rsidRPr="00E43670">
        <w:t xml:space="preserve">vet sedan år 1994 </w:t>
      </w:r>
      <w:r w:rsidR="00C1018C" w:rsidRPr="00E43670">
        <w:t xml:space="preserve">gör </w:t>
      </w:r>
      <w:r w:rsidR="00303CA0" w:rsidRPr="00E43670">
        <w:t>riktade satsningar på FoU inom ramen för Programr</w:t>
      </w:r>
      <w:r w:rsidR="00303CA0" w:rsidRPr="00E43670">
        <w:t>å</w:t>
      </w:r>
      <w:r w:rsidR="00303CA0" w:rsidRPr="00E43670">
        <w:t>det för fordonsforskning. Verksamheten är reglerad genom avtal me</w:t>
      </w:r>
      <w:r w:rsidR="00303CA0" w:rsidRPr="00E43670">
        <w:t>l</w:t>
      </w:r>
      <w:r w:rsidR="00303CA0" w:rsidRPr="00E43670">
        <w:t>lan AB Volvo, Fordonskomp</w:t>
      </w:r>
      <w:r w:rsidR="00303CA0" w:rsidRPr="00E43670">
        <w:t>o</w:t>
      </w:r>
      <w:r w:rsidR="00303CA0" w:rsidRPr="00E43670">
        <w:t>nentgruppen AB, Saab Automobile AB, Scania CV AB, Volvo Personvagnar AB, Statens energimyndighet, Naturvårdsve</w:t>
      </w:r>
      <w:r w:rsidR="00303CA0" w:rsidRPr="00E43670">
        <w:t>r</w:t>
      </w:r>
      <w:r w:rsidR="00303CA0" w:rsidRPr="00E43670">
        <w:t>ket, Vinnova och Vägverket. Pr</w:t>
      </w:r>
      <w:r w:rsidR="00303CA0" w:rsidRPr="00E43670">
        <w:t>o</w:t>
      </w:r>
      <w:r w:rsidR="00303CA0" w:rsidRPr="00E43670">
        <w:t>gramrådet ansvarar för genomförandet av fyra – av staten och näringslivet samfinansierade – forskningsprogram inom fo</w:t>
      </w:r>
      <w:r w:rsidR="00303CA0" w:rsidRPr="00E43670">
        <w:t>r</w:t>
      </w:r>
      <w:r w:rsidR="00303CA0" w:rsidRPr="00E43670">
        <w:t>donsområdet. Det fordonstekniska forskningsprogrammet är ett forskning</w:t>
      </w:r>
      <w:r w:rsidR="00303CA0" w:rsidRPr="00E43670">
        <w:t>s</w:t>
      </w:r>
      <w:r w:rsidR="00303CA0" w:rsidRPr="00E43670">
        <w:t>program för ökad konkurrenskraft, huvudsakligen inriktat mot miljö, säkerhet och kos</w:t>
      </w:r>
      <w:r w:rsidR="00303CA0" w:rsidRPr="00E43670">
        <w:t>t</w:t>
      </w:r>
      <w:r w:rsidR="00303CA0" w:rsidRPr="00E43670">
        <w:t>nad/kvalitet. Regeringen tecknade nyligen ett avtal med fordonsind</w:t>
      </w:r>
      <w:r w:rsidR="00303CA0" w:rsidRPr="00E43670">
        <w:t>u</w:t>
      </w:r>
      <w:r w:rsidR="00303CA0" w:rsidRPr="00E43670">
        <w:t>strin om en förlängning och utökning av programmet, som dä</w:t>
      </w:r>
      <w:r w:rsidR="00303CA0" w:rsidRPr="00E43670">
        <w:t>r</w:t>
      </w:r>
      <w:r w:rsidR="00303CA0" w:rsidRPr="00E43670">
        <w:t>med löper t.o.m. år 2008. Den statliga insa</w:t>
      </w:r>
      <w:r w:rsidR="00303CA0" w:rsidRPr="00E43670">
        <w:t>t</w:t>
      </w:r>
      <w:r w:rsidR="00303CA0" w:rsidRPr="00E43670">
        <w:t>sen i programmet utökas från år 2006 med 20 miljoner kronor. Regeringens bedömning är att de nya medel som regeringen beräknat i budgetpropositionen för år 2005 för FoU-program i samarbete med näring</w:t>
      </w:r>
      <w:r w:rsidR="00303CA0" w:rsidRPr="00E43670">
        <w:t>s</w:t>
      </w:r>
      <w:r w:rsidR="00303CA0" w:rsidRPr="00E43670">
        <w:t>livet skall täcka den utökade statliga insatsen om 20 miljoner kronor per å</w:t>
      </w:r>
      <w:r w:rsidR="000B3B6A" w:rsidRPr="00E43670">
        <w:t>r i fordonsforskningsprogrammet. Därmed kommer den statliga insatsen att uppgå till totalt 50 miljoner kronor årligen; industrin har utfäst sig att deras insats kommer att uppgå till motsvarande nivå.</w:t>
      </w:r>
      <w:r w:rsidR="00303CA0" w:rsidRPr="00E43670">
        <w:t xml:space="preserve"> De övriga fordonsforskning</w:t>
      </w:r>
      <w:r w:rsidR="00303CA0" w:rsidRPr="00E43670">
        <w:t>s</w:t>
      </w:r>
      <w:r w:rsidR="002900C8" w:rsidRPr="00E43670">
        <w:t>programmen är samverkans</w:t>
      </w:r>
      <w:r w:rsidR="00303CA0" w:rsidRPr="00E43670">
        <w:t>programmet kring utveckling av mer miljöanpa</w:t>
      </w:r>
      <w:r w:rsidR="00303CA0" w:rsidRPr="00E43670">
        <w:t>s</w:t>
      </w:r>
      <w:r w:rsidR="00303CA0" w:rsidRPr="00E43670">
        <w:t>sade fordon (”Gröna bilen”), Emissionsforskningsprogrammet och progra</w:t>
      </w:r>
      <w:r w:rsidR="00303CA0" w:rsidRPr="00E43670">
        <w:t>m</w:t>
      </w:r>
      <w:r w:rsidR="00303CA0" w:rsidRPr="00E43670">
        <w:t xml:space="preserve">met Intelligent Vehicle Safety Systems.  </w:t>
      </w:r>
    </w:p>
    <w:p w:rsidR="00303CA0" w:rsidRPr="00E43670" w:rsidRDefault="00C1018C" w:rsidP="00C1018C">
      <w:pPr>
        <w:pStyle w:val="Normaltindrag"/>
      </w:pPr>
      <w:r w:rsidRPr="00E43670">
        <w:t xml:space="preserve">När det gäller </w:t>
      </w:r>
      <w:r w:rsidRPr="00E43670">
        <w:rPr>
          <w:i/>
        </w:rPr>
        <w:t>f</w:t>
      </w:r>
      <w:r w:rsidR="00303CA0" w:rsidRPr="00E43670">
        <w:rPr>
          <w:i/>
        </w:rPr>
        <w:t>orskningsprogram inom fordonstelematik och produktion</w:t>
      </w:r>
      <w:r w:rsidR="00303CA0" w:rsidRPr="00E43670">
        <w:rPr>
          <w:i/>
        </w:rPr>
        <w:t>s</w:t>
      </w:r>
      <w:r w:rsidR="00303CA0" w:rsidRPr="00E43670">
        <w:rPr>
          <w:i/>
        </w:rPr>
        <w:t>teknik</w:t>
      </w:r>
      <w:r w:rsidRPr="00E43670">
        <w:t xml:space="preserve"> redovisas i propositionen att r</w:t>
      </w:r>
      <w:r w:rsidR="00303CA0" w:rsidRPr="00E43670">
        <w:t>egeringen har uppdragit åt Vinnova att lämna fö</w:t>
      </w:r>
      <w:r w:rsidR="00303CA0" w:rsidRPr="00E43670">
        <w:t>r</w:t>
      </w:r>
      <w:r w:rsidR="00303CA0" w:rsidRPr="00E43670">
        <w:t>slag på FoU-program inom fordonstelematik. Planeringsramen för åren 2005–2008 är 90 miljoner kronor och en förutsättning är att de förslag som lämnas skall utarbetas i samverkan med fordonsindustrin, telekommun</w:t>
      </w:r>
      <w:r w:rsidR="00303CA0" w:rsidRPr="00E43670">
        <w:t>i</w:t>
      </w:r>
      <w:r w:rsidR="00303CA0" w:rsidRPr="00E43670">
        <w:t>kationsindustrin och med berörda regionala och kommunala aktörer och by</w:t>
      </w:r>
      <w:r w:rsidR="00303CA0" w:rsidRPr="00E43670">
        <w:t>g</w:t>
      </w:r>
      <w:r w:rsidR="00303CA0" w:rsidRPr="00E43670">
        <w:t>ga på samfinans</w:t>
      </w:r>
      <w:r w:rsidR="00303CA0" w:rsidRPr="00E43670">
        <w:t>i</w:t>
      </w:r>
      <w:r w:rsidR="00303CA0" w:rsidRPr="00E43670">
        <w:t>ering, där övriga aktörer går in med minst samma belopp som staten. Försl</w:t>
      </w:r>
      <w:r w:rsidR="00303CA0" w:rsidRPr="00E43670">
        <w:t>a</w:t>
      </w:r>
      <w:r w:rsidR="00303CA0" w:rsidRPr="00E43670">
        <w:t>gen skall medverka till en tydlig profilering av områden där Sverige har både stark forskningskompetens och en stark industri och syfta till att skapa ett svenskt varumärke för fordon</w:t>
      </w:r>
      <w:r w:rsidR="00303CA0" w:rsidRPr="00E43670">
        <w:t>s</w:t>
      </w:r>
      <w:r w:rsidR="00303CA0" w:rsidRPr="00E43670">
        <w:t>telematik liknande det för trafiksäkerhet.</w:t>
      </w:r>
    </w:p>
    <w:p w:rsidR="00303CA0" w:rsidRPr="00E43670" w:rsidRDefault="00303CA0" w:rsidP="00580FA1">
      <w:pPr>
        <w:pStyle w:val="Normaltindrag"/>
      </w:pPr>
      <w:r w:rsidRPr="00E43670">
        <w:t>Regeringen har vidare uppdragit åt Vinnova att lämna förslag på progr</w:t>
      </w:r>
      <w:r w:rsidR="00580FA1" w:rsidRPr="00E43670">
        <w:t>am inom produktionsteknisk FoU</w:t>
      </w:r>
      <w:r w:rsidRPr="00E43670">
        <w:t>. Denna satsning skall syfta till att utvec</w:t>
      </w:r>
      <w:r w:rsidRPr="00E43670">
        <w:t>k</w:t>
      </w:r>
      <w:r w:rsidRPr="00E43670">
        <w:t>la metoder för effektivare och mer resurssnål produktion till lägre kos</w:t>
      </w:r>
      <w:r w:rsidRPr="00E43670">
        <w:t>t</w:t>
      </w:r>
      <w:r w:rsidRPr="00E43670">
        <w:t>nader och inriktas mot fordonsindustrin men vara lika relevant för underlev</w:t>
      </w:r>
      <w:r w:rsidRPr="00E43670">
        <w:t>e</w:t>
      </w:r>
      <w:r w:rsidRPr="00E43670">
        <w:t>rantörer och övrig tillverkande industri. Förslaget skall utarbetas i sa</w:t>
      </w:r>
      <w:r w:rsidRPr="00E43670">
        <w:t>m</w:t>
      </w:r>
      <w:r w:rsidRPr="00E43670">
        <w:t>ve</w:t>
      </w:r>
      <w:r w:rsidR="00580FA1" w:rsidRPr="00E43670">
        <w:t>rkan med Verket för näringslivs</w:t>
      </w:r>
      <w:r w:rsidRPr="00E43670">
        <w:t>utveckling (Nutek), fordonsindustrin samt berörda regionala och kommunala aktörer. Planeringsramen för perioden 2005–2008 omfattar 290 miljoner kronor i statliga medel och förutsätter samfinansiering med övriga aktörer med minst samma belopp. Regeringen bedömer att av de medel som riksdagen anvisat för år 2005 för FoU-program i samarbete med näring</w:t>
      </w:r>
      <w:r w:rsidRPr="00E43670">
        <w:t>s</w:t>
      </w:r>
      <w:r w:rsidRPr="00E43670">
        <w:t>livet bör 10 miljoner kronor reserveras för forskningsprogram inom fordon</w:t>
      </w:r>
      <w:r w:rsidRPr="00E43670">
        <w:t>s</w:t>
      </w:r>
      <w:r w:rsidRPr="00E43670">
        <w:t>telematik och produktionsteknik. För år</w:t>
      </w:r>
      <w:r w:rsidR="000B3B6A" w:rsidRPr="00E43670">
        <w:t>en</w:t>
      </w:r>
      <w:r w:rsidRPr="00E43670">
        <w:t xml:space="preserve"> 2006</w:t>
      </w:r>
      <w:r w:rsidR="002900C8" w:rsidRPr="00E43670">
        <w:t>–</w:t>
      </w:r>
      <w:r w:rsidR="000B3B6A" w:rsidRPr="00E43670">
        <w:t>2008</w:t>
      </w:r>
      <w:r w:rsidRPr="00E43670">
        <w:t xml:space="preserve"> bör 50</w:t>
      </w:r>
      <w:r w:rsidR="000B3B6A" w:rsidRPr="00E43670">
        <w:t xml:space="preserve">, 60 respektive 40 miljoner kronor beräknas. </w:t>
      </w:r>
      <w:r w:rsidRPr="00E43670">
        <w:t xml:space="preserve"> </w:t>
      </w:r>
    </w:p>
    <w:p w:rsidR="00303CA0" w:rsidRPr="00E43670" w:rsidRDefault="00303CA0" w:rsidP="00C1018C">
      <w:pPr>
        <w:pStyle w:val="Normaltindrag"/>
      </w:pPr>
      <w:r w:rsidRPr="00E43670">
        <w:t xml:space="preserve">Riksdagsbeslut avseende </w:t>
      </w:r>
      <w:r w:rsidRPr="00E43670">
        <w:rPr>
          <w:i/>
        </w:rPr>
        <w:t>det nationella, flygtekniska forskningsprogra</w:t>
      </w:r>
      <w:r w:rsidRPr="00E43670">
        <w:rPr>
          <w:i/>
        </w:rPr>
        <w:t>m</w:t>
      </w:r>
      <w:r w:rsidRPr="00E43670">
        <w:rPr>
          <w:i/>
        </w:rPr>
        <w:t>met</w:t>
      </w:r>
      <w:r w:rsidRPr="00E43670">
        <w:t xml:space="preserve"> omfattar perioden 1993/1994–2004. Det statliga bidraget till finansierin</w:t>
      </w:r>
      <w:r w:rsidRPr="00E43670">
        <w:t>g</w:t>
      </w:r>
      <w:r w:rsidRPr="00E43670">
        <w:t>en har hittills uppgått som mest till 30 miljoner kronor per år</w:t>
      </w:r>
      <w:r w:rsidR="00580FA1" w:rsidRPr="00E43670">
        <w:t>,</w:t>
      </w:r>
      <w:r w:rsidRPr="00E43670">
        <w:t xml:space="preserve"> och flygind</w:t>
      </w:r>
      <w:r w:rsidRPr="00E43670">
        <w:t>u</w:t>
      </w:r>
      <w:r w:rsidRPr="00E43670">
        <w:t>strin har bidragit med motsvarande summa. Programmets mål är att genom stim</w:t>
      </w:r>
      <w:r w:rsidRPr="00E43670">
        <w:t>u</w:t>
      </w:r>
      <w:r w:rsidRPr="00E43670">
        <w:t>lans till forskningsarbete bidra till att utveckla svensk flygindustris kompetens och konkurrenskraft. I en utvärdering år 2004 (Vinnova</w:t>
      </w:r>
      <w:r w:rsidR="009768B9" w:rsidRPr="00E43670">
        <w:t>,</w:t>
      </w:r>
      <w:r w:rsidRPr="00E43670">
        <w:t xml:space="preserve"> rapport 2004:9) konstaterades att programverksamheten lyckats väl med måluppfy</w:t>
      </w:r>
      <w:r w:rsidRPr="00E43670">
        <w:t>l</w:t>
      </w:r>
      <w:r w:rsidR="009768B9" w:rsidRPr="00E43670">
        <w:t xml:space="preserve">lelsen och </w:t>
      </w:r>
      <w:r w:rsidRPr="00E43670">
        <w:t>förslag</w:t>
      </w:r>
      <w:r w:rsidR="009768B9" w:rsidRPr="00E43670">
        <w:t xml:space="preserve"> lämnades</w:t>
      </w:r>
      <w:r w:rsidRPr="00E43670">
        <w:t xml:space="preserve"> om framtida utformning av programmet, bl.a. att det bör fortsätta under en fyraårsperiod på en väsentligt </w:t>
      </w:r>
      <w:r w:rsidR="005E329D" w:rsidRPr="00E43670">
        <w:t>ut</w:t>
      </w:r>
      <w:r w:rsidRPr="00E43670">
        <w:t>ökad ekonomisk nivå. Fly</w:t>
      </w:r>
      <w:r w:rsidRPr="00E43670">
        <w:t>g</w:t>
      </w:r>
      <w:r w:rsidRPr="00E43670">
        <w:t>industrin stöder detta förslag. Regeringen bedömer att programmet har bedrivits på ett effektivt sätt, att resultaten är positiva och att samverkan</w:t>
      </w:r>
      <w:r w:rsidRPr="00E43670">
        <w:t>s</w:t>
      </w:r>
      <w:r w:rsidRPr="00E43670">
        <w:t>formen har fungerat väl. I enlighet med utvärderingens rekommendationer gjo</w:t>
      </w:r>
      <w:r w:rsidRPr="00E43670">
        <w:t>r</w:t>
      </w:r>
      <w:r w:rsidRPr="00E43670">
        <w:t>de regeringen bedömningen i budgetpropositionen för år 2005 (prop. 2004/05:1) att programmet bör fortsätta under perioden 2005–2008 och att det statliga bidraget till finansieringen av programmet bör öka. Programmet b</w:t>
      </w:r>
      <w:r w:rsidRPr="00E43670">
        <w:t>e</w:t>
      </w:r>
      <w:r w:rsidRPr="00E43670">
        <w:t>skrevs vidare i den försvarspolitisk</w:t>
      </w:r>
      <w:r w:rsidR="00D941B6" w:rsidRPr="00E43670">
        <w:t>a propositionen (prop. 2004/05:</w:t>
      </w:r>
      <w:r w:rsidRPr="00E43670">
        <w:t>5). Rege</w:t>
      </w:r>
      <w:r w:rsidRPr="00E43670">
        <w:t>r</w:t>
      </w:r>
      <w:r w:rsidRPr="00E43670">
        <w:t>ingen beräknar ett totalt statligt bidrag till programmet om 145 miljoner kr</w:t>
      </w:r>
      <w:r w:rsidRPr="00E43670">
        <w:t>o</w:t>
      </w:r>
      <w:r w:rsidRPr="00E43670">
        <w:t>nor under perioden 2005–2008, med en finansiering med 80 miljoner kronor från utgiftsområde 6 Försvar samt beredskap mot sårbarhet och med 65 mi</w:t>
      </w:r>
      <w:r w:rsidRPr="00E43670">
        <w:t>l</w:t>
      </w:r>
      <w:r w:rsidRPr="00E43670">
        <w:t>joner kronor från utgif</w:t>
      </w:r>
      <w:r w:rsidR="009768B9" w:rsidRPr="00E43670">
        <w:t>tsområde 24 Näringsliv (anslag</w:t>
      </w:r>
      <w:r w:rsidRPr="00E43670">
        <w:t xml:space="preserve"> 26:2 Vinnova: Fors</w:t>
      </w:r>
      <w:r w:rsidRPr="00E43670">
        <w:t>k</w:t>
      </w:r>
      <w:r w:rsidRPr="00E43670">
        <w:t>ning och utveckling), det sistnämnda fördelat med 10 miljoner kronor år 2005, 15 miljoner kronor år 2006 och 20 miljoner kronor under vardera åren 2007 och 2008.</w:t>
      </w:r>
    </w:p>
    <w:p w:rsidR="00303CA0" w:rsidRPr="00E43670" w:rsidRDefault="00303CA0" w:rsidP="00C1018C">
      <w:pPr>
        <w:pStyle w:val="Normaltindrag"/>
      </w:pPr>
      <w:r w:rsidRPr="00E43670">
        <w:t>En av regeringen tillsatt arbetsgrupp, som har haft i uppdrag att utarbeta en vision och en handlingsplan för flyg- och rymdverksamhetens fortsatta u</w:t>
      </w:r>
      <w:r w:rsidRPr="00E43670">
        <w:t>t</w:t>
      </w:r>
      <w:r w:rsidRPr="00E43670">
        <w:t>veckling, har föreslagit att ett motsvarande samarbetsprogram med näringsl</w:t>
      </w:r>
      <w:r w:rsidRPr="00E43670">
        <w:t>i</w:t>
      </w:r>
      <w:r w:rsidRPr="00E43670">
        <w:t xml:space="preserve">vet som det nyssnämnda inom flygområdet skall startas inom rymdområdet. </w:t>
      </w:r>
      <w:r w:rsidRPr="00E43670">
        <w:rPr>
          <w:i/>
        </w:rPr>
        <w:t>Ett nationellt rymdtekniskt forskningsprogram</w:t>
      </w:r>
      <w:r w:rsidRPr="00E43670">
        <w:t xml:space="preserve"> kan bidra till att positionera svensk rymdindustri och rymdteknisk forskning i Europa och övriga världen</w:t>
      </w:r>
      <w:r w:rsidR="00D941B6" w:rsidRPr="00E43670">
        <w:t>,</w:t>
      </w:r>
      <w:r w:rsidRPr="00E43670">
        <w:t xml:space="preserve"> </w:t>
      </w:r>
      <w:r w:rsidR="00D941B6" w:rsidRPr="00E43670">
        <w:t>m</w:t>
      </w:r>
      <w:r w:rsidRPr="00E43670">
        <w:t>e</w:t>
      </w:r>
      <w:r w:rsidR="00D941B6" w:rsidRPr="00E43670">
        <w:t>na</w:t>
      </w:r>
      <w:r w:rsidRPr="00E43670">
        <w:t>r arbetsgruppen. Ett samarbete mellan industri, universitet, högskolor och forskningsinstitut anses kunna leda till relevanta projekt i den rymdte</w:t>
      </w:r>
      <w:r w:rsidRPr="00E43670">
        <w:t>k</w:t>
      </w:r>
      <w:r w:rsidRPr="00E43670">
        <w:t>niska forskningsfronten och kunna stärka förmågan att delta i och dra nytta av internationellt forsknings- och tekniksamarbete, t.ex. i EU:s ramprogram. I EU:s sjunde ramprogram</w:t>
      </w:r>
      <w:r w:rsidR="00270675" w:rsidRPr="00E43670">
        <w:t xml:space="preserve"> för forskning och utveckling</w:t>
      </w:r>
      <w:r w:rsidRPr="00E43670">
        <w:t xml:space="preserve"> föreslås särskilda aktiviteter inom rymdforskningsområdet. Regeringen ser positivt på arbet</w:t>
      </w:r>
      <w:r w:rsidRPr="00E43670">
        <w:t>s</w:t>
      </w:r>
      <w:r w:rsidRPr="00E43670">
        <w:t>gruppens förslag och anser att frågan bör utredas närmare. Regeringen avser därför att uppdra åt Vinnova och Rymdstyrelsen att i samarbete med rymdi</w:t>
      </w:r>
      <w:r w:rsidRPr="00E43670">
        <w:t>n</w:t>
      </w:r>
      <w:r w:rsidRPr="00E43670">
        <w:t>dustrin analysera möjlighete</w:t>
      </w:r>
      <w:r w:rsidRPr="00E43670">
        <w:t>r</w:t>
      </w:r>
      <w:r w:rsidRPr="00E43670">
        <w:t>na att starta ett rymdtekniskt program.</w:t>
      </w:r>
    </w:p>
    <w:p w:rsidR="00F4196B" w:rsidRPr="00E43670" w:rsidRDefault="00C1018C" w:rsidP="00C1018C">
      <w:pPr>
        <w:pStyle w:val="Normaltindrag"/>
      </w:pPr>
      <w:r w:rsidRPr="00E43670">
        <w:t xml:space="preserve">Beträffande </w:t>
      </w:r>
      <w:r w:rsidRPr="00E43670">
        <w:rPr>
          <w:i/>
        </w:rPr>
        <w:t>s</w:t>
      </w:r>
      <w:r w:rsidR="00303CA0" w:rsidRPr="00E43670">
        <w:rPr>
          <w:i/>
        </w:rPr>
        <w:t>amarbetsprogram inom miljöteknikområdet</w:t>
      </w:r>
      <w:r w:rsidRPr="00E43670">
        <w:t xml:space="preserve"> noteras i propos</w:t>
      </w:r>
      <w:r w:rsidRPr="00E43670">
        <w:t>i</w:t>
      </w:r>
      <w:r w:rsidRPr="00E43670">
        <w:t xml:space="preserve">tionen att </w:t>
      </w:r>
      <w:r w:rsidR="00303CA0" w:rsidRPr="00E43670">
        <w:t>Vinnova</w:t>
      </w:r>
      <w:r w:rsidRPr="00E43670">
        <w:t>,</w:t>
      </w:r>
      <w:r w:rsidR="00303CA0" w:rsidRPr="00E43670">
        <w:t xml:space="preserve"> på regeringens uppdrag</w:t>
      </w:r>
      <w:r w:rsidRPr="00E43670">
        <w:t>, har</w:t>
      </w:r>
      <w:r w:rsidR="00303CA0" w:rsidRPr="00E43670">
        <w:t xml:space="preserve"> tagit fram en strategi för fors</w:t>
      </w:r>
      <w:r w:rsidR="00303CA0" w:rsidRPr="00E43670">
        <w:t>k</w:t>
      </w:r>
      <w:r w:rsidR="00303CA0" w:rsidRPr="00E43670">
        <w:t>ning och innovation för området miljödriven teknikutveckling, enligt vilken Sverige har goda förutsättningar att utveckla kunskap och nya produ</w:t>
      </w:r>
      <w:r w:rsidR="00303CA0" w:rsidRPr="00E43670">
        <w:t>k</w:t>
      </w:r>
      <w:r w:rsidR="00303CA0" w:rsidRPr="00E43670">
        <w:t>ter inom bl.a. miljörelaterad bioteknik och materialteknik. Regeringen har tidigare tagit initiativ till ett centrum för miljödriven näringslivsutveckling och miljöte</w:t>
      </w:r>
      <w:r w:rsidR="00303CA0" w:rsidRPr="00E43670">
        <w:t>k</w:t>
      </w:r>
      <w:r w:rsidR="00303CA0" w:rsidRPr="00E43670">
        <w:t xml:space="preserve">nikexport och en särskild utredare, riksdagsledamoten Claes Roxbergh (mp), har lämnat förslag om organisationen för ett sådant centrum (SOU 2004:84). Centrumet – </w:t>
      </w:r>
      <w:r w:rsidR="00D941B6" w:rsidRPr="00E43670">
        <w:t xml:space="preserve">Sveriges miljöteknikråd, </w:t>
      </w:r>
      <w:r w:rsidR="00303CA0" w:rsidRPr="00E43670">
        <w:t>S</w:t>
      </w:r>
      <w:r w:rsidR="00D941B6" w:rsidRPr="00E43670">
        <w:t>wentec</w:t>
      </w:r>
      <w:r w:rsidR="00303CA0" w:rsidRPr="00E43670">
        <w:t xml:space="preserve"> </w:t>
      </w:r>
      <w:r w:rsidR="00D941B6" w:rsidRPr="00E43670">
        <w:t xml:space="preserve">(Swedish Environmental Technology Council) </w:t>
      </w:r>
      <w:r w:rsidR="00303CA0" w:rsidRPr="00E43670">
        <w:t>– skall ha som mål att bidra till att Sv</w:t>
      </w:r>
      <w:r w:rsidR="00303CA0" w:rsidRPr="00E43670">
        <w:t>e</w:t>
      </w:r>
      <w:r w:rsidR="00303CA0" w:rsidRPr="00E43670">
        <w:t>rige blir en ledande nation inom miljödriven näringslivsutveckling, miljöte</w:t>
      </w:r>
      <w:r w:rsidR="00303CA0" w:rsidRPr="00E43670">
        <w:t>k</w:t>
      </w:r>
      <w:r w:rsidR="00303CA0" w:rsidRPr="00E43670">
        <w:t>nikexport och hållbar utveckling. Regeringen</w:t>
      </w:r>
      <w:r w:rsidR="00D941B6" w:rsidRPr="00E43670">
        <w:t>, som i december 2004</w:t>
      </w:r>
      <w:r w:rsidR="00303CA0" w:rsidRPr="00E43670">
        <w:t xml:space="preserve"> beslöt </w:t>
      </w:r>
      <w:r w:rsidR="00D941B6" w:rsidRPr="00E43670">
        <w:t xml:space="preserve">att en kommitté övergångsvis skulle handha Swentecs uppgifter, beslöt den </w:t>
      </w:r>
      <w:r w:rsidR="00B51217" w:rsidRPr="00E43670">
        <w:t xml:space="preserve">     </w:t>
      </w:r>
      <w:r w:rsidR="00D941B6" w:rsidRPr="00E43670">
        <w:t>14 april 2005 att inrätta rådet</w:t>
      </w:r>
      <w:r w:rsidR="00303CA0" w:rsidRPr="00E43670">
        <w:t>.</w:t>
      </w:r>
      <w:r w:rsidR="00D941B6" w:rsidRPr="00E43670">
        <w:t xml:space="preserve"> Swentec får ett årligt anslag på 10 miljoner kronor och placeras vid Chalmers tekniska högskola</w:t>
      </w:r>
      <w:r w:rsidR="00F4196B" w:rsidRPr="00E43670">
        <w:t>.</w:t>
      </w:r>
      <w:r w:rsidR="00303CA0" w:rsidRPr="00E43670">
        <w:t xml:space="preserve"> </w:t>
      </w:r>
    </w:p>
    <w:p w:rsidR="00303CA0" w:rsidRPr="00E43670" w:rsidRDefault="00303CA0" w:rsidP="00F4196B">
      <w:pPr>
        <w:pStyle w:val="Normaltindrag"/>
      </w:pPr>
      <w:r w:rsidRPr="00E43670">
        <w:t>Många av de företag som verkar inom miljöteknikområdet är små eller medelstora. Regeringen avser att ge Vinnova och Formas i uppdrag att geme</w:t>
      </w:r>
      <w:r w:rsidRPr="00E43670">
        <w:t>n</w:t>
      </w:r>
      <w:r w:rsidRPr="00E43670">
        <w:t>samt och i dialog med näringslivet och andra berörda aktörer, såsom universitet och högskolor och forskningsinstitut, analysera, bedöma och ber</w:t>
      </w:r>
      <w:r w:rsidRPr="00E43670">
        <w:t>e</w:t>
      </w:r>
      <w:r w:rsidRPr="00E43670">
        <w:t>da förslag om ett miljöinriktat samarbetsprogram. Programmet skall finansi</w:t>
      </w:r>
      <w:r w:rsidRPr="00E43670">
        <w:t>e</w:t>
      </w:r>
      <w:r w:rsidRPr="00E43670">
        <w:t>ras gemensamt och till lika delar av staten och näringslivet. Små och mede</w:t>
      </w:r>
      <w:r w:rsidRPr="00E43670">
        <w:t>l</w:t>
      </w:r>
      <w:r w:rsidRPr="00E43670">
        <w:t>stora företags medverkan i programmet bör vara prioriterad och programmet bör utformas på ett sådant sätt att deras medverkan underlättas. Regeringen ko</w:t>
      </w:r>
      <w:r w:rsidRPr="00E43670">
        <w:t>m</w:t>
      </w:r>
      <w:r w:rsidRPr="00E43670">
        <w:t>mer utifrån detta underlag att besluta om programmets genomförande. Vinnova bör inom befintlig ram avsätta 10 miljoner kronor för ett forskning</w:t>
      </w:r>
      <w:r w:rsidRPr="00E43670">
        <w:t>s</w:t>
      </w:r>
      <w:r w:rsidRPr="00E43670">
        <w:t>program inom miljöteknik i samarbete med näringslivet år 2007 och ytterlig</w:t>
      </w:r>
      <w:r w:rsidRPr="00E43670">
        <w:t>a</w:t>
      </w:r>
      <w:r w:rsidRPr="00E43670">
        <w:t>re 10 miljoner kronor år 2008, så att den totala omfattningen från Vinnova uppgår till 20 miljoner kronor årligen från år 2008. Formas bör avsätta</w:t>
      </w:r>
      <w:r w:rsidR="002900C8" w:rsidRPr="00E43670">
        <w:t xml:space="preserve">          </w:t>
      </w:r>
      <w:r w:rsidRPr="00E43670">
        <w:t xml:space="preserve"> 5 miljoner kronor för detta ändamål </w:t>
      </w:r>
      <w:r w:rsidR="00D340DC" w:rsidRPr="00E43670">
        <w:t>år</w:t>
      </w:r>
      <w:r w:rsidRPr="00E43670">
        <w:t xml:space="preserve"> 2007 och ytterligare </w:t>
      </w:r>
      <w:r w:rsidR="0039652A" w:rsidRPr="00E43670">
        <w:t xml:space="preserve">5 </w:t>
      </w:r>
      <w:r w:rsidRPr="00E43670">
        <w:t>miljoner kr</w:t>
      </w:r>
      <w:r w:rsidRPr="00E43670">
        <w:t>o</w:t>
      </w:r>
      <w:r w:rsidRPr="00E43670">
        <w:t>nor år 2008. Regeringen bedömer det som angeläget att ytterligare stödja ku</w:t>
      </w:r>
      <w:r w:rsidRPr="00E43670">
        <w:t>n</w:t>
      </w:r>
      <w:r w:rsidRPr="00E43670">
        <w:t>skaps- och kompetensuppbyggnad inom miljötekniko</w:t>
      </w:r>
      <w:r w:rsidRPr="00E43670">
        <w:t>m</w:t>
      </w:r>
      <w:r w:rsidRPr="00E43670">
        <w:t>rådet och anser att resurser bör fördelas till Vinnova för forskning till stöd för hål</w:t>
      </w:r>
      <w:r w:rsidRPr="00E43670">
        <w:t>l</w:t>
      </w:r>
      <w:r w:rsidRPr="00E43670">
        <w:t>bar utveckling (se vidare avsnitt</w:t>
      </w:r>
      <w:r w:rsidR="00F4196B" w:rsidRPr="00E43670">
        <w:t>et om det prioriterade området fors</w:t>
      </w:r>
      <w:r w:rsidR="00F4196B" w:rsidRPr="00E43670">
        <w:t>k</w:t>
      </w:r>
      <w:r w:rsidR="00F4196B" w:rsidRPr="00E43670">
        <w:t>ning till stöd för hållbar utveckling</w:t>
      </w:r>
      <w:r w:rsidRPr="00E43670">
        <w:t xml:space="preserve"> i det för</w:t>
      </w:r>
      <w:r w:rsidRPr="00E43670">
        <w:t>e</w:t>
      </w:r>
      <w:r w:rsidRPr="00E43670">
        <w:t>gående).</w:t>
      </w:r>
    </w:p>
    <w:p w:rsidR="00303CA0" w:rsidRPr="00E43670" w:rsidRDefault="00303CA0" w:rsidP="00F4196B">
      <w:pPr>
        <w:pStyle w:val="R4"/>
      </w:pPr>
      <w:r w:rsidRPr="00E43670">
        <w:t>Institutens roll i innovationssystemet</w:t>
      </w:r>
    </w:p>
    <w:p w:rsidR="00303CA0" w:rsidRPr="00E43670" w:rsidRDefault="00303CA0" w:rsidP="00303CA0">
      <w:r w:rsidRPr="00E43670">
        <w:t xml:space="preserve">Regeringens bedömning avseende </w:t>
      </w:r>
      <w:r w:rsidR="00F4196B" w:rsidRPr="00E43670">
        <w:t xml:space="preserve">den </w:t>
      </w:r>
      <w:r w:rsidRPr="00E43670">
        <w:t>långsiktig</w:t>
      </w:r>
      <w:r w:rsidR="00F4196B" w:rsidRPr="00E43670">
        <w:t>a,</w:t>
      </w:r>
      <w:r w:rsidRPr="00E43670">
        <w:t xml:space="preserve"> strategisk</w:t>
      </w:r>
      <w:r w:rsidR="00F4196B" w:rsidRPr="00E43670">
        <w:t>a</w:t>
      </w:r>
      <w:r w:rsidRPr="00E43670">
        <w:t xml:space="preserve"> finansiering</w:t>
      </w:r>
      <w:r w:rsidR="00F4196B" w:rsidRPr="00E43670">
        <w:t>en</w:t>
      </w:r>
      <w:r w:rsidRPr="00E43670">
        <w:t xml:space="preserve"> av </w:t>
      </w:r>
      <w:r w:rsidR="00F4196B" w:rsidRPr="00E43670">
        <w:t xml:space="preserve">verksamheten vid de statligt delägda </w:t>
      </w:r>
      <w:r w:rsidRPr="00E43670">
        <w:t>ind</w:t>
      </w:r>
      <w:r w:rsidRPr="00E43670">
        <w:t>u</w:t>
      </w:r>
      <w:r w:rsidR="00F4196B" w:rsidRPr="00E43670">
        <w:t xml:space="preserve">striforskningsinstituten innebär att </w:t>
      </w:r>
      <w:r w:rsidRPr="00E43670">
        <w:t xml:space="preserve">Vinnova under åren 2005–2008 </w:t>
      </w:r>
      <w:r w:rsidR="00F4196B" w:rsidRPr="00E43670">
        <w:t xml:space="preserve">bör </w:t>
      </w:r>
      <w:r w:rsidRPr="00E43670">
        <w:t xml:space="preserve">tillföras 110 miljoner kronor för </w:t>
      </w:r>
      <w:r w:rsidR="00F4196B" w:rsidRPr="00E43670">
        <w:t>detta ändamål, varav</w:t>
      </w:r>
      <w:r w:rsidRPr="00E43670">
        <w:t xml:space="preserve"> 45 miljoner kronor år 2007 och ytterligare 65 miljoner kr</w:t>
      </w:r>
      <w:r w:rsidRPr="00E43670">
        <w:t>o</w:t>
      </w:r>
      <w:r w:rsidRPr="00E43670">
        <w:t>nor år 2008.</w:t>
      </w:r>
    </w:p>
    <w:p w:rsidR="00303CA0" w:rsidRPr="00E43670" w:rsidRDefault="00303CA0" w:rsidP="009A4D92">
      <w:pPr>
        <w:pStyle w:val="Normaltindrag"/>
      </w:pPr>
      <w:r w:rsidRPr="00E43670">
        <w:t>För närvarande finns 17 industr</w:t>
      </w:r>
      <w:r w:rsidR="009509AC" w:rsidRPr="00E43670">
        <w:t>iforskningsinstitut inom IRECO H</w:t>
      </w:r>
      <w:r w:rsidRPr="00E43670">
        <w:t>olding AB, som ägs till 55 % av staten och till 45 % av Stiftelsen för kunskaps- och ko</w:t>
      </w:r>
      <w:r w:rsidRPr="00E43670">
        <w:t>m</w:t>
      </w:r>
      <w:r w:rsidRPr="00E43670">
        <w:t>petensutveckling (KK-stiftelsen). Instituten had</w:t>
      </w:r>
      <w:r w:rsidR="00D340DC" w:rsidRPr="00E43670">
        <w:t>e år 2003 en omsättning på ca 1</w:t>
      </w:r>
      <w:r w:rsidR="00546057" w:rsidRPr="00E43670">
        <w:t> </w:t>
      </w:r>
      <w:r w:rsidRPr="00E43670">
        <w:t>120 miljoner kronor. Sedan industriforskningsinstitutens bolagisering påbörjades år 1997 har finansieringen av långsiktig kompetensutveckling regl</w:t>
      </w:r>
      <w:r w:rsidRPr="00E43670">
        <w:t>e</w:t>
      </w:r>
      <w:r w:rsidRPr="00E43670">
        <w:t>rats genom ett aktieägaravtal mellan staten och KK-stiftelsen. Avtalet innebär att KK-stiftelsen avsätter 50 miljoner kronor under perioden 2003–2005, medan staten genom Vinnova avsätter 100 miljoner kronor varje år under perioden 2003–2005 för institutens kompetensutveckling. Genom rik</w:t>
      </w:r>
      <w:r w:rsidRPr="00E43670">
        <w:t>s</w:t>
      </w:r>
      <w:r w:rsidRPr="00E43670">
        <w:t>dagens beslut med anledning av proposition 2001/02:02 om FoU och samve</w:t>
      </w:r>
      <w:r w:rsidRPr="00E43670">
        <w:t>r</w:t>
      </w:r>
      <w:r w:rsidRPr="00E43670">
        <w:t>kan i innovationssystemet (bet. 2001/02:NU5) gavs Ireco i uppdrag att verka för en omstrukturering av sina institut i syfte att skapa en sammanhållen struktur med färre, större och mer internationellt konkurrenskraftiga institut med en stark förankring hos näringslivet. För att finansiera omstruktureringen til</w:t>
      </w:r>
      <w:r w:rsidRPr="00E43670">
        <w:t>l</w:t>
      </w:r>
      <w:r w:rsidRPr="00E43670">
        <w:t>skjuter staten och KK-stiftelsen årligen 10 miljoner kronor vardera under perioden 2003–2005. Regeringen tillför ytterligare 40 miljoner kronor, förd</w:t>
      </w:r>
      <w:r w:rsidRPr="00E43670">
        <w:t>e</w:t>
      </w:r>
      <w:r w:rsidR="00D340DC" w:rsidRPr="00E43670">
        <w:t>lade</w:t>
      </w:r>
      <w:r w:rsidRPr="00E43670">
        <w:t xml:space="preserve"> med 29 miljoner kronor år 2004 och 11 miljoner kronor år 2005, via Vinnovas anslag Forskning och utveckling (26:2) för att finansiera Irecos omstrukturering. KK-stiftelsen har </w:t>
      </w:r>
      <w:r w:rsidR="00270675" w:rsidRPr="00E43670">
        <w:t>genom</w:t>
      </w:r>
      <w:r w:rsidRPr="00E43670">
        <w:t xml:space="preserve"> beslut under år 2004 tillskjutit </w:t>
      </w:r>
      <w:r w:rsidR="00270675" w:rsidRPr="00E43670">
        <w:t>ytte</w:t>
      </w:r>
      <w:r w:rsidR="00270675" w:rsidRPr="00E43670">
        <w:t>r</w:t>
      </w:r>
      <w:r w:rsidR="00270675" w:rsidRPr="00E43670">
        <w:t>ligare 25</w:t>
      </w:r>
      <w:r w:rsidRPr="00E43670">
        <w:t xml:space="preserve"> miljoner kronor för samma ändamål. Under perioden har de ovan angivna medlen för kompetensutveckling om totalt 350 miljoner kronor fö</w:t>
      </w:r>
      <w:r w:rsidRPr="00E43670">
        <w:t>r</w:t>
      </w:r>
      <w:r w:rsidRPr="00E43670">
        <w:t xml:space="preserve">delats utifrån ansökningar från respektive industriforskningsinstitut.  </w:t>
      </w:r>
    </w:p>
    <w:p w:rsidR="00303CA0" w:rsidRPr="00E43670" w:rsidRDefault="00303CA0" w:rsidP="00F4196B">
      <w:pPr>
        <w:pStyle w:val="Normaltindrag"/>
      </w:pPr>
      <w:r w:rsidRPr="00E43670">
        <w:t>Ireco förväntas slutföra den pågående fasen av omstruk</w:t>
      </w:r>
      <w:r w:rsidR="00D340DC" w:rsidRPr="00E43670">
        <w:t>tureringen under år 2005. Ireco</w:t>
      </w:r>
      <w:r w:rsidRPr="00E43670">
        <w:t>instituten kommer då i huvudsak att vara strukturerade i följande fyra grupper: en material- och verkstadsteknisk koncern under holdingbolaget Swerea AB; ett institut för fiber, tryck och förpackningar (STFI-Packforsk AB); en grupp i</w:t>
      </w:r>
      <w:r w:rsidR="00270675" w:rsidRPr="00E43670">
        <w:t>nom bio-, miljö- och byggteknik</w:t>
      </w:r>
      <w:r w:rsidRPr="00E43670">
        <w:t xml:space="preserve"> </w:t>
      </w:r>
      <w:r w:rsidR="00270675" w:rsidRPr="00E43670">
        <w:t>(</w:t>
      </w:r>
      <w:r w:rsidRPr="00E43670">
        <w:t>Sveriges Provnings- och Forskningsinstitut AB, tidigare Trätek och Institutet för Livsmedel och Bi</w:t>
      </w:r>
      <w:r w:rsidRPr="00E43670">
        <w:t>o</w:t>
      </w:r>
      <w:r w:rsidR="00270675" w:rsidRPr="00E43670">
        <w:t>teknik);</w:t>
      </w:r>
      <w:r w:rsidRPr="00E43670">
        <w:t xml:space="preserve"> en gruppering för instituten inom informations- och kommunikation</w:t>
      </w:r>
      <w:r w:rsidRPr="00E43670">
        <w:t>s</w:t>
      </w:r>
      <w:r w:rsidRPr="00E43670">
        <w:t xml:space="preserve">teknik. </w:t>
      </w:r>
      <w:r w:rsidR="00F4196B" w:rsidRPr="00E43670">
        <w:t xml:space="preserve">Regeringen </w:t>
      </w:r>
      <w:r w:rsidRPr="00E43670">
        <w:t>konstatera</w:t>
      </w:r>
      <w:r w:rsidR="00F4196B" w:rsidRPr="00E43670">
        <w:t>r</w:t>
      </w:r>
      <w:r w:rsidRPr="00E43670">
        <w:t xml:space="preserve"> att samarbetet me</w:t>
      </w:r>
      <w:r w:rsidRPr="00E43670">
        <w:t>l</w:t>
      </w:r>
      <w:r w:rsidRPr="00E43670">
        <w:t>lan staten och KK-stiftelsen varit framgångsrikt och bl.a. utgjort en förutsättning för ett geno</w:t>
      </w:r>
      <w:r w:rsidRPr="00E43670">
        <w:t>m</w:t>
      </w:r>
      <w:r w:rsidRPr="00E43670">
        <w:t>förande av omstruktureringsprocessen. Regeringen avser att verka för att samarbetet mellan staten och KK-stiftelsen skall kunna fortsätta även efter det att innev</w:t>
      </w:r>
      <w:r w:rsidRPr="00E43670">
        <w:t>a</w:t>
      </w:r>
      <w:r w:rsidRPr="00E43670">
        <w:t>rande avtalsperiod löpt ut år 2005. Det är regeringens bedöm</w:t>
      </w:r>
      <w:r w:rsidR="00D340DC" w:rsidRPr="00E43670">
        <w:t>ning att Ireco</w:t>
      </w:r>
      <w:r w:rsidR="002900C8" w:rsidRPr="00E43670">
        <w:t>-</w:t>
      </w:r>
      <w:r w:rsidRPr="00E43670">
        <w:t>in</w:t>
      </w:r>
      <w:r w:rsidRPr="00E43670">
        <w:t>s</w:t>
      </w:r>
      <w:r w:rsidRPr="00E43670">
        <w:t>tituten behöver fortsätta att utvecklas mot en mer effektiv struktur av större och mer fokuserade institut med större förutsät</w:t>
      </w:r>
      <w:r w:rsidRPr="00E43670">
        <w:t>t</w:t>
      </w:r>
      <w:r w:rsidRPr="00E43670">
        <w:t>ningar för förnyelse. Efter år 2005 kommer utvecklingen av instituten att gå in i en ny fas, sedan den n</w:t>
      </w:r>
      <w:r w:rsidR="000437FA" w:rsidRPr="00E43670">
        <w:t>ya</w:t>
      </w:r>
      <w:r w:rsidRPr="00E43670">
        <w:t xml:space="preserve"> strukturen etablerats.</w:t>
      </w:r>
    </w:p>
    <w:p w:rsidR="00303CA0" w:rsidRPr="00E43670" w:rsidRDefault="00303CA0" w:rsidP="000437FA">
      <w:pPr>
        <w:pStyle w:val="Normaltindrag"/>
      </w:pPr>
      <w:r w:rsidRPr="00E43670">
        <w:t>Regeringen redovisade i 1997 års ekonomiska vårproposition (prop. 1996/97:150) resultatet av det arbete som utförts i Kommittén för omstrukt</w:t>
      </w:r>
      <w:r w:rsidRPr="00E43670">
        <w:t>u</w:t>
      </w:r>
      <w:r w:rsidRPr="00E43670">
        <w:t>rering och förstärkning av industriforskningsinstituten, den s.k. KOFI-utredningen, och angav då särskilt att näringslivsintressenterna vid en bolag</w:t>
      </w:r>
      <w:r w:rsidRPr="00E43670">
        <w:t>i</w:t>
      </w:r>
      <w:r w:rsidRPr="00E43670">
        <w:t>sering bör vara majoritetsägare i de av instituten nybildade aktiebolagen. Genom näringslivets internationalisering, bl.a. avseende ägandet, har föru</w:t>
      </w:r>
      <w:r w:rsidRPr="00E43670">
        <w:t>t</w:t>
      </w:r>
      <w:r w:rsidRPr="00E43670">
        <w:t>sättningarna för att näringslivet skall vara en betydelsefull och drivande ägare av industriforskningsinstituten dock förändrats. Den fortsatta utvecklingen av industriforskningsinstituten förutsätter därför en mer flexibel syn på ägandet än den som redovisades i KOFI-utredningen. I vissa sektorer där de ver</w:t>
      </w:r>
      <w:r w:rsidRPr="00E43670">
        <w:t>k</w:t>
      </w:r>
      <w:r w:rsidRPr="00E43670">
        <w:t>samma företagen i huvudsak är utlandsägda är ett majoritetsägande av nä</w:t>
      </w:r>
      <w:r w:rsidRPr="00E43670">
        <w:t>r</w:t>
      </w:r>
      <w:r w:rsidRPr="00E43670">
        <w:t xml:space="preserve">ingslivet inte rimligt. Regeringen avser därför att i undantagsfall öppna för ett statligt majoritetsägande om det är avgörande för att åstadkomma en stark institutssektor. En förutsättning för </w:t>
      </w:r>
      <w:r w:rsidR="000437FA" w:rsidRPr="00E43670">
        <w:t>stat</w:t>
      </w:r>
      <w:r w:rsidRPr="00E43670">
        <w:t>en att gå in som majoritetsägare i ett institut är ett tydligt engagemang från näringslivet i form av ökad uppdrag</w:t>
      </w:r>
      <w:r w:rsidRPr="00E43670">
        <w:t>s</w:t>
      </w:r>
      <w:r w:rsidRPr="00E43670">
        <w:t>volym eller ökad omfattning på samverkansprojekt. Finansiering av ett statligt majoritetsägande måste ske inom ramen för de medel som Ireco di</w:t>
      </w:r>
      <w:r w:rsidRPr="00E43670">
        <w:t>s</w:t>
      </w:r>
      <w:r w:rsidRPr="00E43670">
        <w:t xml:space="preserve">ponerar. </w:t>
      </w:r>
    </w:p>
    <w:p w:rsidR="00303CA0" w:rsidRPr="00E43670" w:rsidRDefault="00303CA0" w:rsidP="000437FA">
      <w:pPr>
        <w:pStyle w:val="Normaltindrag"/>
      </w:pPr>
      <w:r w:rsidRPr="00E43670">
        <w:t>De medel om 110 miljoner kronor som regeringen bedömer att Vinnov</w:t>
      </w:r>
      <w:r w:rsidR="00270675" w:rsidRPr="00E43670">
        <w:t xml:space="preserve">a bör tillföras under åren 2007 och </w:t>
      </w:r>
      <w:r w:rsidRPr="00E43670">
        <w:t>2008 är avsedda som en förstärkning av de medel om 100 miljoner kronor för kompetensutveckling av industrifors</w:t>
      </w:r>
      <w:r w:rsidRPr="00E43670">
        <w:t>k</w:t>
      </w:r>
      <w:r w:rsidRPr="00E43670">
        <w:t>ningsinst</w:t>
      </w:r>
      <w:r w:rsidRPr="00E43670">
        <w:t>i</w:t>
      </w:r>
      <w:r w:rsidRPr="00E43670">
        <w:t>tuten som regeringen sedan tidigare avsätter årligen. Liksom de sistnämnda medlen bör de nya resurserna disponeras av Vinnova för vidare fördelning till instituten via Ireco. Som utgångspunkter för Vinnovas och Irecos förslag till kriterier för fördelning av de nya resurserna bör gälla att medlen skall bidra till att stärka institutens samarbete med universitet och högskolor, främja institutens deltagande i internationella samarbetsprogram, t.ex. inom EU, och stärka deras förmåga att stödja kunskapsutvecklingen inom små och medelstora företag. Medlen skall också bidra till en ökad sa</w:t>
      </w:r>
      <w:r w:rsidRPr="00E43670">
        <w:t>m</w:t>
      </w:r>
      <w:r w:rsidRPr="00E43670">
        <w:t>verkan mellan instit</w:t>
      </w:r>
      <w:r w:rsidRPr="00E43670">
        <w:t>u</w:t>
      </w:r>
      <w:r w:rsidRPr="00E43670">
        <w:t>ten och ge möjlighet att ta till vara ett ökat engagemang från näringslivet. Vidare måste fördelningen av de nya resurserna främja en hög vetenskaplig kvalitet i institutens forskning och stimulera förnyelsen av forskningen. Ireco bör ansvara för fördelningen av medlen för långsiktig, strategisk finansiering med utgångspunkt i de uppställda kriterierna. Vinnova har i uppdrag att verka för att industriforskningsinstitutens roll i innovation</w:t>
      </w:r>
      <w:r w:rsidRPr="00E43670">
        <w:t>s</w:t>
      </w:r>
      <w:r w:rsidRPr="00E43670">
        <w:t>systemet utvecklas och planerar att under år 2005 göra en utvärdering av hur kompetensmedlen bidragit till industriforskningsinstitutens utveckling. Rege</w:t>
      </w:r>
      <w:r w:rsidRPr="00E43670">
        <w:t>r</w:t>
      </w:r>
      <w:r w:rsidRPr="00E43670">
        <w:t>ingen avser att ge Vinnova i uppdrag att före utgången av år 2008 utvärdera de insatser som genomförts med de medel som aviseras i propositionen. Mö</w:t>
      </w:r>
      <w:r w:rsidRPr="00E43670">
        <w:t>j</w:t>
      </w:r>
      <w:r w:rsidRPr="00E43670">
        <w:t>ligheten att ta del av de nya resurserna bör stå</w:t>
      </w:r>
      <w:r w:rsidR="00D340DC" w:rsidRPr="00E43670">
        <w:t xml:space="preserve"> öppen för nu existerande Irec</w:t>
      </w:r>
      <w:r w:rsidR="00D340DC" w:rsidRPr="00E43670">
        <w:t>o</w:t>
      </w:r>
      <w:r w:rsidR="00D340DC" w:rsidRPr="00E43670">
        <w:t>institut</w:t>
      </w:r>
      <w:r w:rsidRPr="00E43670">
        <w:t>, institut som före o</w:t>
      </w:r>
      <w:r w:rsidR="00D340DC" w:rsidRPr="00E43670">
        <w:t>mstruktureringen ingått i Ireco</w:t>
      </w:r>
      <w:r w:rsidRPr="00E43670">
        <w:t>gruppen och andra inst</w:t>
      </w:r>
      <w:r w:rsidRPr="00E43670">
        <w:t>i</w:t>
      </w:r>
      <w:r w:rsidRPr="00E43670">
        <w:t>tut som tillkommer i gruppen.</w:t>
      </w:r>
    </w:p>
    <w:p w:rsidR="00303CA0" w:rsidRPr="00E43670" w:rsidRDefault="00F146B1" w:rsidP="00F146B1">
      <w:pPr>
        <w:pStyle w:val="Rubrik4"/>
        <w:rPr>
          <w:noProof w:val="0"/>
        </w:rPr>
      </w:pPr>
      <w:bookmarkStart w:id="4" w:name="_Toc101927278"/>
      <w:r w:rsidRPr="00E43670">
        <w:rPr>
          <w:noProof w:val="0"/>
        </w:rPr>
        <w:t>I</w:t>
      </w:r>
      <w:r w:rsidR="00303CA0" w:rsidRPr="00E43670">
        <w:rPr>
          <w:noProof w:val="0"/>
        </w:rPr>
        <w:t>nsatser för ökad forskarmobilitet</w:t>
      </w:r>
      <w:bookmarkEnd w:id="4"/>
    </w:p>
    <w:p w:rsidR="00303CA0" w:rsidRPr="00E43670" w:rsidRDefault="00303CA0" w:rsidP="00303CA0">
      <w:r w:rsidRPr="00E43670">
        <w:t>Betydelsen av forskarnas mobilitet har sedan länge uppmärksammats i sa</w:t>
      </w:r>
      <w:r w:rsidRPr="00E43670">
        <w:t>m</w:t>
      </w:r>
      <w:r w:rsidRPr="00E43670">
        <w:t>band med diskussioner om ökad samverkan mellan lärosätena och det omg</w:t>
      </w:r>
      <w:r w:rsidRPr="00E43670">
        <w:t>i</w:t>
      </w:r>
      <w:r w:rsidRPr="00E43670">
        <w:t>vande samhället. Regeringen angav i proposition 2001/02:02 om FoU och samverkan i innovationssystemet att i den då nybildade myndigheten Vinn</w:t>
      </w:r>
      <w:r w:rsidRPr="00E43670">
        <w:t>o</w:t>
      </w:r>
      <w:r w:rsidRPr="00E43670">
        <w:t>vas uppgifter ingår att stimulera starka innovationssystem</w:t>
      </w:r>
      <w:r w:rsidR="00F146B1" w:rsidRPr="00E43670">
        <w:t>,</w:t>
      </w:r>
      <w:r w:rsidRPr="00E43670">
        <w:t xml:space="preserve"> bl.a. genom att stimulera forskarnas mobilitet mellan olika FoU-miljöer. I instruktionen för Vinnova anges bl.a. att verket särskilt skall stimulera till kunskapsöverföring och rörlighet mellan olika grupper av aktörer i </w:t>
      </w:r>
      <w:r w:rsidRPr="00E43670">
        <w:rPr>
          <w:color w:val="000000"/>
        </w:rPr>
        <w:t xml:space="preserve">innovationssystemet. </w:t>
      </w:r>
      <w:r w:rsidRPr="00E43670">
        <w:t>Rege</w:t>
      </w:r>
      <w:r w:rsidRPr="00E43670">
        <w:t>r</w:t>
      </w:r>
      <w:r w:rsidRPr="00E43670">
        <w:t>ingen avser att ge Vinnova i uppdrag att utveckla arbetet med att åstadkomma ökad mobilitet</w:t>
      </w:r>
      <w:r w:rsidR="00F146B1" w:rsidRPr="00E43670">
        <w:t>,</w:t>
      </w:r>
      <w:r w:rsidRPr="00E43670">
        <w:t xml:space="preserve"> bl.a. med utgångspunkt i de nya verktyg som regeringen pr</w:t>
      </w:r>
      <w:r w:rsidRPr="00E43670">
        <w:t>e</w:t>
      </w:r>
      <w:r w:rsidR="00F146B1" w:rsidRPr="00E43670">
        <w:t>senterar i</w:t>
      </w:r>
      <w:r w:rsidRPr="00E43670">
        <w:t xml:space="preserve"> propositionen, dvs. forskarskolor och meriteringsanstäl</w:t>
      </w:r>
      <w:r w:rsidRPr="00E43670">
        <w:t>l</w:t>
      </w:r>
      <w:r w:rsidRPr="00E43670">
        <w:t xml:space="preserve">ningar (se </w:t>
      </w:r>
      <w:r w:rsidR="00F146B1" w:rsidRPr="00E43670">
        <w:t xml:space="preserve">berörda </w:t>
      </w:r>
      <w:r w:rsidRPr="00E43670">
        <w:t>avsnitt i det föregående). Regeringen planerar att följa upp dessa satsningar så att de får avsedd effekt i form av ökad samverkan mellan läros</w:t>
      </w:r>
      <w:r w:rsidRPr="00E43670">
        <w:t>ä</w:t>
      </w:r>
      <w:r w:rsidRPr="00E43670">
        <w:t>tena och det omgivande samhället. Regeringen avser vidare att ge ett uppdrag till lärosätena att redovisa vilka möjligheter och planer som finns för att öka mobiliteten och vilka svårigheter och utmaningar som finns i detta samma</w:t>
      </w:r>
      <w:r w:rsidRPr="00E43670">
        <w:t>n</w:t>
      </w:r>
      <w:r w:rsidRPr="00E43670">
        <w:t>hang.</w:t>
      </w:r>
    </w:p>
    <w:p w:rsidR="00303CA0" w:rsidRPr="00E43670" w:rsidRDefault="00303CA0" w:rsidP="00F146B1">
      <w:pPr>
        <w:pStyle w:val="R3"/>
      </w:pPr>
      <w:r w:rsidRPr="00E43670">
        <w:t>Motionerna</w:t>
      </w:r>
    </w:p>
    <w:p w:rsidR="00303CA0" w:rsidRPr="00E43670" w:rsidRDefault="00303CA0" w:rsidP="00F146B1">
      <w:pPr>
        <w:pStyle w:val="R4"/>
        <w:spacing w:before="125"/>
      </w:pPr>
      <w:r w:rsidRPr="00E43670">
        <w:t>Motioner med anledning av forskningspropositionen</w:t>
      </w:r>
    </w:p>
    <w:p w:rsidR="00303CA0" w:rsidRPr="00E43670" w:rsidRDefault="00F146B1" w:rsidP="00303CA0">
      <w:r w:rsidRPr="00E43670">
        <w:t xml:space="preserve">I motion </w:t>
      </w:r>
      <w:r w:rsidR="00303CA0" w:rsidRPr="00E43670">
        <w:t>2004/05:Ub11 (fp, m, kd, c)</w:t>
      </w:r>
      <w:r w:rsidRPr="00E43670">
        <w:t xml:space="preserve"> föreslås ett</w:t>
      </w:r>
      <w:r w:rsidR="00303CA0" w:rsidRPr="00E43670">
        <w:t xml:space="preserve"> tillkännag</w:t>
      </w:r>
      <w:r w:rsidR="00D97E42" w:rsidRPr="00E43670">
        <w:t>ivande</w:t>
      </w:r>
      <w:r w:rsidR="00303CA0" w:rsidRPr="00E43670">
        <w:t xml:space="preserve"> om beh</w:t>
      </w:r>
      <w:r w:rsidR="00303CA0" w:rsidRPr="00E43670">
        <w:t>o</w:t>
      </w:r>
      <w:r w:rsidR="00303CA0" w:rsidRPr="00E43670">
        <w:t>vet att stimulera kommersialiseringen av forskningsresultat.</w:t>
      </w:r>
      <w:r w:rsidR="00D97E42" w:rsidRPr="00E43670">
        <w:t xml:space="preserve"> </w:t>
      </w:r>
      <w:r w:rsidR="00303CA0" w:rsidRPr="00E43670">
        <w:t>Regeringen</w:t>
      </w:r>
      <w:r w:rsidR="00D97E42" w:rsidRPr="00E43670">
        <w:t>s</w:t>
      </w:r>
      <w:r w:rsidR="00303CA0" w:rsidRPr="00E43670">
        <w:t xml:space="preserve"> försl</w:t>
      </w:r>
      <w:r w:rsidR="00D97E42" w:rsidRPr="00E43670">
        <w:t>ag om</w:t>
      </w:r>
      <w:r w:rsidR="00303CA0" w:rsidRPr="00E43670">
        <w:t xml:space="preserve"> en ökning av </w:t>
      </w:r>
      <w:r w:rsidR="00D97E42" w:rsidRPr="00E43670">
        <w:t xml:space="preserve">Vinnovas </w:t>
      </w:r>
      <w:r w:rsidR="00303CA0" w:rsidRPr="00E43670">
        <w:t>anslag till forskning i små och medelst</w:t>
      </w:r>
      <w:r w:rsidR="00303CA0" w:rsidRPr="00E43670">
        <w:t>o</w:t>
      </w:r>
      <w:r w:rsidR="00303CA0" w:rsidRPr="00E43670">
        <w:t>ra företag och till FoU-program i samverkan med näringslivet med samma</w:t>
      </w:r>
      <w:r w:rsidR="00303CA0" w:rsidRPr="00E43670">
        <w:t>n</w:t>
      </w:r>
      <w:r w:rsidR="00303CA0" w:rsidRPr="00E43670">
        <w:t>lagt 130 miljo</w:t>
      </w:r>
      <w:r w:rsidR="00D97E42" w:rsidRPr="00E43670">
        <w:t>ner under fyraårsperioden</w:t>
      </w:r>
      <w:r w:rsidR="00303CA0" w:rsidRPr="00E43670">
        <w:t xml:space="preserve"> stöd</w:t>
      </w:r>
      <w:r w:rsidR="00D97E42" w:rsidRPr="00E43670">
        <w:t>s av motionärerna</w:t>
      </w:r>
      <w:r w:rsidR="00303CA0" w:rsidRPr="00E43670">
        <w:t>. De</w:t>
      </w:r>
      <w:r w:rsidR="00D97E42" w:rsidRPr="00E43670">
        <w:t xml:space="preserve"> anser dock att de</w:t>
      </w:r>
      <w:r w:rsidR="00303CA0" w:rsidRPr="00E43670">
        <w:t xml:space="preserve">tta </w:t>
      </w:r>
      <w:r w:rsidR="00D97E42" w:rsidRPr="00E43670">
        <w:t xml:space="preserve">inte </w:t>
      </w:r>
      <w:r w:rsidR="00303CA0" w:rsidRPr="00E43670">
        <w:t>räcker. För att stärka forskningens roll för företag och til</w:t>
      </w:r>
      <w:r w:rsidR="00303CA0" w:rsidRPr="00E43670">
        <w:t>l</w:t>
      </w:r>
      <w:r w:rsidR="00303CA0" w:rsidRPr="00E43670">
        <w:t>växt krävs en ökad kommersialisering av forskningsresulta</w:t>
      </w:r>
      <w:r w:rsidR="00D97E42" w:rsidRPr="00E43670">
        <w:t>ten och f</w:t>
      </w:r>
      <w:r w:rsidR="00303CA0" w:rsidRPr="00E43670">
        <w:t>ör att stim</w:t>
      </w:r>
      <w:r w:rsidR="00303CA0" w:rsidRPr="00E43670">
        <w:t>u</w:t>
      </w:r>
      <w:r w:rsidR="00303CA0" w:rsidRPr="00E43670">
        <w:t>lera detta behöver staten gynna de högskolor och universitet som erbj</w:t>
      </w:r>
      <w:r w:rsidR="00303CA0" w:rsidRPr="00E43670">
        <w:t>u</w:t>
      </w:r>
      <w:r w:rsidR="00303CA0" w:rsidRPr="00E43670">
        <w:t>der sina forskare belöningar för sådan kommersialisering</w:t>
      </w:r>
      <w:r w:rsidR="00D97E42" w:rsidRPr="00E43670">
        <w:t>, anför motionärerna</w:t>
      </w:r>
      <w:r w:rsidR="00303CA0" w:rsidRPr="00E43670">
        <w:t xml:space="preserve">. </w:t>
      </w:r>
      <w:r w:rsidR="00D97E42" w:rsidRPr="00E43670">
        <w:t xml:space="preserve">De föreslår att det skall </w:t>
      </w:r>
      <w:r w:rsidR="00303CA0" w:rsidRPr="00E43670">
        <w:t>införa</w:t>
      </w:r>
      <w:r w:rsidR="00D97E42" w:rsidRPr="00E43670">
        <w:t>s</w:t>
      </w:r>
      <w:r w:rsidR="00303CA0" w:rsidRPr="00E43670">
        <w:t xml:space="preserve"> ett belöningssystem genom s.k. vinstdelningspaket, i vilka for</w:t>
      </w:r>
      <w:r w:rsidR="00303CA0" w:rsidRPr="00E43670">
        <w:t>s</w:t>
      </w:r>
      <w:r w:rsidR="00303CA0" w:rsidRPr="00E43670">
        <w:t>karen erbjuds royalty, delägarskap eller optioner i ett eller flera företag. Un</w:t>
      </w:r>
      <w:r w:rsidR="00303CA0" w:rsidRPr="00E43670">
        <w:t>i</w:t>
      </w:r>
      <w:r w:rsidR="00303CA0" w:rsidRPr="00E43670">
        <w:t>versitet och högskolor som knoppar av framgångsrika företag bör vidare få högre anslag till sin forskningsver</w:t>
      </w:r>
      <w:r w:rsidR="00303CA0" w:rsidRPr="00E43670">
        <w:t>k</w:t>
      </w:r>
      <w:r w:rsidR="00303CA0" w:rsidRPr="00E43670">
        <w:t>samhet och högskolorna bör även få en s.k. vinstandel</w:t>
      </w:r>
      <w:r w:rsidR="00C311FC" w:rsidRPr="00E43670">
        <w:t>, anser motionärerna</w:t>
      </w:r>
      <w:r w:rsidR="00303CA0" w:rsidRPr="00E43670">
        <w:t>.</w:t>
      </w:r>
    </w:p>
    <w:p w:rsidR="00303CA0" w:rsidRPr="00E43670" w:rsidRDefault="00C311FC" w:rsidP="00C311FC">
      <w:pPr>
        <w:pStyle w:val="Normaltindrag"/>
      </w:pPr>
      <w:r w:rsidRPr="00E43670">
        <w:t>Vinnova bör ges i uppdrag att utreda hur små företag skall kunna delta a</w:t>
      </w:r>
      <w:r w:rsidRPr="00E43670">
        <w:t>k</w:t>
      </w:r>
      <w:r w:rsidRPr="00E43670">
        <w:t>tivt i långsiktiga</w:t>
      </w:r>
      <w:r w:rsidR="00AF1961" w:rsidRPr="00E43670">
        <w:t>,</w:t>
      </w:r>
      <w:r w:rsidRPr="00E43670">
        <w:t xml:space="preserve"> strategiska satsningar, som t.ex. kompetenscen</w:t>
      </w:r>
      <w:r w:rsidRPr="00E43670">
        <w:t>t</w:t>
      </w:r>
      <w:r w:rsidRPr="00E43670">
        <w:t xml:space="preserve">rum, anförs det i motion </w:t>
      </w:r>
      <w:r w:rsidR="00303CA0" w:rsidRPr="00E43670">
        <w:t xml:space="preserve">2004/05:Ub8 </w:t>
      </w:r>
      <w:r w:rsidR="00530497" w:rsidRPr="00E43670">
        <w:t>(</w:t>
      </w:r>
      <w:r w:rsidR="00303CA0" w:rsidRPr="00E43670">
        <w:t>fp)</w:t>
      </w:r>
      <w:r w:rsidRPr="00E43670">
        <w:t xml:space="preserve">. </w:t>
      </w:r>
      <w:r w:rsidR="00303CA0" w:rsidRPr="00E43670">
        <w:t>Ett högteknologiskt land som Sverige är ber</w:t>
      </w:r>
      <w:r w:rsidR="00303CA0" w:rsidRPr="00E43670">
        <w:t>o</w:t>
      </w:r>
      <w:r w:rsidR="00303CA0" w:rsidRPr="00E43670">
        <w:t>ende av att forskning och utveckling genererar tillväxt och nya företag</w:t>
      </w:r>
      <w:r w:rsidRPr="00E43670">
        <w:t>, fra</w:t>
      </w:r>
      <w:r w:rsidRPr="00E43670">
        <w:t>m</w:t>
      </w:r>
      <w:r w:rsidRPr="00E43670">
        <w:t>håller motionären</w:t>
      </w:r>
      <w:r w:rsidR="00303CA0" w:rsidRPr="00E43670">
        <w:t>. Många svenska idéer exporteras och kommersialiseras i stället utom</w:t>
      </w:r>
      <w:r w:rsidRPr="00E43670">
        <w:t>lands – av o</w:t>
      </w:r>
      <w:r w:rsidR="00303CA0" w:rsidRPr="00E43670">
        <w:t xml:space="preserve">rsaker </w:t>
      </w:r>
      <w:r w:rsidRPr="00E43670">
        <w:t xml:space="preserve">som </w:t>
      </w:r>
      <w:r w:rsidR="00303CA0" w:rsidRPr="00E43670">
        <w:t xml:space="preserve">i stor utsträckning </w:t>
      </w:r>
      <w:r w:rsidRPr="00E43670">
        <w:t xml:space="preserve">ligger </w:t>
      </w:r>
      <w:r w:rsidR="00303CA0" w:rsidRPr="00E43670">
        <w:t>utanför forska</w:t>
      </w:r>
      <w:r w:rsidR="00303CA0" w:rsidRPr="00E43670">
        <w:t>r</w:t>
      </w:r>
      <w:r w:rsidR="00303CA0" w:rsidRPr="00E43670">
        <w:t>världen</w:t>
      </w:r>
      <w:r w:rsidRPr="00E43670">
        <w:t xml:space="preserve">, säger motionären. Hon anser att </w:t>
      </w:r>
      <w:r w:rsidR="00303CA0" w:rsidRPr="00E43670">
        <w:t>huvudproblemen är brist på riskkap</w:t>
      </w:r>
      <w:r w:rsidR="00303CA0" w:rsidRPr="00E43670">
        <w:t>i</w:t>
      </w:r>
      <w:r w:rsidR="00303CA0" w:rsidRPr="00E43670">
        <w:t>tal, synen på företagande och dåliga förhållanden för småföretag. Det finns för närvarande en mycket splittrad struktur för hur staten stöder kommersial</w:t>
      </w:r>
      <w:r w:rsidR="00303CA0" w:rsidRPr="00E43670">
        <w:t>i</w:t>
      </w:r>
      <w:r w:rsidR="00303CA0" w:rsidRPr="00E43670">
        <w:t>sering av nya idéer via riskkapital och såddkapital</w:t>
      </w:r>
      <w:r w:rsidRPr="00E43670">
        <w:t>, påstår motionären</w:t>
      </w:r>
      <w:r w:rsidR="00303CA0" w:rsidRPr="00E43670">
        <w:t xml:space="preserve">. </w:t>
      </w:r>
      <w:r w:rsidRPr="00E43670">
        <w:t>Hon föreslår att r</w:t>
      </w:r>
      <w:r w:rsidR="00303CA0" w:rsidRPr="00E43670">
        <w:t xml:space="preserve">egeringen </w:t>
      </w:r>
      <w:r w:rsidRPr="00E43670">
        <w:t>skall lämna förslag</w:t>
      </w:r>
      <w:r w:rsidR="00303CA0" w:rsidRPr="00E43670">
        <w:t xml:space="preserve"> till riksdagen om </w:t>
      </w:r>
      <w:r w:rsidRPr="00E43670">
        <w:t>utformningen av</w:t>
      </w:r>
      <w:r w:rsidR="00303CA0" w:rsidRPr="00E43670">
        <w:t xml:space="preserve"> de statligt finansierade kommersialiseringsstö</w:t>
      </w:r>
      <w:r w:rsidRPr="00E43670">
        <w:t>den</w:t>
      </w:r>
      <w:r w:rsidR="00303CA0" w:rsidRPr="00E43670">
        <w:t>, vilka akt</w:t>
      </w:r>
      <w:r w:rsidR="00303CA0" w:rsidRPr="00E43670">
        <w:t>ö</w:t>
      </w:r>
      <w:r w:rsidR="00303CA0" w:rsidRPr="00E43670">
        <w:t>rer som skall delta och vilken roll respektive aktör skall ha. Riksdagen bör vidare tydligg</w:t>
      </w:r>
      <w:r w:rsidR="00303CA0" w:rsidRPr="00E43670">
        <w:t>ö</w:t>
      </w:r>
      <w:r w:rsidR="00303CA0" w:rsidRPr="00E43670">
        <w:t>ra att Vi</w:t>
      </w:r>
      <w:r w:rsidR="00303CA0" w:rsidRPr="00E43670">
        <w:t>n</w:t>
      </w:r>
      <w:r w:rsidR="00303CA0" w:rsidRPr="00E43670">
        <w:t xml:space="preserve">novas roll </w:t>
      </w:r>
      <w:r w:rsidRPr="00E43670">
        <w:t>skall vara</w:t>
      </w:r>
      <w:r w:rsidR="00303CA0" w:rsidRPr="00E43670">
        <w:t xml:space="preserve"> att stödja samverkan mellan företag, akademi och institut, t.ex. via kompetenscentrum</w:t>
      </w:r>
      <w:r w:rsidRPr="00E43670">
        <w:t>, anför motionären</w:t>
      </w:r>
      <w:r w:rsidR="00303CA0" w:rsidRPr="00E43670">
        <w:t xml:space="preserve">. </w:t>
      </w:r>
      <w:r w:rsidR="0059673C" w:rsidRPr="00E43670">
        <w:t>Hon påpekar att d</w:t>
      </w:r>
      <w:r w:rsidR="00303CA0" w:rsidRPr="00E43670">
        <w:t xml:space="preserve">et </w:t>
      </w:r>
      <w:r w:rsidR="0059673C" w:rsidRPr="00E43670">
        <w:t xml:space="preserve">dock </w:t>
      </w:r>
      <w:r w:rsidR="00303CA0" w:rsidRPr="00E43670">
        <w:t>finns svårigheter för små företag att åta sig ett så långvarigt a</w:t>
      </w:r>
      <w:r w:rsidR="00303CA0" w:rsidRPr="00E43670">
        <w:t>n</w:t>
      </w:r>
      <w:r w:rsidR="00303CA0" w:rsidRPr="00E43670">
        <w:t>svar som denna typ av projekt inn</w:t>
      </w:r>
      <w:r w:rsidR="00303CA0" w:rsidRPr="00E43670">
        <w:t>e</w:t>
      </w:r>
      <w:r w:rsidR="00303CA0" w:rsidRPr="00E43670">
        <w:t xml:space="preserve">bär. Vinnova bör </w:t>
      </w:r>
      <w:r w:rsidR="0059673C" w:rsidRPr="00E43670">
        <w:t>därför ges</w:t>
      </w:r>
      <w:r w:rsidR="00303CA0" w:rsidRPr="00E43670">
        <w:t xml:space="preserve"> i uppdrag att utreda hur dessa problem skall kunna undvi</w:t>
      </w:r>
      <w:r w:rsidR="0059673C" w:rsidRPr="00E43670">
        <w:t>kas, varvid e</w:t>
      </w:r>
      <w:r w:rsidR="00303CA0" w:rsidRPr="00E43670">
        <w:t xml:space="preserve">tt förslag </w:t>
      </w:r>
      <w:r w:rsidR="0059673C" w:rsidRPr="00E43670">
        <w:t xml:space="preserve">kan vara </w:t>
      </w:r>
      <w:r w:rsidR="00303CA0" w:rsidRPr="00E43670">
        <w:t>att låt</w:t>
      </w:r>
      <w:r w:rsidR="00D340DC" w:rsidRPr="00E43670">
        <w:t>a inkubatorer, forskningsparker</w:t>
      </w:r>
      <w:r w:rsidR="00303CA0" w:rsidRPr="00E43670">
        <w:t xml:space="preserve"> m.m. ingå och låta småf</w:t>
      </w:r>
      <w:r w:rsidR="00303CA0" w:rsidRPr="00E43670">
        <w:t>ö</w:t>
      </w:r>
      <w:r w:rsidR="00303CA0" w:rsidRPr="00E43670">
        <w:t>retagen delta indirekt via dessa.</w:t>
      </w:r>
    </w:p>
    <w:p w:rsidR="00303CA0" w:rsidRPr="00E43670" w:rsidRDefault="00303CA0" w:rsidP="0059673C">
      <w:pPr>
        <w:pStyle w:val="R4"/>
      </w:pPr>
      <w:r w:rsidRPr="00E43670">
        <w:t>Motioner från allmänna motionstiden</w:t>
      </w:r>
    </w:p>
    <w:p w:rsidR="00303CA0" w:rsidRPr="00E43670" w:rsidRDefault="0059673C" w:rsidP="00303CA0">
      <w:r w:rsidRPr="00E43670">
        <w:t xml:space="preserve">I motion </w:t>
      </w:r>
      <w:r w:rsidR="00303CA0" w:rsidRPr="00E43670">
        <w:t>2004/05:N413 (fp)</w:t>
      </w:r>
      <w:r w:rsidRPr="00E43670">
        <w:t xml:space="preserve"> föreslås ett</w:t>
      </w:r>
      <w:r w:rsidR="00303CA0" w:rsidRPr="00E43670">
        <w:t xml:space="preserve"> tillkännag</w:t>
      </w:r>
      <w:r w:rsidRPr="00E43670">
        <w:t>ivande</w:t>
      </w:r>
      <w:r w:rsidR="00303CA0" w:rsidRPr="00E43670">
        <w:t xml:space="preserve"> om en offensiv forskningspolitik för fler företag.</w:t>
      </w:r>
      <w:r w:rsidRPr="00E43670">
        <w:t xml:space="preserve"> </w:t>
      </w:r>
      <w:r w:rsidR="00303CA0" w:rsidRPr="00E43670">
        <w:t>Kunskapens roll som motor i den ekon</w:t>
      </w:r>
      <w:r w:rsidR="00303CA0" w:rsidRPr="00E43670">
        <w:t>o</w:t>
      </w:r>
      <w:r w:rsidR="00303CA0" w:rsidRPr="00E43670">
        <w:t>miska utvecklingen blir allt större</w:t>
      </w:r>
      <w:r w:rsidRPr="00E43670">
        <w:t xml:space="preserve"> – d</w:t>
      </w:r>
      <w:r w:rsidR="00303CA0" w:rsidRPr="00E43670">
        <w:t>et är nya idéer, kreativt entreprenör</w:t>
      </w:r>
      <w:r w:rsidR="00303CA0" w:rsidRPr="00E43670">
        <w:t>s</w:t>
      </w:r>
      <w:r w:rsidR="00303CA0" w:rsidRPr="00E43670">
        <w:t>kap och innovationer som skapar föru</w:t>
      </w:r>
      <w:r w:rsidR="00303CA0" w:rsidRPr="00E43670">
        <w:t>t</w:t>
      </w:r>
      <w:r w:rsidR="00303CA0" w:rsidRPr="00E43670">
        <w:t>sättningar för tillväxt och välstånd</w:t>
      </w:r>
      <w:r w:rsidRPr="00E43670">
        <w:t>, säger motionärerna</w:t>
      </w:r>
      <w:r w:rsidR="00303CA0" w:rsidRPr="00E43670">
        <w:t xml:space="preserve">. </w:t>
      </w:r>
      <w:r w:rsidRPr="00E43670">
        <w:t>De framhåller att e</w:t>
      </w:r>
      <w:r w:rsidR="00303CA0" w:rsidRPr="00E43670">
        <w:t>n kvalitativt högtståe</w:t>
      </w:r>
      <w:r w:rsidRPr="00E43670">
        <w:t>nde forskning</w:t>
      </w:r>
      <w:r w:rsidR="00270675" w:rsidRPr="00E43670">
        <w:t xml:space="preserve"> därvid </w:t>
      </w:r>
      <w:r w:rsidRPr="00E43670">
        <w:t xml:space="preserve">är </w:t>
      </w:r>
      <w:r w:rsidR="00303CA0" w:rsidRPr="00E43670">
        <w:t>central. Det gäller, på längre sikt, den fria grundforsk</w:t>
      </w:r>
      <w:r w:rsidRPr="00E43670">
        <w:t>ning som bedrivs vid</w:t>
      </w:r>
      <w:r w:rsidR="00303CA0" w:rsidRPr="00E43670">
        <w:t xml:space="preserve"> un</w:t>
      </w:r>
      <w:r w:rsidR="00303CA0" w:rsidRPr="00E43670">
        <w:t>i</w:t>
      </w:r>
      <w:r w:rsidR="00303CA0" w:rsidRPr="00E43670">
        <w:t>versitet och högskolor</w:t>
      </w:r>
      <w:r w:rsidRPr="00E43670">
        <w:t>. P</w:t>
      </w:r>
      <w:r w:rsidR="00303CA0" w:rsidRPr="00E43670">
        <w:t xml:space="preserve">å kort sikt </w:t>
      </w:r>
      <w:r w:rsidRPr="00E43670">
        <w:t xml:space="preserve">är </w:t>
      </w:r>
      <w:r w:rsidR="00303CA0" w:rsidRPr="00E43670">
        <w:t>den tillämpade, behovsstyrda och mer industrinära forskning som ofta bedrivs utanför universitetssfären av avg</w:t>
      </w:r>
      <w:r w:rsidR="00303CA0" w:rsidRPr="00E43670">
        <w:t>ö</w:t>
      </w:r>
      <w:r w:rsidR="00303CA0" w:rsidRPr="00E43670">
        <w:t>rande betydelse för att skapa ett dynamiskt näringslivsklimat</w:t>
      </w:r>
      <w:r w:rsidRPr="00E43670">
        <w:t>, anför motion</w:t>
      </w:r>
      <w:r w:rsidRPr="00E43670">
        <w:t>ä</w:t>
      </w:r>
      <w:r w:rsidRPr="00E43670">
        <w:t>rerna</w:t>
      </w:r>
      <w:r w:rsidR="00303CA0" w:rsidRPr="00E43670">
        <w:t xml:space="preserve">. </w:t>
      </w:r>
      <w:r w:rsidRPr="00E43670">
        <w:t>De menar att i</w:t>
      </w:r>
      <w:r w:rsidR="00303CA0" w:rsidRPr="00E43670">
        <w:t xml:space="preserve">nstitutens verksamhet bör understödjas och </w:t>
      </w:r>
      <w:r w:rsidRPr="00E43670">
        <w:t xml:space="preserve">att </w:t>
      </w:r>
      <w:r w:rsidR="00303CA0" w:rsidRPr="00E43670">
        <w:t>formerna för samverkan med företag, organisationer och offentliga myndi</w:t>
      </w:r>
      <w:r w:rsidR="00303CA0" w:rsidRPr="00E43670">
        <w:t>g</w:t>
      </w:r>
      <w:r w:rsidR="00303CA0" w:rsidRPr="00E43670">
        <w:t xml:space="preserve">heter </w:t>
      </w:r>
      <w:r w:rsidRPr="00E43670">
        <w:t xml:space="preserve">bör </w:t>
      </w:r>
      <w:r w:rsidR="00303CA0" w:rsidRPr="00E43670">
        <w:t>utvecklas. Kontakterna mellan forskningsinstituten och de instit</w:t>
      </w:r>
      <w:r w:rsidR="00303CA0" w:rsidRPr="00E43670">
        <w:t>u</w:t>
      </w:r>
      <w:r w:rsidR="00303CA0" w:rsidRPr="00E43670">
        <w:t>tioner där forskningsresultaten skall omsättas i praktiken måste förbättras och mötesplatser där for</w:t>
      </w:r>
      <w:r w:rsidR="00303CA0" w:rsidRPr="00E43670">
        <w:t>s</w:t>
      </w:r>
      <w:r w:rsidR="00303CA0" w:rsidRPr="00E43670">
        <w:t>kare, entreprenörer och beslutsfattare kan mötas måste skapas</w:t>
      </w:r>
      <w:r w:rsidRPr="00E43670">
        <w:t>, föreslår motionärerna</w:t>
      </w:r>
      <w:r w:rsidR="00303CA0" w:rsidRPr="00E43670">
        <w:t xml:space="preserve">. </w:t>
      </w:r>
      <w:r w:rsidRPr="00E43670">
        <w:t>De framför likartade synpunkter som i nys</w:t>
      </w:r>
      <w:r w:rsidRPr="00E43670">
        <w:t>s</w:t>
      </w:r>
      <w:r w:rsidRPr="00E43670">
        <w:t xml:space="preserve">nämnda motion 2004/05:Ub11 (fp, m, kd, c) om att staten </w:t>
      </w:r>
      <w:r w:rsidR="009601FC" w:rsidRPr="00E43670">
        <w:t>– f</w:t>
      </w:r>
      <w:r w:rsidR="00303CA0" w:rsidRPr="00E43670">
        <w:t>ör att stimulera kommersialis</w:t>
      </w:r>
      <w:r w:rsidR="00303CA0" w:rsidRPr="00E43670">
        <w:t>e</w:t>
      </w:r>
      <w:r w:rsidR="00303CA0" w:rsidRPr="00E43670">
        <w:t xml:space="preserve">ringen </w:t>
      </w:r>
      <w:r w:rsidR="009601FC" w:rsidRPr="00E43670">
        <w:t xml:space="preserve">– </w:t>
      </w:r>
      <w:r w:rsidR="00303CA0" w:rsidRPr="00E43670">
        <w:t xml:space="preserve">bör gynna de högskolor och universitet som erbjuder sina forskare belöningar. </w:t>
      </w:r>
      <w:r w:rsidR="009601FC" w:rsidRPr="00E43670">
        <w:t>Motionärerna förordar också</w:t>
      </w:r>
      <w:r w:rsidR="00303CA0" w:rsidRPr="00E43670">
        <w:t xml:space="preserve"> ett belöning</w:t>
      </w:r>
      <w:r w:rsidR="00303CA0" w:rsidRPr="00E43670">
        <w:t>s</w:t>
      </w:r>
      <w:r w:rsidR="00303CA0" w:rsidRPr="00E43670">
        <w:t>system genom s.k. vinstdelningspaket, i vilka forskaren erbjuds royalty, delägarskap eller optioner i ett eller flera företag. På motsvarande sätt som anslagen till grundutbildningen bör styras av hur många studenter som lärosät</w:t>
      </w:r>
      <w:r w:rsidR="00303CA0" w:rsidRPr="00E43670">
        <w:t>e</w:t>
      </w:r>
      <w:r w:rsidR="00303CA0" w:rsidRPr="00E43670">
        <w:t>na lockar till sig, bör också de universitet som knoppar av flest framgång</w:t>
      </w:r>
      <w:r w:rsidR="00303CA0" w:rsidRPr="00E43670">
        <w:t>s</w:t>
      </w:r>
      <w:r w:rsidR="00303CA0" w:rsidRPr="00E43670">
        <w:t>rika företag kunna få högre anslag till sin forskningsverksamhet</w:t>
      </w:r>
      <w:r w:rsidR="009601FC" w:rsidRPr="00E43670">
        <w:t>, sägs det avslu</w:t>
      </w:r>
      <w:r w:rsidR="009601FC" w:rsidRPr="00E43670">
        <w:t>t</w:t>
      </w:r>
      <w:r w:rsidR="009601FC" w:rsidRPr="00E43670">
        <w:t>ningsvis</w:t>
      </w:r>
      <w:r w:rsidR="00303CA0" w:rsidRPr="00E43670">
        <w:t>.</w:t>
      </w:r>
    </w:p>
    <w:p w:rsidR="00303CA0" w:rsidRPr="00E43670" w:rsidRDefault="00303CA0" w:rsidP="009601FC">
      <w:pPr>
        <w:pStyle w:val="Normaltindrag"/>
      </w:pPr>
      <w:r w:rsidRPr="00E43670">
        <w:t>Resurserna till forskningen behöver öka ordentligt de närmaste åren</w:t>
      </w:r>
      <w:r w:rsidR="009601FC" w:rsidRPr="00E43670">
        <w:t>, a</w:t>
      </w:r>
      <w:r w:rsidR="009601FC" w:rsidRPr="00E43670">
        <w:t>n</w:t>
      </w:r>
      <w:r w:rsidR="009601FC" w:rsidRPr="00E43670">
        <w:t>förs det i motion 2004/05:N241 (fp)</w:t>
      </w:r>
      <w:r w:rsidRPr="00E43670">
        <w:t xml:space="preserve">. </w:t>
      </w:r>
      <w:r w:rsidR="009601FC" w:rsidRPr="00E43670">
        <w:t>I</w:t>
      </w:r>
      <w:r w:rsidRPr="00E43670">
        <w:t>nnovationer och nyföretagande i sa</w:t>
      </w:r>
      <w:r w:rsidRPr="00E43670">
        <w:t>m</w:t>
      </w:r>
      <w:r w:rsidRPr="00E43670">
        <w:t xml:space="preserve">verkan med högskolor och samhället </w:t>
      </w:r>
      <w:r w:rsidR="009601FC" w:rsidRPr="00E43670">
        <w:t>behöver också stimuleras, säger moti</w:t>
      </w:r>
      <w:r w:rsidR="009601FC" w:rsidRPr="00E43670">
        <w:t>o</w:t>
      </w:r>
      <w:r w:rsidR="009601FC" w:rsidRPr="00E43670">
        <w:t>n</w:t>
      </w:r>
      <w:r w:rsidR="00F175E5" w:rsidRPr="00E43670">
        <w:t>ä</w:t>
      </w:r>
      <w:r w:rsidR="009601FC" w:rsidRPr="00E43670">
        <w:t>rerna</w:t>
      </w:r>
      <w:r w:rsidRPr="00E43670">
        <w:t>. De</w:t>
      </w:r>
      <w:r w:rsidR="00F175E5" w:rsidRPr="00E43670">
        <w:t xml:space="preserve"> </w:t>
      </w:r>
      <w:r w:rsidR="00CD7064" w:rsidRPr="00E43670">
        <w:t xml:space="preserve">anser </w:t>
      </w:r>
      <w:r w:rsidR="00F175E5" w:rsidRPr="00E43670">
        <w:t>därför att det</w:t>
      </w:r>
      <w:r w:rsidRPr="00E43670">
        <w:t xml:space="preserve"> </w:t>
      </w:r>
      <w:r w:rsidR="00F175E5" w:rsidRPr="00E43670">
        <w:t xml:space="preserve">är </w:t>
      </w:r>
      <w:r w:rsidRPr="00E43670">
        <w:t>viktigt att tillgången på riskkapital i star</w:t>
      </w:r>
      <w:r w:rsidRPr="00E43670">
        <w:t>t</w:t>
      </w:r>
      <w:r w:rsidRPr="00E43670">
        <w:t>skedet för nya företag med goda idéer säkerställs. Det är också viktigt att universite</w:t>
      </w:r>
      <w:r w:rsidR="00F175E5" w:rsidRPr="00E43670">
        <w:t>t</w:t>
      </w:r>
      <w:r w:rsidRPr="00E43670">
        <w:t xml:space="preserve"> och högsko</w:t>
      </w:r>
      <w:r w:rsidR="00F175E5" w:rsidRPr="00E43670">
        <w:t>lor</w:t>
      </w:r>
      <w:r w:rsidRPr="00E43670">
        <w:t xml:space="preserve"> ges bättre förutsättningar att kunna kommersi</w:t>
      </w:r>
      <w:r w:rsidRPr="00E43670">
        <w:t>a</w:t>
      </w:r>
      <w:r w:rsidRPr="00E43670">
        <w:t>lisera sina forskningsr</w:t>
      </w:r>
      <w:r w:rsidRPr="00E43670">
        <w:t>e</w:t>
      </w:r>
      <w:r w:rsidRPr="00E43670">
        <w:t>sultat</w:t>
      </w:r>
      <w:r w:rsidR="00F175E5" w:rsidRPr="00E43670">
        <w:t>, säger motionärerna</w:t>
      </w:r>
      <w:r w:rsidRPr="00E43670">
        <w:t xml:space="preserve">. </w:t>
      </w:r>
    </w:p>
    <w:p w:rsidR="00303CA0" w:rsidRPr="00E43670" w:rsidRDefault="00F175E5" w:rsidP="00F175E5">
      <w:pPr>
        <w:pStyle w:val="Normaltindrag"/>
      </w:pPr>
      <w:r w:rsidRPr="00E43670">
        <w:t xml:space="preserve">I motion </w:t>
      </w:r>
      <w:r w:rsidR="00303CA0" w:rsidRPr="00E43670">
        <w:t>2004/05:N393 (kd)</w:t>
      </w:r>
      <w:r w:rsidRPr="00E43670">
        <w:t xml:space="preserve"> föreslås ett</w:t>
      </w:r>
      <w:r w:rsidR="00303CA0" w:rsidRPr="00E43670">
        <w:t xml:space="preserve"> tillkännag</w:t>
      </w:r>
      <w:r w:rsidRPr="00E43670">
        <w:t>ivande</w:t>
      </w:r>
      <w:r w:rsidR="00303CA0" w:rsidRPr="00E43670">
        <w:t xml:space="preserve"> om forskning, utveckling och innovationer.</w:t>
      </w:r>
      <w:r w:rsidRPr="00E43670">
        <w:t xml:space="preserve"> </w:t>
      </w:r>
      <w:r w:rsidR="00303CA0" w:rsidRPr="00E43670">
        <w:t>Det är avgörande för svenskt näringslivs konku</w:t>
      </w:r>
      <w:r w:rsidR="00303CA0" w:rsidRPr="00E43670">
        <w:t>r</w:t>
      </w:r>
      <w:r w:rsidR="00303CA0" w:rsidRPr="00E43670">
        <w:t>renskraft att tillräckliga resu</w:t>
      </w:r>
      <w:r w:rsidR="00303CA0" w:rsidRPr="00E43670">
        <w:t>r</w:t>
      </w:r>
      <w:r w:rsidR="00303CA0" w:rsidRPr="00E43670">
        <w:t>ser satsas på forskning och utveckling och det är nödvändigt att staten bistår de små företagen för att de skall kunna ta del i FoU-arbetet</w:t>
      </w:r>
      <w:r w:rsidR="00CD7064" w:rsidRPr="00E43670">
        <w:t>, anför motionärerna</w:t>
      </w:r>
      <w:r w:rsidR="00303CA0" w:rsidRPr="00E43670">
        <w:t>. De</w:t>
      </w:r>
      <w:r w:rsidR="00CD7064" w:rsidRPr="00E43670">
        <w:t xml:space="preserve"> anser att de</w:t>
      </w:r>
      <w:r w:rsidR="00303CA0" w:rsidRPr="00E43670">
        <w:t>t mest naturliga är att skatt</w:t>
      </w:r>
      <w:r w:rsidR="00303CA0" w:rsidRPr="00E43670">
        <w:t>e</w:t>
      </w:r>
      <w:r w:rsidR="00303CA0" w:rsidRPr="00E43670">
        <w:t>regler och lagstiftning utformas så att de små företagens forsknings- och produktionsu</w:t>
      </w:r>
      <w:r w:rsidR="00303CA0" w:rsidRPr="00E43670">
        <w:t>t</w:t>
      </w:r>
      <w:r w:rsidR="00303CA0" w:rsidRPr="00E43670">
        <w:t>veckling underlättas, i kombination med att de får möjligheter att söka särskilda fors</w:t>
      </w:r>
      <w:r w:rsidR="00303CA0" w:rsidRPr="00E43670">
        <w:t>k</w:t>
      </w:r>
      <w:r w:rsidR="00303CA0" w:rsidRPr="00E43670">
        <w:t>ningsbidrag. Innovationer tas inte tillräckligt väl om hand</w:t>
      </w:r>
      <w:r w:rsidR="00CD7064" w:rsidRPr="00E43670">
        <w:t>, menar motionärerna och hänvisar till att i</w:t>
      </w:r>
      <w:r w:rsidR="00303CA0" w:rsidRPr="00E43670">
        <w:t xml:space="preserve"> flera konkurrentländer st</w:t>
      </w:r>
      <w:r w:rsidR="00303CA0" w:rsidRPr="00E43670">
        <w:t>ö</w:t>
      </w:r>
      <w:r w:rsidR="00303CA0" w:rsidRPr="00E43670">
        <w:t>der staten aktivt utvecklingen av nya idéer. Möjligheter för anställda att u</w:t>
      </w:r>
      <w:r w:rsidR="00303CA0" w:rsidRPr="00E43670">
        <w:t>t</w:t>
      </w:r>
      <w:r w:rsidR="00303CA0" w:rsidRPr="00E43670">
        <w:t>veckla egna idéer på a</w:t>
      </w:r>
      <w:r w:rsidR="00303CA0" w:rsidRPr="00E43670">
        <w:t>r</w:t>
      </w:r>
      <w:r w:rsidR="00303CA0" w:rsidRPr="00E43670">
        <w:t>betsplatsen med rätt till eget patent bör utredas, varvid avtal om delad vinst skulle kunna vara en form för samverkan</w:t>
      </w:r>
      <w:r w:rsidR="00CD7064" w:rsidRPr="00E43670">
        <w:t>, säger motionärerna</w:t>
      </w:r>
      <w:r w:rsidR="00303CA0" w:rsidRPr="00E43670">
        <w:t xml:space="preserve">. </w:t>
      </w:r>
      <w:r w:rsidR="00270675" w:rsidRPr="00E43670">
        <w:t>F</w:t>
      </w:r>
      <w:r w:rsidR="00303CA0" w:rsidRPr="00E43670">
        <w:t xml:space="preserve">örutom ett allmänt gott investerings- och företagsklimat </w:t>
      </w:r>
      <w:r w:rsidR="00270675" w:rsidRPr="00E43670">
        <w:t xml:space="preserve">anser de att </w:t>
      </w:r>
      <w:r w:rsidR="00303CA0" w:rsidRPr="00E43670">
        <w:t>ytterl</w:t>
      </w:r>
      <w:r w:rsidR="00303CA0" w:rsidRPr="00E43670">
        <w:t>i</w:t>
      </w:r>
      <w:r w:rsidR="00303CA0" w:rsidRPr="00E43670">
        <w:t xml:space="preserve">gare åtgärder </w:t>
      </w:r>
      <w:r w:rsidR="00CD7064" w:rsidRPr="00E43670">
        <w:t xml:space="preserve">måste </w:t>
      </w:r>
      <w:r w:rsidR="00303CA0" w:rsidRPr="00E43670">
        <w:t xml:space="preserve">vidtas </w:t>
      </w:r>
      <w:r w:rsidR="00CD7064" w:rsidRPr="00E43670">
        <w:t xml:space="preserve">för att </w:t>
      </w:r>
      <w:r w:rsidR="00303CA0" w:rsidRPr="00E43670">
        <w:t>främja kommersialisering av innov</w:t>
      </w:r>
      <w:r w:rsidR="00303CA0" w:rsidRPr="00E43670">
        <w:t>a</w:t>
      </w:r>
      <w:r w:rsidR="00303CA0" w:rsidRPr="00E43670">
        <w:t xml:space="preserve">tioner. </w:t>
      </w:r>
      <w:r w:rsidR="00CD7064" w:rsidRPr="00E43670">
        <w:t xml:space="preserve">Det krävs en analys av varför antalet registrerade </w:t>
      </w:r>
      <w:r w:rsidR="00303CA0" w:rsidRPr="00E43670">
        <w:t>patent minskar</w:t>
      </w:r>
      <w:r w:rsidR="00CD7064" w:rsidRPr="00E43670">
        <w:t>, anför m</w:t>
      </w:r>
      <w:r w:rsidR="00CD7064" w:rsidRPr="00E43670">
        <w:t>o</w:t>
      </w:r>
      <w:r w:rsidR="00CD7064" w:rsidRPr="00E43670">
        <w:t>tion</w:t>
      </w:r>
      <w:r w:rsidR="00CD7064" w:rsidRPr="00E43670">
        <w:t>ä</w:t>
      </w:r>
      <w:r w:rsidR="00CD7064" w:rsidRPr="00E43670">
        <w:t>rerna</w:t>
      </w:r>
      <w:r w:rsidR="00303CA0" w:rsidRPr="00E43670">
        <w:t xml:space="preserve">. </w:t>
      </w:r>
      <w:r w:rsidR="00CD7064" w:rsidRPr="00E43670">
        <w:t>De föreslår att det skall sättas upp ett m</w:t>
      </w:r>
      <w:r w:rsidR="00303CA0" w:rsidRPr="00E43670">
        <w:t>ål</w:t>
      </w:r>
      <w:r w:rsidR="00CD7064" w:rsidRPr="00E43670">
        <w:t>, med innebörd</w:t>
      </w:r>
      <w:r w:rsidR="00303CA0" w:rsidRPr="00E43670">
        <w:t xml:space="preserve"> att antalet registrer</w:t>
      </w:r>
      <w:r w:rsidR="00303CA0" w:rsidRPr="00E43670">
        <w:t>a</w:t>
      </w:r>
      <w:r w:rsidR="00303CA0" w:rsidRPr="00E43670">
        <w:t>de patent skall öka med 10 % per år under mandatperioden. Royalty på pate</w:t>
      </w:r>
      <w:r w:rsidR="00303CA0" w:rsidRPr="00E43670">
        <w:t>n</w:t>
      </w:r>
      <w:r w:rsidR="00303CA0" w:rsidRPr="00E43670">
        <w:t>terade uppfinningar bör vara skattefri i två år</w:t>
      </w:r>
      <w:r w:rsidR="00CD7064" w:rsidRPr="00E43670">
        <w:t>, föreslås det vidare</w:t>
      </w:r>
      <w:r w:rsidR="00303CA0" w:rsidRPr="00E43670">
        <w:t>. Satsningen på innovativ teknikupphandling till små företag och up</w:t>
      </w:r>
      <w:r w:rsidR="00303CA0" w:rsidRPr="00E43670">
        <w:t>p</w:t>
      </w:r>
      <w:r w:rsidR="00303CA0" w:rsidRPr="00E43670">
        <w:t>finnare bör utökas</w:t>
      </w:r>
      <w:r w:rsidR="00CD7064" w:rsidRPr="00E43670">
        <w:t xml:space="preserve">, anser motionärerna och hänvisar till framgångar med sådan riktad upphandling </w:t>
      </w:r>
      <w:r w:rsidR="00303CA0" w:rsidRPr="00E43670">
        <w:t>från Förenta staterna, Storbritannien och Nederlän</w:t>
      </w:r>
      <w:r w:rsidR="00AF1961" w:rsidRPr="00E43670">
        <w:t>derna</w:t>
      </w:r>
      <w:r w:rsidR="00303CA0" w:rsidRPr="00E43670">
        <w:t>. I Före</w:t>
      </w:r>
      <w:r w:rsidR="00303CA0" w:rsidRPr="00E43670">
        <w:t>n</w:t>
      </w:r>
      <w:r w:rsidR="00303CA0" w:rsidRPr="00E43670">
        <w:t>ta staterna kanal</w:t>
      </w:r>
      <w:r w:rsidR="00303CA0" w:rsidRPr="00E43670">
        <w:t>i</w:t>
      </w:r>
      <w:r w:rsidR="00303CA0" w:rsidRPr="00E43670">
        <w:t>seras minst en procent av all statlig teknikupphandling till små och medelstora företag. Nya rön inom FoU bör göras mer lättillgängliga för sm</w:t>
      </w:r>
      <w:r w:rsidR="00303CA0" w:rsidRPr="00E43670">
        <w:t>å</w:t>
      </w:r>
      <w:r w:rsidR="00303CA0" w:rsidRPr="00E43670">
        <w:t>företagen</w:t>
      </w:r>
      <w:r w:rsidR="00CD7064" w:rsidRPr="00E43670">
        <w:t>, anför motionärerna avslutningsvis</w:t>
      </w:r>
      <w:r w:rsidR="00303CA0" w:rsidRPr="00E43670">
        <w:t>.</w:t>
      </w:r>
    </w:p>
    <w:p w:rsidR="00303CA0" w:rsidRPr="00E43670" w:rsidRDefault="00CD7064" w:rsidP="00DD4FA9">
      <w:pPr>
        <w:pStyle w:val="Normaltindrag"/>
      </w:pPr>
      <w:r w:rsidRPr="00E43670">
        <w:rPr>
          <w:snapToGrid w:val="0"/>
        </w:rPr>
        <w:t xml:space="preserve">Vinnova bör ges möjligheter att bättre stödja goda idéer, </w:t>
      </w:r>
      <w:r w:rsidR="00DD4FA9" w:rsidRPr="00E43670">
        <w:rPr>
          <w:snapToGrid w:val="0"/>
        </w:rPr>
        <w:t>i syfte att uppnå</w:t>
      </w:r>
      <w:r w:rsidRPr="00E43670">
        <w:rPr>
          <w:snapToGrid w:val="0"/>
        </w:rPr>
        <w:t xml:space="preserve"> ökad industri</w:t>
      </w:r>
      <w:r w:rsidR="00DD4FA9" w:rsidRPr="00E43670">
        <w:rPr>
          <w:snapToGrid w:val="0"/>
        </w:rPr>
        <w:t xml:space="preserve">ell tillväxt, anförs det i motion </w:t>
      </w:r>
      <w:r w:rsidR="00303CA0" w:rsidRPr="00E43670">
        <w:t>2004/05:N284 (kd)</w:t>
      </w:r>
      <w:r w:rsidR="00DD4FA9" w:rsidRPr="00E43670">
        <w:t xml:space="preserve">. </w:t>
      </w:r>
      <w:r w:rsidR="00303CA0" w:rsidRPr="00E43670">
        <w:rPr>
          <w:snapToGrid w:val="0"/>
        </w:rPr>
        <w:t>Den satsning på högre teknisk utbildning som gjorts har bidragit till det stora antal goda idéer som Sverige har visat upp under åren</w:t>
      </w:r>
      <w:r w:rsidR="003573EF" w:rsidRPr="00E43670">
        <w:rPr>
          <w:snapToGrid w:val="0"/>
        </w:rPr>
        <w:t>, säger motionärerna</w:t>
      </w:r>
      <w:r w:rsidR="00303CA0" w:rsidRPr="00E43670">
        <w:rPr>
          <w:snapToGrid w:val="0"/>
        </w:rPr>
        <w:t xml:space="preserve">. </w:t>
      </w:r>
      <w:r w:rsidR="00DE3E53" w:rsidRPr="00E43670">
        <w:rPr>
          <w:snapToGrid w:val="0"/>
        </w:rPr>
        <w:t xml:space="preserve">De anser att det </w:t>
      </w:r>
      <w:r w:rsidR="00303CA0" w:rsidRPr="00E43670">
        <w:rPr>
          <w:snapToGrid w:val="0"/>
        </w:rPr>
        <w:t>kan krävas såväl rejält med kapital som samordningsansvar för satsnin</w:t>
      </w:r>
      <w:r w:rsidR="00303CA0" w:rsidRPr="00E43670">
        <w:rPr>
          <w:snapToGrid w:val="0"/>
        </w:rPr>
        <w:t>g</w:t>
      </w:r>
      <w:r w:rsidR="00303CA0" w:rsidRPr="00E43670">
        <w:rPr>
          <w:snapToGrid w:val="0"/>
        </w:rPr>
        <w:t>ar</w:t>
      </w:r>
      <w:r w:rsidR="00DE3E53" w:rsidRPr="00E43670">
        <w:rPr>
          <w:snapToGrid w:val="0"/>
        </w:rPr>
        <w:t xml:space="preserve"> för att skapa en bro mellan goda idéer hos forskare och industrins produ</w:t>
      </w:r>
      <w:r w:rsidR="00DE3E53" w:rsidRPr="00E43670">
        <w:rPr>
          <w:snapToGrid w:val="0"/>
        </w:rPr>
        <w:t>k</w:t>
      </w:r>
      <w:r w:rsidR="00DE3E53" w:rsidRPr="00E43670">
        <w:rPr>
          <w:snapToGrid w:val="0"/>
        </w:rPr>
        <w:t>tion</w:t>
      </w:r>
      <w:r w:rsidR="00303CA0" w:rsidRPr="00E43670">
        <w:rPr>
          <w:snapToGrid w:val="0"/>
        </w:rPr>
        <w:t>. Vinnova har ung</w:t>
      </w:r>
      <w:r w:rsidR="00303CA0" w:rsidRPr="00E43670">
        <w:rPr>
          <w:snapToGrid w:val="0"/>
        </w:rPr>
        <w:t>e</w:t>
      </w:r>
      <w:r w:rsidR="00303CA0" w:rsidRPr="00E43670">
        <w:rPr>
          <w:snapToGrid w:val="0"/>
        </w:rPr>
        <w:t>fär hälften av de medel som dess finska motsvarighet Erika har</w:t>
      </w:r>
      <w:r w:rsidR="00DE3E53" w:rsidRPr="00E43670">
        <w:rPr>
          <w:snapToGrid w:val="0"/>
        </w:rPr>
        <w:t>, uppger motionärerna</w:t>
      </w:r>
      <w:r w:rsidR="00303CA0" w:rsidRPr="00E43670">
        <w:rPr>
          <w:snapToGrid w:val="0"/>
        </w:rPr>
        <w:t xml:space="preserve">. </w:t>
      </w:r>
      <w:r w:rsidR="00DE3E53" w:rsidRPr="00E43670">
        <w:rPr>
          <w:snapToGrid w:val="0"/>
        </w:rPr>
        <w:t>De förordar att</w:t>
      </w:r>
      <w:r w:rsidR="00303CA0" w:rsidRPr="00E43670">
        <w:rPr>
          <w:snapToGrid w:val="0"/>
        </w:rPr>
        <w:t xml:space="preserve"> ytterligare medel </w:t>
      </w:r>
      <w:r w:rsidR="00DE3E53" w:rsidRPr="00E43670">
        <w:rPr>
          <w:snapToGrid w:val="0"/>
        </w:rPr>
        <w:t xml:space="preserve">skall </w:t>
      </w:r>
      <w:r w:rsidR="00303CA0" w:rsidRPr="00E43670">
        <w:rPr>
          <w:snapToGrid w:val="0"/>
        </w:rPr>
        <w:t>tillför</w:t>
      </w:r>
      <w:r w:rsidR="00DE3E53" w:rsidRPr="00E43670">
        <w:rPr>
          <w:snapToGrid w:val="0"/>
        </w:rPr>
        <w:t>a</w:t>
      </w:r>
      <w:r w:rsidR="00303CA0" w:rsidRPr="00E43670">
        <w:rPr>
          <w:snapToGrid w:val="0"/>
        </w:rPr>
        <w:t>s Vinnova.</w:t>
      </w:r>
    </w:p>
    <w:p w:rsidR="00303CA0" w:rsidRPr="00E43670" w:rsidRDefault="00DE3E53" w:rsidP="00DE3E53">
      <w:pPr>
        <w:pStyle w:val="Normaltindrag"/>
      </w:pPr>
      <w:r w:rsidRPr="00E43670">
        <w:rPr>
          <w:snapToGrid w:val="0"/>
        </w:rPr>
        <w:t>Samma motionärer som i nyssnämnda motion 2004/05:N284 (kd) tar i y</w:t>
      </w:r>
      <w:r w:rsidRPr="00E43670">
        <w:rPr>
          <w:snapToGrid w:val="0"/>
        </w:rPr>
        <w:t>t</w:t>
      </w:r>
      <w:r w:rsidRPr="00E43670">
        <w:rPr>
          <w:snapToGrid w:val="0"/>
        </w:rPr>
        <w:t xml:space="preserve">terligare en motion – </w:t>
      </w:r>
      <w:r w:rsidR="00303CA0" w:rsidRPr="00E43670">
        <w:t>2004/05:N285 (kd)</w:t>
      </w:r>
      <w:r w:rsidRPr="00E43670">
        <w:t xml:space="preserve"> – upp frågan </w:t>
      </w:r>
      <w:r w:rsidR="00303CA0" w:rsidRPr="00E43670">
        <w:rPr>
          <w:snapToGrid w:val="0"/>
        </w:rPr>
        <w:t>om Vinnovas ver</w:t>
      </w:r>
      <w:r w:rsidR="00303CA0" w:rsidRPr="00E43670">
        <w:rPr>
          <w:snapToGrid w:val="0"/>
        </w:rPr>
        <w:t>k</w:t>
      </w:r>
      <w:r w:rsidR="00303CA0" w:rsidRPr="00E43670">
        <w:rPr>
          <w:snapToGrid w:val="0"/>
        </w:rPr>
        <w:t>sam</w:t>
      </w:r>
      <w:r w:rsidRPr="00E43670">
        <w:rPr>
          <w:snapToGrid w:val="0"/>
        </w:rPr>
        <w:t>het och resursbehov</w:t>
      </w:r>
      <w:r w:rsidR="00303CA0" w:rsidRPr="00E43670">
        <w:rPr>
          <w:snapToGrid w:val="0"/>
        </w:rPr>
        <w:t>.</w:t>
      </w:r>
      <w:r w:rsidRPr="00E43670">
        <w:t xml:space="preserve"> A</w:t>
      </w:r>
      <w:r w:rsidR="00303CA0" w:rsidRPr="00E43670">
        <w:rPr>
          <w:snapToGrid w:val="0"/>
        </w:rPr>
        <w:t xml:space="preserve">kademisk forskning </w:t>
      </w:r>
      <w:r w:rsidRPr="00E43670">
        <w:rPr>
          <w:snapToGrid w:val="0"/>
        </w:rPr>
        <w:t xml:space="preserve">är </w:t>
      </w:r>
      <w:r w:rsidR="00D340DC" w:rsidRPr="00E43670">
        <w:rPr>
          <w:snapToGrid w:val="0"/>
        </w:rPr>
        <w:t>inte</w:t>
      </w:r>
      <w:r w:rsidR="00303CA0" w:rsidRPr="00E43670">
        <w:rPr>
          <w:snapToGrid w:val="0"/>
        </w:rPr>
        <w:t xml:space="preserve"> en garanti för tillväxt o</w:t>
      </w:r>
      <w:r w:rsidRPr="00E43670">
        <w:rPr>
          <w:snapToGrid w:val="0"/>
        </w:rPr>
        <w:t>ch</w:t>
      </w:r>
      <w:r w:rsidR="00303CA0" w:rsidRPr="00E43670">
        <w:rPr>
          <w:snapToGrid w:val="0"/>
        </w:rPr>
        <w:t xml:space="preserve"> en konkurrenskraftig exploatering av forsknings</w:t>
      </w:r>
      <w:r w:rsidRPr="00E43670">
        <w:rPr>
          <w:snapToGrid w:val="0"/>
        </w:rPr>
        <w:t>resultat, utan det behövs k</w:t>
      </w:r>
      <w:r w:rsidR="00303CA0" w:rsidRPr="00E43670">
        <w:rPr>
          <w:snapToGrid w:val="0"/>
        </w:rPr>
        <w:t>ompletterande insatser, t.ex. skapande av miljöer där entreprenör</w:t>
      </w:r>
      <w:r w:rsidR="00303CA0" w:rsidRPr="00E43670">
        <w:rPr>
          <w:snapToGrid w:val="0"/>
        </w:rPr>
        <w:t>s</w:t>
      </w:r>
      <w:r w:rsidR="00303CA0" w:rsidRPr="00E43670">
        <w:rPr>
          <w:snapToGrid w:val="0"/>
        </w:rPr>
        <w:t>kap och forskning möts, tillhandahållande av riskvilligt såddkap</w:t>
      </w:r>
      <w:r w:rsidR="00303CA0" w:rsidRPr="00E43670">
        <w:rPr>
          <w:snapToGrid w:val="0"/>
        </w:rPr>
        <w:t>i</w:t>
      </w:r>
      <w:r w:rsidR="00303CA0" w:rsidRPr="00E43670">
        <w:rPr>
          <w:snapToGrid w:val="0"/>
        </w:rPr>
        <w:t>tal samt stöd till forsknings- och innovationsmiljöer där offentlig ver</w:t>
      </w:r>
      <w:r w:rsidR="00303CA0" w:rsidRPr="00E43670">
        <w:rPr>
          <w:snapToGrid w:val="0"/>
        </w:rPr>
        <w:t>k</w:t>
      </w:r>
      <w:r w:rsidR="00303CA0" w:rsidRPr="00E43670">
        <w:rPr>
          <w:snapToGrid w:val="0"/>
        </w:rPr>
        <w:t>samhet, akademi och näringsliv samspelar</w:t>
      </w:r>
      <w:r w:rsidRPr="00E43670">
        <w:rPr>
          <w:snapToGrid w:val="0"/>
        </w:rPr>
        <w:t>, anför motionärerna</w:t>
      </w:r>
      <w:r w:rsidR="00303CA0" w:rsidRPr="00E43670">
        <w:rPr>
          <w:snapToGrid w:val="0"/>
        </w:rPr>
        <w:t>. Innovationspolitiska åtgärder måste därför komple</w:t>
      </w:r>
      <w:r w:rsidR="00303CA0" w:rsidRPr="00E43670">
        <w:rPr>
          <w:snapToGrid w:val="0"/>
        </w:rPr>
        <w:t>t</w:t>
      </w:r>
      <w:r w:rsidR="00303CA0" w:rsidRPr="00E43670">
        <w:rPr>
          <w:snapToGrid w:val="0"/>
        </w:rPr>
        <w:t xml:space="preserve">tera forskningspolitiken. </w:t>
      </w:r>
      <w:r w:rsidR="00303CA0" w:rsidRPr="00E43670">
        <w:rPr>
          <w:snapToGrid w:val="0"/>
          <w:spacing w:val="-2"/>
        </w:rPr>
        <w:t>Vinnova arbetar inte på samma sätt som forskningsråden, vilka står i fokus för de forskningspolitiska propositione</w:t>
      </w:r>
      <w:r w:rsidR="00303CA0" w:rsidRPr="00E43670">
        <w:rPr>
          <w:snapToGrid w:val="0"/>
          <w:spacing w:val="-2"/>
        </w:rPr>
        <w:t>r</w:t>
      </w:r>
      <w:r w:rsidR="00303CA0" w:rsidRPr="00E43670">
        <w:rPr>
          <w:snapToGrid w:val="0"/>
          <w:spacing w:val="-2"/>
        </w:rPr>
        <w:t>na</w:t>
      </w:r>
      <w:r w:rsidRPr="00E43670">
        <w:rPr>
          <w:snapToGrid w:val="0"/>
          <w:spacing w:val="-2"/>
        </w:rPr>
        <w:t>, konstaterar motionärerna</w:t>
      </w:r>
      <w:r w:rsidR="00303CA0" w:rsidRPr="00E43670">
        <w:rPr>
          <w:snapToGrid w:val="0"/>
          <w:spacing w:val="-2"/>
        </w:rPr>
        <w:t xml:space="preserve">. </w:t>
      </w:r>
      <w:r w:rsidRPr="00E43670">
        <w:rPr>
          <w:snapToGrid w:val="0"/>
          <w:spacing w:val="-2"/>
        </w:rPr>
        <w:t xml:space="preserve">De anser att det är olämpligt att </w:t>
      </w:r>
      <w:r w:rsidR="00303CA0" w:rsidRPr="00E43670">
        <w:rPr>
          <w:snapToGrid w:val="0"/>
          <w:spacing w:val="-2"/>
        </w:rPr>
        <w:t>Vinnovas budget hante</w:t>
      </w:r>
      <w:r w:rsidRPr="00E43670">
        <w:rPr>
          <w:snapToGrid w:val="0"/>
          <w:spacing w:val="-2"/>
        </w:rPr>
        <w:t>ras uteslutande</w:t>
      </w:r>
      <w:r w:rsidR="00303CA0" w:rsidRPr="00E43670">
        <w:rPr>
          <w:snapToGrid w:val="0"/>
          <w:spacing w:val="-2"/>
        </w:rPr>
        <w:t xml:space="preserve"> i forskningspolitiska propositione</w:t>
      </w:r>
      <w:r w:rsidRPr="00E43670">
        <w:rPr>
          <w:snapToGrid w:val="0"/>
          <w:spacing w:val="-2"/>
        </w:rPr>
        <w:t>r</w:t>
      </w:r>
      <w:r w:rsidR="00303CA0" w:rsidRPr="00E43670">
        <w:rPr>
          <w:snapToGrid w:val="0"/>
          <w:spacing w:val="-2"/>
        </w:rPr>
        <w:t>. Möjlighet till budge</w:t>
      </w:r>
      <w:r w:rsidR="00303CA0" w:rsidRPr="00E43670">
        <w:rPr>
          <w:snapToGrid w:val="0"/>
          <w:spacing w:val="-2"/>
        </w:rPr>
        <w:t>t</w:t>
      </w:r>
      <w:r w:rsidR="00303CA0" w:rsidRPr="00E43670">
        <w:rPr>
          <w:snapToGrid w:val="0"/>
          <w:spacing w:val="-2"/>
        </w:rPr>
        <w:t>tilldelning även från andra departement än Utbildningsdepartementet är öns</w:t>
      </w:r>
      <w:r w:rsidR="00303CA0" w:rsidRPr="00E43670">
        <w:rPr>
          <w:snapToGrid w:val="0"/>
          <w:spacing w:val="-2"/>
        </w:rPr>
        <w:t>k</w:t>
      </w:r>
      <w:r w:rsidR="00303CA0" w:rsidRPr="00E43670">
        <w:rPr>
          <w:snapToGrid w:val="0"/>
          <w:spacing w:val="-2"/>
        </w:rPr>
        <w:t>värd</w:t>
      </w:r>
      <w:r w:rsidRPr="00E43670">
        <w:rPr>
          <w:snapToGrid w:val="0"/>
          <w:spacing w:val="-2"/>
        </w:rPr>
        <w:t>, anför motionärerna</w:t>
      </w:r>
      <w:r w:rsidR="00303CA0" w:rsidRPr="00E43670">
        <w:rPr>
          <w:snapToGrid w:val="0"/>
          <w:spacing w:val="-2"/>
        </w:rPr>
        <w:t>.</w:t>
      </w:r>
    </w:p>
    <w:p w:rsidR="00262F48" w:rsidRPr="00E43670" w:rsidRDefault="00DE3E53" w:rsidP="006E6220">
      <w:pPr>
        <w:pStyle w:val="Normaltindrag"/>
      </w:pPr>
      <w:r w:rsidRPr="00E43670">
        <w:t xml:space="preserve">I motion </w:t>
      </w:r>
      <w:r w:rsidR="00303CA0" w:rsidRPr="00E43670">
        <w:t>2004/05:N300 (v)</w:t>
      </w:r>
      <w:r w:rsidR="006E6220" w:rsidRPr="00E43670">
        <w:t xml:space="preserve"> begärs sex</w:t>
      </w:r>
      <w:r w:rsidR="00303CA0" w:rsidRPr="00E43670">
        <w:t xml:space="preserve"> tillkännag</w:t>
      </w:r>
      <w:r w:rsidR="006E6220" w:rsidRPr="00E43670">
        <w:t>ivanden –</w:t>
      </w:r>
      <w:r w:rsidR="00303CA0" w:rsidRPr="00E43670">
        <w:t xml:space="preserve"> om möjligh</w:t>
      </w:r>
      <w:r w:rsidR="00303CA0" w:rsidRPr="00E43670">
        <w:t>e</w:t>
      </w:r>
      <w:r w:rsidR="006E6220" w:rsidRPr="00E43670">
        <w:t>ten till finansiering av Ireco;</w:t>
      </w:r>
      <w:r w:rsidR="00303CA0" w:rsidRPr="00E43670">
        <w:t xml:space="preserve"> </w:t>
      </w:r>
      <w:r w:rsidR="006E6220" w:rsidRPr="00E43670">
        <w:t>om uppföljningar och rapporter;</w:t>
      </w:r>
      <w:r w:rsidR="00303CA0" w:rsidRPr="00E43670">
        <w:t xml:space="preserve"> om långsikt</w:t>
      </w:r>
      <w:r w:rsidR="00303CA0" w:rsidRPr="00E43670">
        <w:t>i</w:t>
      </w:r>
      <w:r w:rsidR="00303CA0" w:rsidRPr="00E43670">
        <w:t>ga</w:t>
      </w:r>
      <w:r w:rsidR="006E6220" w:rsidRPr="00E43670">
        <w:t>, strategiska forskningsprogram;</w:t>
      </w:r>
      <w:r w:rsidR="00303CA0" w:rsidRPr="00E43670">
        <w:t xml:space="preserve"> om utgifterna fö</w:t>
      </w:r>
      <w:r w:rsidR="006E6220" w:rsidRPr="00E43670">
        <w:t>r forskning och utveckling</w:t>
      </w:r>
      <w:r w:rsidR="00303CA0" w:rsidRPr="00E43670">
        <w:t xml:space="preserve"> och offentliga upp</w:t>
      </w:r>
      <w:r w:rsidR="006E6220" w:rsidRPr="00E43670">
        <w:t>drag;</w:t>
      </w:r>
      <w:r w:rsidR="00303CA0" w:rsidRPr="00E43670">
        <w:t xml:space="preserve"> om långsiktig uppbyggnad i likhet med de övriga nordiska länder</w:t>
      </w:r>
      <w:r w:rsidR="006E6220" w:rsidRPr="00E43670">
        <w:t>na;</w:t>
      </w:r>
      <w:r w:rsidR="00303CA0" w:rsidRPr="00E43670">
        <w:t xml:space="preserve"> om en årlig avrapportering av det innovationspolitiska arbetet.</w:t>
      </w:r>
      <w:r w:rsidR="006E6220" w:rsidRPr="00E43670">
        <w:t xml:space="preserve"> </w:t>
      </w:r>
      <w:r w:rsidR="00303CA0" w:rsidRPr="00E43670">
        <w:t>Den paradox som svensk behovsmotiverad forskning lever i är vä</w:t>
      </w:r>
      <w:r w:rsidR="00303CA0" w:rsidRPr="00E43670">
        <w:t>l</w:t>
      </w:r>
      <w:r w:rsidR="00303CA0" w:rsidRPr="00E43670">
        <w:t>känd</w:t>
      </w:r>
      <w:r w:rsidR="00262F48" w:rsidRPr="00E43670">
        <w:t>, säger motionärerna och redovisar följande</w:t>
      </w:r>
      <w:r w:rsidR="00303CA0" w:rsidRPr="00E43670">
        <w:t>. Sverige har de högsta utgi</w:t>
      </w:r>
      <w:r w:rsidR="00303CA0" w:rsidRPr="00E43670">
        <w:t>f</w:t>
      </w:r>
      <w:r w:rsidR="00303CA0" w:rsidRPr="00E43670">
        <w:t>terna för fors</w:t>
      </w:r>
      <w:r w:rsidR="00303CA0" w:rsidRPr="00E43670">
        <w:t>k</w:t>
      </w:r>
      <w:r w:rsidR="00303CA0" w:rsidRPr="00E43670">
        <w:t>ning och utveck</w:t>
      </w:r>
      <w:r w:rsidR="00262F48" w:rsidRPr="00E43670">
        <w:t>ling</w:t>
      </w:r>
      <w:r w:rsidR="00303CA0" w:rsidRPr="00E43670">
        <w:t xml:space="preserve"> inom OECD – 4,3 % av BNP går till FoU. Det svenska näringslivet svarade år 2001 för 78 % av de totala FoU-utgifterna, motsvara</w:t>
      </w:r>
      <w:r w:rsidR="00303CA0" w:rsidRPr="00E43670">
        <w:t>n</w:t>
      </w:r>
      <w:r w:rsidR="00303CA0" w:rsidRPr="00E43670">
        <w:t>de ca 3,3  % av BNP, varvid 5–6 stora företag svarade för 80 % av denna fors</w:t>
      </w:r>
      <w:r w:rsidR="00303CA0" w:rsidRPr="00E43670">
        <w:t>k</w:t>
      </w:r>
      <w:r w:rsidR="00303CA0" w:rsidRPr="00E43670">
        <w:t>ning. Små och medelstora företag har en mycket liten del av den FoU som utförs. Ungefär 10 % av den totala FoU-verksamheten inom företagsse</w:t>
      </w:r>
      <w:r w:rsidR="00303CA0" w:rsidRPr="00E43670">
        <w:t>k</w:t>
      </w:r>
      <w:r w:rsidR="00303CA0" w:rsidRPr="00E43670">
        <w:t xml:space="preserve">torn eller 0,34 % av BNP utförs av företag med färre än </w:t>
      </w:r>
      <w:r w:rsidR="00262F48" w:rsidRPr="00E43670">
        <w:t xml:space="preserve">    </w:t>
      </w:r>
      <w:r w:rsidR="00303CA0" w:rsidRPr="00E43670">
        <w:t>50 anställda. Sverige ligger långt ned på lis</w:t>
      </w:r>
      <w:r w:rsidR="00262F48" w:rsidRPr="00E43670">
        <w:t>tan över OECD-länder när det gäller</w:t>
      </w:r>
      <w:r w:rsidR="00303CA0" w:rsidRPr="00E43670">
        <w:t xml:space="preserve"> överför</w:t>
      </w:r>
      <w:r w:rsidR="00262F48" w:rsidRPr="00E43670">
        <w:t>ing av</w:t>
      </w:r>
      <w:r w:rsidR="00303CA0" w:rsidRPr="00E43670">
        <w:t xml:space="preserve"> ku</w:t>
      </w:r>
      <w:r w:rsidR="00303CA0" w:rsidRPr="00E43670">
        <w:t>n</w:t>
      </w:r>
      <w:r w:rsidR="00303CA0" w:rsidRPr="00E43670">
        <w:t xml:space="preserve">skap via teknik till nya företag. </w:t>
      </w:r>
    </w:p>
    <w:p w:rsidR="00303CA0" w:rsidRPr="00E43670" w:rsidRDefault="00303CA0" w:rsidP="00262F48">
      <w:pPr>
        <w:pStyle w:val="Normaltindrag"/>
      </w:pPr>
      <w:r w:rsidRPr="00E43670">
        <w:t>Under de senaste fem åren har FoU-cykeln kortats från 18 till 10 månader</w:t>
      </w:r>
      <w:r w:rsidR="00262F48" w:rsidRPr="00E43670">
        <w:t>, säger motionärerna</w:t>
      </w:r>
      <w:r w:rsidRPr="00E43670">
        <w:t xml:space="preserve">. </w:t>
      </w:r>
      <w:r w:rsidR="00262F48" w:rsidRPr="00E43670">
        <w:t>De menar att i</w:t>
      </w:r>
      <w:r w:rsidRPr="00E43670">
        <w:t xml:space="preserve"> ett sådant läge måste det offentliga hjälpa till </w:t>
      </w:r>
      <w:r w:rsidR="00262F48" w:rsidRPr="00E43670">
        <w:t xml:space="preserve">med </w:t>
      </w:r>
      <w:r w:rsidRPr="00E43670">
        <w:t>att skapa de bryggor som behövs och delta i forskningscykeln. De små och m</w:t>
      </w:r>
      <w:r w:rsidRPr="00E43670">
        <w:t>e</w:t>
      </w:r>
      <w:r w:rsidRPr="00E43670">
        <w:t>delstora företagens möjlighet ligger i att skapa sig FoU-utrymme genom industriforskningsinstitutens verksamhet</w:t>
      </w:r>
      <w:r w:rsidR="00262F48" w:rsidRPr="00E43670">
        <w:t>, anser motionärerna</w:t>
      </w:r>
      <w:r w:rsidRPr="00E43670">
        <w:t>. De</w:t>
      </w:r>
      <w:r w:rsidR="00262F48" w:rsidRPr="00E43670">
        <w:t xml:space="preserve"> konstaterar att de</w:t>
      </w:r>
      <w:r w:rsidRPr="00E43670">
        <w:t>t statliga engage</w:t>
      </w:r>
      <w:r w:rsidR="00262F48" w:rsidRPr="00E43670">
        <w:t xml:space="preserve">manget </w:t>
      </w:r>
      <w:r w:rsidRPr="00E43670">
        <w:t xml:space="preserve">av historiska skäl </w:t>
      </w:r>
      <w:r w:rsidR="00262F48" w:rsidRPr="00E43670">
        <w:t xml:space="preserve">är </w:t>
      </w:r>
      <w:r w:rsidRPr="00E43670">
        <w:t>lågt inom den tillämpade fors</w:t>
      </w:r>
      <w:r w:rsidRPr="00E43670">
        <w:t>k</w:t>
      </w:r>
      <w:r w:rsidRPr="00E43670">
        <w:t>ningen. De svenska industriforskningsinstituten erhåller endast 3 % av forskningsr</w:t>
      </w:r>
      <w:r w:rsidRPr="00E43670">
        <w:t>e</w:t>
      </w:r>
      <w:r w:rsidRPr="00E43670">
        <w:t>surserna, medan motsvarande andel inom EU i snitt är 24 % – ett förhållande som måste än</w:t>
      </w:r>
      <w:r w:rsidRPr="00E43670">
        <w:t>d</w:t>
      </w:r>
      <w:r w:rsidRPr="00E43670">
        <w:t>ras om de små och medelstora företagen skall ha en chans att hävda sig i framtiden</w:t>
      </w:r>
      <w:r w:rsidR="00262F48" w:rsidRPr="00E43670">
        <w:t>, anför motionärerna</w:t>
      </w:r>
      <w:r w:rsidRPr="00E43670">
        <w:t>. Ireco har</w:t>
      </w:r>
      <w:r w:rsidR="00262F48" w:rsidRPr="00E43670">
        <w:t>, som tidigare nämnts,</w:t>
      </w:r>
      <w:r w:rsidRPr="00E43670">
        <w:t xml:space="preserve"> huvudansvaret för att omorganisera industr</w:t>
      </w:r>
      <w:r w:rsidRPr="00E43670">
        <w:t>i</w:t>
      </w:r>
      <w:r w:rsidRPr="00E43670">
        <w:t>forskningsinstituten. För detta och för program som kan sätta små och mede</w:t>
      </w:r>
      <w:r w:rsidRPr="00E43670">
        <w:t>l</w:t>
      </w:r>
      <w:r w:rsidRPr="00E43670">
        <w:t>stora företag i arbete mot ökad FoU behöver Ireco inom de närmaste åren en medelsförstärkning</w:t>
      </w:r>
      <w:r w:rsidR="00262F48" w:rsidRPr="00E43670">
        <w:t xml:space="preserve"> på i storleksordningen 600 miljoner kronor årligen, varvid finansiering kan ske genom överf</w:t>
      </w:r>
      <w:r w:rsidR="00262F48" w:rsidRPr="00E43670">
        <w:t>ö</w:t>
      </w:r>
      <w:r w:rsidR="00262F48" w:rsidRPr="00E43670">
        <w:t>ring av medel från andra statliga bolag, anser motionärerna</w:t>
      </w:r>
      <w:r w:rsidRPr="00E43670">
        <w:t xml:space="preserve">. </w:t>
      </w:r>
    </w:p>
    <w:p w:rsidR="00303CA0" w:rsidRPr="00E43670" w:rsidRDefault="00262F48" w:rsidP="00262F48">
      <w:pPr>
        <w:pStyle w:val="Normaltindrag"/>
      </w:pPr>
      <w:r w:rsidRPr="00E43670">
        <w:t>Motionärerna erinrar om vad n</w:t>
      </w:r>
      <w:r w:rsidR="00303CA0" w:rsidRPr="00E43670">
        <w:t xml:space="preserve">äringsutskottet anförde </w:t>
      </w:r>
      <w:r w:rsidR="00270675" w:rsidRPr="00E43670">
        <w:t xml:space="preserve">hösten 2001 </w:t>
      </w:r>
      <w:r w:rsidR="00303CA0" w:rsidRPr="00E43670">
        <w:t>i betä</w:t>
      </w:r>
      <w:r w:rsidR="00303CA0" w:rsidRPr="00E43670">
        <w:t>n</w:t>
      </w:r>
      <w:r w:rsidR="00303CA0" w:rsidRPr="00E43670">
        <w:t xml:space="preserve">kande 2001/02:NU5 </w:t>
      </w:r>
      <w:r w:rsidR="00123394" w:rsidRPr="00E43670">
        <w:t>om</w:t>
      </w:r>
      <w:r w:rsidRPr="00E43670">
        <w:t xml:space="preserve"> omstrukturering av industriforskningsinstituten </w:t>
      </w:r>
      <w:r w:rsidR="00123394" w:rsidRPr="00E43670">
        <w:t>vid behan</w:t>
      </w:r>
      <w:r w:rsidR="00123394" w:rsidRPr="00E43670">
        <w:t>d</w:t>
      </w:r>
      <w:r w:rsidR="00123394" w:rsidRPr="00E43670">
        <w:t xml:space="preserve">lingen av </w:t>
      </w:r>
      <w:r w:rsidRPr="00E43670">
        <w:t>proposition 2001/02:2</w:t>
      </w:r>
      <w:r w:rsidR="00123394" w:rsidRPr="00E43670">
        <w:t xml:space="preserve">. Där sades </w:t>
      </w:r>
      <w:r w:rsidR="00303CA0" w:rsidRPr="00E43670">
        <w:t xml:space="preserve">att </w:t>
      </w:r>
      <w:r w:rsidR="00123394" w:rsidRPr="00E43670">
        <w:t>närings</w:t>
      </w:r>
      <w:r w:rsidR="00303CA0" w:rsidRPr="00E43670">
        <w:t>utskottet delade rege</w:t>
      </w:r>
      <w:r w:rsidR="00303CA0" w:rsidRPr="00E43670">
        <w:t>r</w:t>
      </w:r>
      <w:r w:rsidR="00303CA0" w:rsidRPr="00E43670">
        <w:t>ingens bedömning att ingen detaljs</w:t>
      </w:r>
      <w:r w:rsidR="00270675" w:rsidRPr="00E43670">
        <w:t>tyrning skall ske av FoU-område</w:t>
      </w:r>
      <w:r w:rsidR="002900C8" w:rsidRPr="00E43670">
        <w:t>n</w:t>
      </w:r>
      <w:r w:rsidR="00270675" w:rsidRPr="00E43670">
        <w:t>,</w:t>
      </w:r>
      <w:r w:rsidR="00303CA0" w:rsidRPr="00E43670">
        <w:t xml:space="preserve"> utan riktli</w:t>
      </w:r>
      <w:r w:rsidR="00303CA0" w:rsidRPr="00E43670">
        <w:t>n</w:t>
      </w:r>
      <w:r w:rsidR="00303CA0" w:rsidRPr="00E43670">
        <w:t>jer i propositioner, utskottsbetänkanden och regleringsbrev skall vara vägl</w:t>
      </w:r>
      <w:r w:rsidR="00303CA0" w:rsidRPr="00E43670">
        <w:t>e</w:t>
      </w:r>
      <w:r w:rsidR="00303CA0" w:rsidRPr="00E43670">
        <w:t>dande för myndigheterna. Däremot bör kontinuerliga uppföljningar och utvärderingar ske för att statsmakterna skall kunna se att verksamheten bedr</w:t>
      </w:r>
      <w:r w:rsidR="00303CA0" w:rsidRPr="00E43670">
        <w:t>i</w:t>
      </w:r>
      <w:r w:rsidR="00303CA0" w:rsidRPr="00E43670">
        <w:t>vits som det var tänkt, sades det. Utskottet underströk att det är angeläget att r</w:t>
      </w:r>
      <w:r w:rsidR="00303CA0" w:rsidRPr="00E43670">
        <w:t>e</w:t>
      </w:r>
      <w:r w:rsidR="00303CA0" w:rsidRPr="00E43670">
        <w:t>geringen utför sådana uppföljningar och utvärderingar och på lämpligt sätt rapporterar resu</w:t>
      </w:r>
      <w:r w:rsidR="00303CA0" w:rsidRPr="00E43670">
        <w:t>l</w:t>
      </w:r>
      <w:r w:rsidR="00303CA0" w:rsidRPr="00E43670">
        <w:t>taten av dessa till riksda</w:t>
      </w:r>
      <w:r w:rsidR="00123394" w:rsidRPr="00E43670">
        <w:t>gen. Motionärerna</w:t>
      </w:r>
      <w:r w:rsidR="00303CA0" w:rsidRPr="00E43670">
        <w:t xml:space="preserve"> kan </w:t>
      </w:r>
      <w:r w:rsidR="00123394" w:rsidRPr="00E43670">
        <w:t xml:space="preserve">dock </w:t>
      </w:r>
      <w:r w:rsidR="00303CA0" w:rsidRPr="00E43670">
        <w:t>inte se att detta har skett och föreslår därför att riksdagen genom ett tillkännag</w:t>
      </w:r>
      <w:r w:rsidR="00303CA0" w:rsidRPr="00E43670">
        <w:t>i</w:t>
      </w:r>
      <w:r w:rsidR="00303CA0" w:rsidRPr="00E43670">
        <w:t>vande begär en sådan redovisning av rege</w:t>
      </w:r>
      <w:r w:rsidR="00303CA0" w:rsidRPr="00E43670">
        <w:t>r</w:t>
      </w:r>
      <w:r w:rsidR="00303CA0" w:rsidRPr="00E43670">
        <w:t>ingen.</w:t>
      </w:r>
    </w:p>
    <w:p w:rsidR="00303CA0" w:rsidRPr="00E43670" w:rsidRDefault="00303CA0" w:rsidP="00123394">
      <w:pPr>
        <w:pStyle w:val="Normaltindrag"/>
      </w:pPr>
      <w:r w:rsidRPr="00E43670">
        <w:t>Globaliseringen har förändrat företagens villkor dramatiskt</w:t>
      </w:r>
      <w:r w:rsidR="00123394" w:rsidRPr="00E43670">
        <w:t>, framhåller motionärerna vidare</w:t>
      </w:r>
      <w:r w:rsidRPr="00E43670">
        <w:t xml:space="preserve">. </w:t>
      </w:r>
      <w:r w:rsidR="00123394" w:rsidRPr="00E43670">
        <w:t>De anser att n</w:t>
      </w:r>
      <w:r w:rsidRPr="00E43670">
        <w:t>är de nordiska grannländerna i allt högre grad styr om sina resurser mot strategiskt långsiktiga forskningsprogram men ändå med flexibilitet kan inte Sverige förhålla sig passivt</w:t>
      </w:r>
      <w:r w:rsidR="00123394" w:rsidRPr="00E43670">
        <w:t xml:space="preserve"> utan staten måste</w:t>
      </w:r>
      <w:r w:rsidRPr="00E43670">
        <w:t xml:space="preserve"> delta i skapandet av strategiska, långsiktiga forskningsprogram. I de finska programmen deltar över 1 000 små och</w:t>
      </w:r>
      <w:r w:rsidR="00123394" w:rsidRPr="00E43670">
        <w:t xml:space="preserve"> medelstora företag. I de av motion</w:t>
      </w:r>
      <w:r w:rsidR="00123394" w:rsidRPr="00E43670">
        <w:t>ä</w:t>
      </w:r>
      <w:r w:rsidR="00123394" w:rsidRPr="00E43670">
        <w:t>rerna</w:t>
      </w:r>
      <w:r w:rsidRPr="00E43670">
        <w:t xml:space="preserve"> förordade forskningsprogrammen måste företagen tillåtas delta med egen personal i forskning, ledning och utformning av forskningssamarbetet</w:t>
      </w:r>
      <w:r w:rsidR="00123394" w:rsidRPr="00E43670">
        <w:t>, sägs det</w:t>
      </w:r>
      <w:r w:rsidRPr="00E43670">
        <w:t>. Interaktionen mellan högskolor, institut och företag måste stärkas och kunskap som snabbt kan utvecklas till produ</w:t>
      </w:r>
      <w:r w:rsidRPr="00E43670">
        <w:t>k</w:t>
      </w:r>
      <w:r w:rsidRPr="00E43670">
        <w:t>ter, tjänster och processer måste spridas</w:t>
      </w:r>
      <w:r w:rsidR="00123394" w:rsidRPr="00E43670">
        <w:t>, anför motionärerna</w:t>
      </w:r>
      <w:r w:rsidRPr="00E43670">
        <w:t xml:space="preserve">. </w:t>
      </w:r>
      <w:r w:rsidR="00123394" w:rsidRPr="00E43670">
        <w:t xml:space="preserve">De föreslår </w:t>
      </w:r>
      <w:r w:rsidR="00FD4D0C" w:rsidRPr="00E43670">
        <w:t xml:space="preserve">att </w:t>
      </w:r>
      <w:r w:rsidRPr="00E43670">
        <w:t xml:space="preserve">offentliga uppdrag </w:t>
      </w:r>
      <w:r w:rsidR="00FD4D0C" w:rsidRPr="00E43670">
        <w:t xml:space="preserve">skall </w:t>
      </w:r>
      <w:r w:rsidRPr="00E43670">
        <w:t xml:space="preserve">villkoras så att viss del av FoU alltid tillfaller </w:t>
      </w:r>
      <w:r w:rsidR="00123394" w:rsidRPr="00E43670">
        <w:t>små och medelstora företag</w:t>
      </w:r>
      <w:r w:rsidRPr="00E43670">
        <w:t xml:space="preserve">. </w:t>
      </w:r>
    </w:p>
    <w:p w:rsidR="00303CA0" w:rsidRPr="00E43670" w:rsidRDefault="00303CA0" w:rsidP="00123394">
      <w:pPr>
        <w:pStyle w:val="Normaltindrag"/>
      </w:pPr>
      <w:r w:rsidRPr="00E43670">
        <w:t>De övriga nordiska ländernas lösningar för den behovsmotiverade fors</w:t>
      </w:r>
      <w:r w:rsidRPr="00E43670">
        <w:t>k</w:t>
      </w:r>
      <w:r w:rsidRPr="00E43670">
        <w:t xml:space="preserve">ningen </w:t>
      </w:r>
      <w:r w:rsidR="00123394" w:rsidRPr="00E43670">
        <w:t xml:space="preserve">anses således </w:t>
      </w:r>
      <w:r w:rsidRPr="00E43670">
        <w:t>mer utvecklade och ha</w:t>
      </w:r>
      <w:r w:rsidR="00D340DC" w:rsidRPr="00E43670">
        <w:t>r</w:t>
      </w:r>
      <w:r w:rsidRPr="00E43670">
        <w:t xml:space="preserve"> kommit längre i mångfald än den modell som tillämpas i Sverige</w:t>
      </w:r>
      <w:r w:rsidR="00123394" w:rsidRPr="00E43670">
        <w:t xml:space="preserve"> och utifrån detta dras i motionen</w:t>
      </w:r>
      <w:r w:rsidRPr="00E43670">
        <w:t xml:space="preserve"> följa</w:t>
      </w:r>
      <w:r w:rsidRPr="00E43670">
        <w:t>n</w:t>
      </w:r>
      <w:r w:rsidRPr="00E43670">
        <w:t>de tre slutsat</w:t>
      </w:r>
      <w:r w:rsidR="00123394" w:rsidRPr="00E43670">
        <w:t>ser</w:t>
      </w:r>
      <w:r w:rsidRPr="00E43670">
        <w:t>: det offentliga har en viktig roll att spela i en satsning</w:t>
      </w:r>
      <w:r w:rsidR="00123394" w:rsidRPr="00E43670">
        <w:t xml:space="preserve"> på b</w:t>
      </w:r>
      <w:r w:rsidR="00123394" w:rsidRPr="00E43670">
        <w:t>e</w:t>
      </w:r>
      <w:r w:rsidR="00123394" w:rsidRPr="00E43670">
        <w:t>hovsm</w:t>
      </w:r>
      <w:r w:rsidR="00123394" w:rsidRPr="00E43670">
        <w:t>o</w:t>
      </w:r>
      <w:r w:rsidR="00123394" w:rsidRPr="00E43670">
        <w:t>tiverad forskning,</w:t>
      </w:r>
      <w:r w:rsidRPr="00E43670">
        <w:t xml:space="preserve"> det regionala perspektivet går att vidmakthålla</w:t>
      </w:r>
      <w:r w:rsidR="00123394" w:rsidRPr="00E43670">
        <w:t xml:space="preserve"> och</w:t>
      </w:r>
      <w:r w:rsidRPr="00E43670">
        <w:t xml:space="preserve"> resu</w:t>
      </w:r>
      <w:r w:rsidRPr="00E43670">
        <w:t>r</w:t>
      </w:r>
      <w:r w:rsidRPr="00E43670">
        <w:t>serna till den behovsmotiverade forskningen måste stärkas väsentligt. Rege</w:t>
      </w:r>
      <w:r w:rsidRPr="00E43670">
        <w:t>r</w:t>
      </w:r>
      <w:r w:rsidRPr="00E43670">
        <w:t>ingen har i skriften Innovativa Sverige (Ds 2004:36) gjort en utmärkt geno</w:t>
      </w:r>
      <w:r w:rsidRPr="00E43670">
        <w:t>m</w:t>
      </w:r>
      <w:r w:rsidRPr="00E43670">
        <w:t>gång av det innovativa Sveriges olika beståndsdelar – vikten av FoU, kraftsamling, de små och medelstora företagen, kommersial</w:t>
      </w:r>
      <w:r w:rsidRPr="00E43670">
        <w:t>i</w:t>
      </w:r>
      <w:r w:rsidRPr="00E43670">
        <w:t>seringen av forskning samt det offentligas och den enskilda människans betydelse</w:t>
      </w:r>
      <w:r w:rsidR="00123394" w:rsidRPr="00E43670">
        <w:t>, anser motionärerna</w:t>
      </w:r>
      <w:r w:rsidRPr="00E43670">
        <w:t xml:space="preserve">. </w:t>
      </w:r>
      <w:r w:rsidR="00123394" w:rsidRPr="00E43670">
        <w:t xml:space="preserve">De föreslår </w:t>
      </w:r>
      <w:r w:rsidR="00C03FF5" w:rsidRPr="00E43670">
        <w:t>– f</w:t>
      </w:r>
      <w:r w:rsidRPr="00E43670">
        <w:t>ör att det som sagts i denna skrift inte skall ta</w:t>
      </w:r>
      <w:r w:rsidRPr="00E43670">
        <w:t>p</w:t>
      </w:r>
      <w:r w:rsidRPr="00E43670">
        <w:t xml:space="preserve">pas bort </w:t>
      </w:r>
      <w:r w:rsidR="00C03FF5" w:rsidRPr="00E43670">
        <w:t xml:space="preserve">– </w:t>
      </w:r>
      <w:r w:rsidRPr="00E43670">
        <w:t>att regeringen årligen till riksdagen skall lä</w:t>
      </w:r>
      <w:r w:rsidR="00C03FF5" w:rsidRPr="00E43670">
        <w:t>mn</w:t>
      </w:r>
      <w:r w:rsidRPr="00E43670">
        <w:t>a en innovationspol</w:t>
      </w:r>
      <w:r w:rsidRPr="00E43670">
        <w:t>i</w:t>
      </w:r>
      <w:r w:rsidRPr="00E43670">
        <w:t>tisk skr</w:t>
      </w:r>
      <w:r w:rsidRPr="00E43670">
        <w:t>i</w:t>
      </w:r>
      <w:r w:rsidRPr="00E43670">
        <w:t>velse, med redogörelse för hur de ansatser som t</w:t>
      </w:r>
      <w:r w:rsidR="00C03FF5" w:rsidRPr="00E43670">
        <w:t>agit</w:t>
      </w:r>
      <w:r w:rsidRPr="00E43670">
        <w:t xml:space="preserve">s </w:t>
      </w:r>
      <w:r w:rsidR="00C03FF5" w:rsidRPr="00E43670">
        <w:t xml:space="preserve">upp </w:t>
      </w:r>
      <w:r w:rsidRPr="00E43670">
        <w:t>i skriften har up</w:t>
      </w:r>
      <w:r w:rsidRPr="00E43670">
        <w:t>p</w:t>
      </w:r>
      <w:r w:rsidRPr="00E43670">
        <w:t xml:space="preserve">fyllts. </w:t>
      </w:r>
    </w:p>
    <w:p w:rsidR="00303CA0" w:rsidRPr="00E43670" w:rsidRDefault="00303CA0" w:rsidP="006E6220">
      <w:pPr>
        <w:pStyle w:val="R3"/>
      </w:pPr>
      <w:r w:rsidRPr="00E43670">
        <w:t>Vissa kompletterande uppgifter</w:t>
      </w:r>
    </w:p>
    <w:p w:rsidR="00303CA0" w:rsidRPr="00E43670" w:rsidRDefault="00303CA0" w:rsidP="006E6220">
      <w:pPr>
        <w:pStyle w:val="R4"/>
        <w:spacing w:before="125"/>
      </w:pPr>
      <w:r w:rsidRPr="00E43670">
        <w:t>Studie om statens insatser för att stödja FoU i små företag</w:t>
      </w:r>
    </w:p>
    <w:p w:rsidR="00303CA0" w:rsidRPr="00E43670" w:rsidRDefault="00303CA0" w:rsidP="00303CA0">
      <w:r w:rsidRPr="00E43670">
        <w:t>Inom ramen för näringsutskottets arbete med uppföljning och utvärdering gavs Institutet för tillväxtpolitiska studier (ITPS) sommaren 2004</w:t>
      </w:r>
      <w:r w:rsidR="009509AC" w:rsidRPr="00E43670">
        <w:t xml:space="preserve"> av utskottet</w:t>
      </w:r>
      <w:r w:rsidRPr="00E43670">
        <w:t xml:space="preserve"> i uppdrag att göra en uppföljning av det statliga forsknings- och utveckling</w:t>
      </w:r>
      <w:r w:rsidRPr="00E43670">
        <w:t>s</w:t>
      </w:r>
      <w:r w:rsidRPr="00E43670">
        <w:t>stödet (FoU-stödet) till små och medelstora företag. Uppföljningens huvu</w:t>
      </w:r>
      <w:r w:rsidRPr="00E43670">
        <w:t>d</w:t>
      </w:r>
      <w:r w:rsidRPr="00E43670">
        <w:t>fråga var om de statliga insatserna kommer de små och medelstora företagen till del och tillgodoser deras behov av FoU-stöd. Studien inriktades på fyra områden, nämligen bioteknik, energi, trä och turism. Syftet med uppföljnin</w:t>
      </w:r>
      <w:r w:rsidRPr="00E43670">
        <w:t>g</w:t>
      </w:r>
      <w:r w:rsidRPr="00E43670">
        <w:t>en var att den skulle ge utskottet ett underlag inför behandlingen av den forskningspol</w:t>
      </w:r>
      <w:r w:rsidRPr="00E43670">
        <w:t>i</w:t>
      </w:r>
      <w:r w:rsidRPr="00E43670">
        <w:t>tiska propositionen. Rapporten avlämnades av ITPS i december 200</w:t>
      </w:r>
      <w:r w:rsidR="00A34222" w:rsidRPr="00E43670">
        <w:t>4 och kommer inom kort</w:t>
      </w:r>
      <w:r w:rsidRPr="00E43670">
        <w:t xml:space="preserve"> att publiceras i </w:t>
      </w:r>
      <w:r w:rsidR="002A7609" w:rsidRPr="00E43670">
        <w:t>riksdagens rapportserie</w:t>
      </w:r>
      <w:r w:rsidRPr="00E43670">
        <w:t xml:space="preserve"> (</w:t>
      </w:r>
      <w:r w:rsidR="00A34222" w:rsidRPr="00E43670">
        <w:t>2004/05:</w:t>
      </w:r>
      <w:r w:rsidRPr="00E43670">
        <w:t>RFR</w:t>
      </w:r>
      <w:r w:rsidR="00A34222" w:rsidRPr="00E43670">
        <w:t>2</w:t>
      </w:r>
      <w:r w:rsidRPr="00E43670">
        <w:t xml:space="preserve">). </w:t>
      </w:r>
    </w:p>
    <w:p w:rsidR="00303CA0" w:rsidRPr="00E43670" w:rsidRDefault="00303CA0" w:rsidP="006E6220">
      <w:pPr>
        <w:pStyle w:val="Normaltindrag"/>
      </w:pPr>
      <w:r w:rsidRPr="00E43670">
        <w:t>Uppföljningen tog sin utgångspunkt i de små företagens situation och i</w:t>
      </w:r>
      <w:r w:rsidRPr="00E43670">
        <w:t>n</w:t>
      </w:r>
      <w:r w:rsidRPr="00E43670">
        <w:t>riktades på att utifrån deras perspektiv följa upp de stöd som föret</w:t>
      </w:r>
      <w:r w:rsidRPr="00E43670">
        <w:t>a</w:t>
      </w:r>
      <w:r w:rsidRPr="00E43670">
        <w:t>gen får. Fokus lades därmed inte på de stödgivande myndigheterna och organen utan på de enskilda företagens behov. I undersökningen</w:t>
      </w:r>
      <w:r w:rsidR="00270675" w:rsidRPr="00E43670">
        <w:t xml:space="preserve"> studerades 100 småföretag (2</w:t>
      </w:r>
      <w:r w:rsidR="002900C8" w:rsidRPr="00E43670">
        <w:t>–</w:t>
      </w:r>
      <w:r w:rsidR="00270675" w:rsidRPr="00E43670">
        <w:t xml:space="preserve">15 </w:t>
      </w:r>
      <w:r w:rsidRPr="00E43670">
        <w:t>anställda) inom fyra områden – bio</w:t>
      </w:r>
      <w:r w:rsidR="002A7609" w:rsidRPr="00E43670">
        <w:t xml:space="preserve">- och </w:t>
      </w:r>
      <w:r w:rsidRPr="00E43670">
        <w:t>medicinteknik, träsektorn, ene</w:t>
      </w:r>
      <w:r w:rsidRPr="00E43670">
        <w:t>r</w:t>
      </w:r>
      <w:r w:rsidRPr="00E43670">
        <w:t xml:space="preserve">giområdet och turism.  </w:t>
      </w:r>
    </w:p>
    <w:p w:rsidR="00303CA0" w:rsidRPr="00E43670" w:rsidRDefault="00303CA0" w:rsidP="006E6220">
      <w:pPr>
        <w:pStyle w:val="Normaltindrag"/>
      </w:pPr>
      <w:r w:rsidRPr="00E43670">
        <w:t xml:space="preserve">Genomgången visade bl.a. att de små företagen inte automatiskt får del av statens FoU-investeringar. Undersökningen visade också att ingen av de stora FoU-finansierande aktörerna har någon särskild uppmärksamhet riktad mot de små företagen. Små företag får del av resurserna inom ramen för satsningar med andra fokus än just företagsstorlek. En viktig slutsats var att det inte finns </w:t>
      </w:r>
      <w:r w:rsidRPr="00E43670">
        <w:rPr>
          <w:i/>
        </w:rPr>
        <w:t xml:space="preserve">en </w:t>
      </w:r>
      <w:r w:rsidRPr="00E43670">
        <w:t>samlad bild vare sig av de små företagens behov av FoU eller av deras uppfattning av hur väl nuvarande statlig FoU uppfyller dessa behov. En annan generell slutsats var att politiken ur de små företagens perspektiv fra</w:t>
      </w:r>
      <w:r w:rsidRPr="00E43670">
        <w:t>m</w:t>
      </w:r>
      <w:r w:rsidRPr="00E43670">
        <w:t>står som alltför segmenterad och sektoriserad. Företagen har inte behov av forskningsinsatser ena dagen, allmän affärsrådgivning nästa dag och komp</w:t>
      </w:r>
      <w:r w:rsidRPr="00E43670">
        <w:t>e</w:t>
      </w:r>
      <w:r w:rsidRPr="00E43670">
        <w:t>tensutveckling för personalen en tredje dag. Slutsatsen är att det behövs ett mer samlat statligt grepp på företagssektorn och på de små företagens behov. Ansvarsfördelningen mellan myndigheter skulle i högre grad kunna utgå från företagens samlade behov, sades det i rapporten. Likaså borde statens insatser utgå från frågan huruvida det finns behov som inte kan fyllas med hjälp av marknadens aktörer och om den statliga insatsen kan förväntas ge en sa</w:t>
      </w:r>
      <w:r w:rsidRPr="00E43670">
        <w:t>m</w:t>
      </w:r>
      <w:r w:rsidRPr="00E43670">
        <w:t>hällsekonomisk vinst. Detta är inte detsamma som att statens insatser ko</w:t>
      </w:r>
      <w:r w:rsidRPr="00E43670">
        <w:t>n</w:t>
      </w:r>
      <w:r w:rsidRPr="00E43670">
        <w:t>centreras till exempelvis högteknologisk forskning och utveckling. För att bättre svara mot de små företagens behov borde statens innovationspolitik därför i större utsträckning än för närvarande samordnas i kluster av bra</w:t>
      </w:r>
      <w:r w:rsidRPr="00E43670">
        <w:t>n</w:t>
      </w:r>
      <w:r w:rsidRPr="00E43670">
        <w:t>scher, där en samlad behandling av regler och ramvillkor, grundforskning, tillämpad forskning och utveckling, övriga kapitalförsörjningsfrågor, affär</w:t>
      </w:r>
      <w:r w:rsidRPr="00E43670">
        <w:t>s</w:t>
      </w:r>
      <w:r w:rsidRPr="00E43670">
        <w:t>utveckling samt andra insatser kan ske, sades det vidare i rapporten. Med en sådan klusterbaserad innovationspolitik skulle också skapas möjlighet att koncentrera insatserna ytterligare. En genomgående slutsats från företagsi</w:t>
      </w:r>
      <w:r w:rsidRPr="00E43670">
        <w:t>n</w:t>
      </w:r>
      <w:r w:rsidRPr="00E43670">
        <w:t xml:space="preserve">tervjuerna var bristen på koncentration. </w:t>
      </w:r>
    </w:p>
    <w:p w:rsidR="00303CA0" w:rsidRPr="00E43670" w:rsidRDefault="002A7609" w:rsidP="006E6220">
      <w:pPr>
        <w:pStyle w:val="Normaltindrag"/>
      </w:pPr>
      <w:r w:rsidRPr="00E43670">
        <w:t>Bio-</w:t>
      </w:r>
      <w:r w:rsidR="00FD5A97" w:rsidRPr="00E43670">
        <w:t xml:space="preserve"> </w:t>
      </w:r>
      <w:r w:rsidRPr="00E43670">
        <w:t xml:space="preserve">och </w:t>
      </w:r>
      <w:r w:rsidR="00303CA0" w:rsidRPr="00E43670">
        <w:t>medicinteknik skilde sig från de övriga områdena framför allt g</w:t>
      </w:r>
      <w:r w:rsidR="00303CA0" w:rsidRPr="00E43670">
        <w:t>e</w:t>
      </w:r>
      <w:r w:rsidR="00303CA0" w:rsidRPr="00E43670">
        <w:t>nom att det för denna sektor finns en privat och aktiv riskkapitalmarknad, där staten har koncentrerat sina satsningar till de tidigaste skedena i en komme</w:t>
      </w:r>
      <w:r w:rsidR="00303CA0" w:rsidRPr="00E43670">
        <w:t>r</w:t>
      </w:r>
      <w:r w:rsidR="00303CA0" w:rsidRPr="00E43670">
        <w:t>sialis</w:t>
      </w:r>
      <w:r w:rsidR="00303CA0" w:rsidRPr="00E43670">
        <w:t>e</w:t>
      </w:r>
      <w:r w:rsidR="00303CA0" w:rsidRPr="00E43670">
        <w:t>ringsprocess. Företagen tycktes dock vara eniga om att de investerade resu</w:t>
      </w:r>
      <w:r w:rsidR="00303CA0" w:rsidRPr="00E43670">
        <w:t>r</w:t>
      </w:r>
      <w:r w:rsidR="00303CA0" w:rsidRPr="00E43670">
        <w:t>serna är alltför små och att gapet mellan det tidiga, statliga såddkapitalet och de privata riskkapitalisterna</w:t>
      </w:r>
      <w:r w:rsidR="00D340DC" w:rsidRPr="00E43670">
        <w:t xml:space="preserve"> är</w:t>
      </w:r>
      <w:r w:rsidR="00303CA0" w:rsidRPr="00E43670">
        <w:t xml:space="preserve"> alltför stort. Företagen i energibranschen upple</w:t>
      </w:r>
      <w:r w:rsidR="00303CA0" w:rsidRPr="00E43670">
        <w:t>v</w:t>
      </w:r>
      <w:r w:rsidR="00303CA0" w:rsidRPr="00E43670">
        <w:t>de sig ha två huvudsakliga problem, nämligen bristen på kapital i form av stöd till FoU och avsaknad av långsiktiga, tydliga regler och villkor för bra</w:t>
      </w:r>
      <w:r w:rsidR="00303CA0" w:rsidRPr="00E43670">
        <w:t>n</w:t>
      </w:r>
      <w:r w:rsidR="00303CA0" w:rsidRPr="00E43670">
        <w:t>schen och för kommersialiseringen av dess produkter. Inom träbranschen har företagen behov av en typ av FoU som de i många avseenden själva inte identifierar. Forskningen inom träområdet är splittrad och utgår i stor u</w:t>
      </w:r>
      <w:r w:rsidR="00303CA0" w:rsidRPr="00E43670">
        <w:t>t</w:t>
      </w:r>
      <w:r w:rsidR="00303CA0" w:rsidRPr="00E43670">
        <w:t>sträckning från ett materialperspektiv. Ett alternativt synsätt, som också kan ligga till grund för en mer integrerad syn på branschen och dess behov, vore att utgå från marknaden och marknadspotentialen. Från detta perspektiv bör forskningen koncentreras till några framtida utvecklingsmarknader. Fors</w:t>
      </w:r>
      <w:r w:rsidR="00303CA0" w:rsidRPr="00E43670">
        <w:t>k</w:t>
      </w:r>
      <w:r w:rsidR="00303CA0" w:rsidRPr="00E43670">
        <w:t xml:space="preserve">ningen bör kopplas samman med ett produktionsnära utvecklingsarbete i samband med viktiga företag inom branschen. Beträffande turistområdet noterades att utvecklingen av nya och bättre s.k. turistprodukter framför allt sker genom samverkan och genom en samlad marknadsföring. Vidare finns behov av en samlad kvalitetsutveckling, där standarder och normer kan vara betydelsefulla, sades det i rapporten. </w:t>
      </w:r>
    </w:p>
    <w:p w:rsidR="00303CA0" w:rsidRPr="00E43670" w:rsidRDefault="00303CA0" w:rsidP="006E6220">
      <w:pPr>
        <w:pStyle w:val="R4"/>
      </w:pPr>
      <w:r w:rsidRPr="00E43670">
        <w:t>Vinnova</w:t>
      </w:r>
    </w:p>
    <w:p w:rsidR="00303CA0" w:rsidRPr="00E43670" w:rsidRDefault="00303CA0" w:rsidP="00303CA0">
      <w:r w:rsidRPr="00E43670">
        <w:t xml:space="preserve">Vinnovas anslag till forskning och utveckling (26:2), som uppgår till </w:t>
      </w:r>
      <w:r w:rsidR="001A2C20" w:rsidRPr="00E43670">
        <w:t xml:space="preserve">      </w:t>
      </w:r>
      <w:r w:rsidRPr="00E43670">
        <w:t xml:space="preserve">1 122 miljoner kronor för år 2005 skall, enligt </w:t>
      </w:r>
      <w:r w:rsidR="00270675" w:rsidRPr="00E43670">
        <w:t>forsknings</w:t>
      </w:r>
      <w:r w:rsidRPr="00E43670">
        <w:t>propositionen, tillf</w:t>
      </w:r>
      <w:r w:rsidRPr="00E43670">
        <w:t>ö</w:t>
      </w:r>
      <w:r w:rsidRPr="00E43670">
        <w:t>ras totalt 575 miljoner kronor under åren 2005–2008, fördelade med 20, 131, 120 och 304 miljoner kronor</w:t>
      </w:r>
      <w:r w:rsidR="00D340DC" w:rsidRPr="00E43670">
        <w:t xml:space="preserve"> </w:t>
      </w:r>
      <w:r w:rsidR="00270675" w:rsidRPr="00E43670">
        <w:t>för respektive år</w:t>
      </w:r>
      <w:r w:rsidRPr="00E43670">
        <w:t xml:space="preserve"> (se tabellerna 1 och 2 i det för</w:t>
      </w:r>
      <w:r w:rsidRPr="00E43670">
        <w:t>e</w:t>
      </w:r>
      <w:r w:rsidRPr="00E43670">
        <w:t>gående). I de här aktuella motionerna görs jämförelser med de satsningar som Vinnovas motsvarighet i Finland gör. I propos</w:t>
      </w:r>
      <w:r w:rsidRPr="00E43670">
        <w:t>i</w:t>
      </w:r>
      <w:r w:rsidRPr="00E43670">
        <w:t xml:space="preserve">tionen </w:t>
      </w:r>
      <w:r w:rsidR="006E6220" w:rsidRPr="00E43670">
        <w:t xml:space="preserve">(s. 143) </w:t>
      </w:r>
      <w:r w:rsidRPr="00E43670">
        <w:t>redovisas hur Finland har organiserat sina insatser för forskning och utvec</w:t>
      </w:r>
      <w:r w:rsidRPr="00E43670">
        <w:t>k</w:t>
      </w:r>
      <w:r w:rsidRPr="00E43670">
        <w:t xml:space="preserve">ling. </w:t>
      </w:r>
    </w:p>
    <w:p w:rsidR="00303CA0" w:rsidRPr="00E43670" w:rsidRDefault="00303CA0" w:rsidP="006E6220">
      <w:pPr>
        <w:pStyle w:val="Normaltindrag"/>
      </w:pPr>
      <w:r w:rsidRPr="00E43670">
        <w:t xml:space="preserve">I en motion sägs att budgettilldelning till Vinnova från andra departement än Utbildningsdepartementet vore önskvärda. </w:t>
      </w:r>
      <w:r w:rsidR="001A2C20" w:rsidRPr="00E43670">
        <w:t xml:space="preserve">Här kan noteras att </w:t>
      </w:r>
      <w:r w:rsidRPr="00E43670">
        <w:t>Vinnovas a</w:t>
      </w:r>
      <w:r w:rsidRPr="00E43670">
        <w:t>n</w:t>
      </w:r>
      <w:r w:rsidRPr="00E43670">
        <w:t>slag tillhör utgiftsområde 24 Näringsliv, men verksamheten ingår som en del av politi</w:t>
      </w:r>
      <w:r w:rsidRPr="00E43670">
        <w:t>k</w:t>
      </w:r>
      <w:r w:rsidRPr="00E43670">
        <w:t>området Forskningspolitik.</w:t>
      </w:r>
    </w:p>
    <w:p w:rsidR="00303CA0" w:rsidRPr="00E43670" w:rsidRDefault="00303CA0" w:rsidP="006E6220">
      <w:pPr>
        <w:pStyle w:val="Normaltindrag"/>
        <w:rPr>
          <w:b/>
          <w:bCs/>
        </w:rPr>
      </w:pPr>
      <w:r w:rsidRPr="00E43670">
        <w:t>Beträffande förslaget i en motion om att småföretag bör ges möjlighet att delta indirekt i Vinnovas kompetenscentrum via t.ex. inkubatorer eller fors</w:t>
      </w:r>
      <w:r w:rsidRPr="00E43670">
        <w:t>k</w:t>
      </w:r>
      <w:r w:rsidR="001A2C20" w:rsidRPr="00E43670">
        <w:t>ningsparker kan nämn</w:t>
      </w:r>
      <w:r w:rsidRPr="00E43670">
        <w:t>as att en tredjedel av de deltagande företagen i komp</w:t>
      </w:r>
      <w:r w:rsidRPr="00E43670">
        <w:t>e</w:t>
      </w:r>
      <w:r w:rsidRPr="00E43670">
        <w:t>tenscentrumprogrammet är små och medelstora (dvs. under 250 anställda). H</w:t>
      </w:r>
      <w:r w:rsidRPr="00E43670">
        <w:t>u</w:t>
      </w:r>
      <w:r w:rsidRPr="00E43670">
        <w:t>vudinriktningen hittills har varit att företagen skall delta direkt och inte via mellanhänder. Utformningen av framtida program pågår för närvarande inom Vinnova.</w:t>
      </w:r>
      <w:r w:rsidRPr="00E43670">
        <w:rPr>
          <w:b/>
          <w:bCs/>
        </w:rPr>
        <w:t xml:space="preserve"> </w:t>
      </w:r>
    </w:p>
    <w:p w:rsidR="00303CA0" w:rsidRPr="00E43670" w:rsidRDefault="00303CA0" w:rsidP="006E6220">
      <w:pPr>
        <w:pStyle w:val="R4"/>
      </w:pPr>
      <w:r w:rsidRPr="00E43670">
        <w:t>Innovationsbron</w:t>
      </w:r>
    </w:p>
    <w:p w:rsidR="00303CA0" w:rsidRPr="00E43670" w:rsidRDefault="00303CA0" w:rsidP="00303CA0">
      <w:r w:rsidRPr="00E43670">
        <w:t>Efter riksdagens beslut hösten 2004 (prop. 2004/05:1 utg.omr. 24, bet. 2004/05:NU1) har staten gemensamt med de sju teknikbrostiftelserna och Stiftelsen Industrifonden bildat en ny koncern för finansiering av kommersi</w:t>
      </w:r>
      <w:r w:rsidRPr="00E43670">
        <w:t>a</w:t>
      </w:r>
      <w:r w:rsidRPr="00E43670">
        <w:t xml:space="preserve">lisering av idéer från både den akademiska forskningen </w:t>
      </w:r>
      <w:r w:rsidRPr="00E43670">
        <w:rPr>
          <w:color w:val="000000"/>
        </w:rPr>
        <w:t>och det kunskapsi</w:t>
      </w:r>
      <w:r w:rsidRPr="00E43670">
        <w:rPr>
          <w:color w:val="000000"/>
        </w:rPr>
        <w:t>n</w:t>
      </w:r>
      <w:r w:rsidRPr="00E43670">
        <w:rPr>
          <w:color w:val="000000"/>
        </w:rPr>
        <w:t>tensiva näringslivet – Innovationsbron AB. Koncernen skall kunna finansiera såddlån m.m. med ca 1,8 miljarder kronor under en tioårsperiod.</w:t>
      </w:r>
    </w:p>
    <w:p w:rsidR="00303CA0" w:rsidRPr="00E43670" w:rsidRDefault="00303CA0" w:rsidP="006E6220">
      <w:pPr>
        <w:pStyle w:val="R2"/>
      </w:pPr>
      <w:r w:rsidRPr="00E43670">
        <w:t>F</w:t>
      </w:r>
      <w:r w:rsidR="006E6220" w:rsidRPr="00E43670">
        <w:t>orskning till stöd för andra politikområden</w:t>
      </w:r>
    </w:p>
    <w:p w:rsidR="00303CA0" w:rsidRPr="00E43670" w:rsidRDefault="00303CA0" w:rsidP="006E6220">
      <w:pPr>
        <w:pStyle w:val="R3"/>
        <w:spacing w:before="110"/>
      </w:pPr>
      <w:r w:rsidRPr="00E43670">
        <w:t>Inledning</w:t>
      </w:r>
    </w:p>
    <w:p w:rsidR="00303CA0" w:rsidRPr="00E43670" w:rsidRDefault="00303CA0" w:rsidP="00303CA0">
      <w:r w:rsidRPr="00E43670">
        <w:t>I propositionens avsnitt 9, med rubrik Forskning till stöd för andra politiko</w:t>
      </w:r>
      <w:r w:rsidRPr="00E43670">
        <w:t>m</w:t>
      </w:r>
      <w:r w:rsidR="001A2C20" w:rsidRPr="00E43670">
        <w:t>råden, redogörs för</w:t>
      </w:r>
      <w:r w:rsidRPr="00E43670">
        <w:t xml:space="preserve"> insatser på </w:t>
      </w:r>
      <w:r w:rsidR="006E6220" w:rsidRPr="00E43670">
        <w:t xml:space="preserve">olika </w:t>
      </w:r>
      <w:r w:rsidRPr="00E43670">
        <w:t xml:space="preserve">områden. I det följande redovisas de delar som har koppling till näringsutskottets beredningsområde och som återfinns i propositionens avsnitt 9.12 </w:t>
      </w:r>
      <w:r w:rsidR="006E6220" w:rsidRPr="00E43670">
        <w:t>om f</w:t>
      </w:r>
      <w:r w:rsidRPr="00E43670">
        <w:t>orskning kring IT, transport, a</w:t>
      </w:r>
      <w:r w:rsidRPr="00E43670">
        <w:t>r</w:t>
      </w:r>
      <w:r w:rsidRPr="00E43670">
        <w:t>betsliv, ene</w:t>
      </w:r>
      <w:r w:rsidRPr="00E43670">
        <w:t>r</w:t>
      </w:r>
      <w:r w:rsidRPr="00E43670">
        <w:t>gi, jämställdhet, turism, m.m.</w:t>
      </w:r>
    </w:p>
    <w:p w:rsidR="00303CA0" w:rsidRPr="00E43670" w:rsidRDefault="00303CA0" w:rsidP="00A73A1E">
      <w:pPr>
        <w:pStyle w:val="R3"/>
      </w:pPr>
      <w:r w:rsidRPr="00E43670">
        <w:t>FoU inom informations- och kommunikationsteknik</w:t>
      </w:r>
    </w:p>
    <w:p w:rsidR="00303CA0" w:rsidRPr="00E43670" w:rsidRDefault="00303CA0" w:rsidP="00303CA0">
      <w:r w:rsidRPr="00E43670">
        <w:t>Vinnova finansierar tillämpad forskning inom området. Under år 2003 förd</w:t>
      </w:r>
      <w:r w:rsidRPr="00E43670">
        <w:t>e</w:t>
      </w:r>
      <w:r w:rsidRPr="00E43670">
        <w:t>lade Vinnova drygt 185 miljoner kronor till FoU inom informations- och kommunikationsteknik och knappt 62 miljoner kronor till FoU inom tjänster och IT-användning. År 2004 tillfördes verket 100 miljoner kronor för stöd till tillämpad industriforskning inom IT/telekommunikationsområdet. Satsningen är inriktad mot nano- och mikroelektronik samt för stöd till utvecklings- och testmiljöer av IT-baserade tjänster och för utveckling av plattformar kopplade till teknik med hög överföringskapacitet. Vetenskapsrådet finansierar grun</w:t>
      </w:r>
      <w:r w:rsidRPr="00E43670">
        <w:t>d</w:t>
      </w:r>
      <w:r w:rsidRPr="00E43670">
        <w:t>läggande IT-forskning och beviljade år 2002 nästan 29 miljoner kronor till ämnesområdet datavetenskap. Dessutom bedriver ett antal industriforskning</w:t>
      </w:r>
      <w:r w:rsidRPr="00E43670">
        <w:t>s</w:t>
      </w:r>
      <w:r w:rsidRPr="00E43670">
        <w:t>institut IT-relaterad forskning. I den tidigare nämnda propositionen 2001/02:2 om FoU och samverkan i innovationssystemet gjorde regeringen bedömnin</w:t>
      </w:r>
      <w:r w:rsidRPr="00E43670">
        <w:t>g</w:t>
      </w:r>
      <w:r w:rsidRPr="00E43670">
        <w:t>en att Vinnova bör ta fram en strategi för området IT-användning och ti</w:t>
      </w:r>
      <w:r w:rsidRPr="00E43670">
        <w:t>l</w:t>
      </w:r>
      <w:r w:rsidRPr="00E43670">
        <w:t>lämpning för att stärka svenskt näringsliv och i regleringsbrevet för budge</w:t>
      </w:r>
      <w:r w:rsidRPr="00E43670">
        <w:t>t</w:t>
      </w:r>
      <w:r w:rsidRPr="00E43670">
        <w:t>året 2002 gavs Vinnova ett sådant uppdrag. Vinnova inlämnade i december 2002 förslag till en nationell strategi för FoU inom området tillämpning av informationsteknik, enligt vilket visionen är att sammanhållna och effektiva FoU-insatser inom tillämpning och användning av IT skall bidra till hållbar tillväxt genom att öka den internationella konkurrenskraften inom näringslivet och inom forskningsinstitut och högskolor samt den offentliga verksamhetens effektivitet. I strategin har prioriterats tre tillväxtområden, nämligen industr</w:t>
      </w:r>
      <w:r w:rsidRPr="00E43670">
        <w:t>i</w:t>
      </w:r>
      <w:r w:rsidRPr="00E43670">
        <w:t>ell IT, IT för privata och offentliga tjänster samt möjliggörande tekniker. Dessa stämmer väl överens med den IT-forskning som lyfts fram inom EU:s ramprogram.</w:t>
      </w:r>
    </w:p>
    <w:p w:rsidR="00303CA0" w:rsidRPr="00E43670" w:rsidRDefault="00A73A1E" w:rsidP="00A73A1E">
      <w:pPr>
        <w:pStyle w:val="R3"/>
      </w:pPr>
      <w:r w:rsidRPr="00E43670">
        <w:t>F</w:t>
      </w:r>
      <w:r w:rsidR="00303CA0" w:rsidRPr="00E43670">
        <w:t>oU inom experimentell teknik och mätteknik</w:t>
      </w:r>
    </w:p>
    <w:p w:rsidR="00303CA0" w:rsidRPr="00E43670" w:rsidRDefault="00303CA0" w:rsidP="00303CA0">
      <w:r w:rsidRPr="00E43670">
        <w:t xml:space="preserve">Vinnova styr sedan budgetåret 2003 inriktningen </w:t>
      </w:r>
      <w:r w:rsidR="00270675" w:rsidRPr="00E43670">
        <w:t xml:space="preserve">av de statliga insatserna </w:t>
      </w:r>
      <w:r w:rsidRPr="00E43670">
        <w:t>på FoU-området experimentell teknik. Det övergripande målet för denna ver</w:t>
      </w:r>
      <w:r w:rsidRPr="00E43670">
        <w:t>k</w:t>
      </w:r>
      <w:r w:rsidRPr="00E43670">
        <w:t>samhet inriktas mot områden som stärker teknisk utveckling, konkurren</w:t>
      </w:r>
      <w:r w:rsidRPr="00E43670">
        <w:t>s</w:t>
      </w:r>
      <w:r w:rsidRPr="00E43670">
        <w:t>kraft/kvalitet, u</w:t>
      </w:r>
      <w:r w:rsidRPr="00E43670">
        <w:t>t</w:t>
      </w:r>
      <w:r w:rsidRPr="00E43670">
        <w:t>veckling av små och medelstora företag, säkerhet, hälsa, energi och hållbar utveckling. Med experimentell teknik menas kunskapen om att systematiskt undersöka och beskriva egenskaper hos material, proce</w:t>
      </w:r>
      <w:r w:rsidRPr="00E43670">
        <w:t>s</w:t>
      </w:r>
      <w:r w:rsidRPr="00E43670">
        <w:t>ser och produkter genom påverkan och genom att studera resultaten av påve</w:t>
      </w:r>
      <w:r w:rsidRPr="00E43670">
        <w:t>r</w:t>
      </w:r>
      <w:r w:rsidR="00FC1D8A" w:rsidRPr="00E43670">
        <w:t>kan. Sveriges Provnings- och F</w:t>
      </w:r>
      <w:r w:rsidRPr="00E43670">
        <w:t>orskningsinstitut AB ansvarar för huvuddelen av den fysik</w:t>
      </w:r>
      <w:r w:rsidRPr="00E43670">
        <w:t>a</w:t>
      </w:r>
      <w:r w:rsidRPr="00E43670">
        <w:t>liska mättekniken, viss kemisk mätteknik och relaterad FoU. Det övergripa</w:t>
      </w:r>
      <w:r w:rsidRPr="00E43670">
        <w:t>n</w:t>
      </w:r>
      <w:r w:rsidRPr="00E43670">
        <w:t>de målet för verksamheten är att upprätthålla en hög standard med normaler av tillräcklig omfattning och relevans.</w:t>
      </w:r>
    </w:p>
    <w:p w:rsidR="00303CA0" w:rsidRPr="00E43670" w:rsidRDefault="00303CA0" w:rsidP="00A73A1E">
      <w:pPr>
        <w:pStyle w:val="R3"/>
      </w:pPr>
      <w:r w:rsidRPr="00E43670">
        <w:t>Skogsforskning och skogsindustriell forskning</w:t>
      </w:r>
    </w:p>
    <w:p w:rsidR="00303CA0" w:rsidRPr="00E43670" w:rsidRDefault="00303CA0" w:rsidP="00303CA0">
      <w:r w:rsidRPr="00E43670">
        <w:t>Grundläggande skogsindustriell forskning bedrivs huvudsakligen vid tekniska universitet och högskolor. Skogsnäringen har dessutom egen forskning och finansierar tillsammans med staten forskning vid branschforskningsinstituten med inriktning mot skogsbruk – Skogsbrukets forskningsinstitut (SkogForsk), institut med inriktning mot träbearbetningsindustri – SP-Trätek, bildat efter sammanslagning av Institutet för träteknisk forskning (Trätek) och Sveriges Provningsinstitut (SP)</w:t>
      </w:r>
      <w:r w:rsidR="00260AB6" w:rsidRPr="00E43670">
        <w:t>,</w:t>
      </w:r>
      <w:r w:rsidRPr="00E43670">
        <w:t xml:space="preserve"> samt institut med inriktning mot pappers- och mass</w:t>
      </w:r>
      <w:r w:rsidRPr="00E43670">
        <w:t>a</w:t>
      </w:r>
      <w:r w:rsidRPr="00E43670">
        <w:t>industrin – STFI-Packforsk, bildat efter sammanslagning av Skogsindustrins tekniska forskningsinstitut (STFI) och Institutet för förpackning och distrib</w:t>
      </w:r>
      <w:r w:rsidRPr="00E43670">
        <w:t>u</w:t>
      </w:r>
      <w:r w:rsidRPr="00E43670">
        <w:t xml:space="preserve">tion (Packforsk). </w:t>
      </w:r>
    </w:p>
    <w:p w:rsidR="00303CA0" w:rsidRPr="00E43670" w:rsidRDefault="00303CA0" w:rsidP="00A73A1E">
      <w:pPr>
        <w:pStyle w:val="R3"/>
      </w:pPr>
      <w:r w:rsidRPr="00E43670">
        <w:t>Geovetenskaplig forskning och utveckling</w:t>
      </w:r>
    </w:p>
    <w:p w:rsidR="00303CA0" w:rsidRPr="00E43670" w:rsidRDefault="00303CA0" w:rsidP="00303CA0">
      <w:r w:rsidRPr="00E43670">
        <w:t>Sveriges geologiska undersökning (SGU) är sektorsorgan för stöd till tillä</w:t>
      </w:r>
      <w:r w:rsidRPr="00E43670">
        <w:t>m</w:t>
      </w:r>
      <w:r w:rsidRPr="00E43670">
        <w:t xml:space="preserve">pad geovetenskaplig forskning och riktad grundforskning. Enligt en nyligen genomförd internationell utvärdering av detta stöd </w:t>
      </w:r>
      <w:r w:rsidR="00260AB6" w:rsidRPr="00E43670">
        <w:t>skulle</w:t>
      </w:r>
      <w:r w:rsidRPr="00E43670">
        <w:t xml:space="preserve"> utan ett sådant stöd flera, för samhället viktiga</w:t>
      </w:r>
      <w:r w:rsidR="00D340DC" w:rsidRPr="00E43670">
        <w:t>,</w:t>
      </w:r>
      <w:r w:rsidR="00D340DC" w:rsidRPr="00E43670">
        <w:rPr>
          <w:color w:val="000000"/>
        </w:rPr>
        <w:t xml:space="preserve"> forskningsområden</w:t>
      </w:r>
      <w:r w:rsidRPr="00E43670">
        <w:rPr>
          <w:color w:val="000000"/>
        </w:rPr>
        <w:t xml:space="preserve"> ha svårt att finna finansi</w:t>
      </w:r>
      <w:r w:rsidRPr="00E43670">
        <w:rPr>
          <w:color w:val="000000"/>
        </w:rPr>
        <w:t>e</w:t>
      </w:r>
      <w:r w:rsidRPr="00E43670">
        <w:rPr>
          <w:color w:val="000000"/>
        </w:rPr>
        <w:t>ring.</w:t>
      </w:r>
      <w:r w:rsidRPr="00E43670">
        <w:t xml:space="preserve"> För att verksamheten inom gruv- och mineralsektorerna fortsättning</w:t>
      </w:r>
      <w:r w:rsidRPr="00E43670">
        <w:t>s</w:t>
      </w:r>
      <w:r w:rsidRPr="00E43670">
        <w:t xml:space="preserve">vis skall ha en god position i den globala konkurrensen och bidra till hållbar utveckling krävs satsningar </w:t>
      </w:r>
      <w:r w:rsidR="00260AB6" w:rsidRPr="00E43670">
        <w:t>på</w:t>
      </w:r>
      <w:r w:rsidRPr="00E43670">
        <w:t xml:space="preserve"> dessa basindustrier genom stöd till långsiktiga utvec</w:t>
      </w:r>
      <w:r w:rsidRPr="00E43670">
        <w:t>k</w:t>
      </w:r>
      <w:r w:rsidRPr="00E43670">
        <w:t>lingsinsatser för forskning, utveckling och utbildning.</w:t>
      </w:r>
    </w:p>
    <w:p w:rsidR="00303CA0" w:rsidRPr="00E43670" w:rsidRDefault="00303CA0" w:rsidP="00A73A1E">
      <w:pPr>
        <w:pStyle w:val="R3"/>
      </w:pPr>
      <w:r w:rsidRPr="00E43670">
        <w:t>Forskning på malm och mineraler</w:t>
      </w:r>
    </w:p>
    <w:p w:rsidR="00303CA0" w:rsidRPr="00E43670" w:rsidRDefault="00303CA0" w:rsidP="00303CA0">
      <w:r w:rsidRPr="00E43670">
        <w:t>För att kunna använda ändliga naturresurser såsom malm och mineral i ett hållbart samhällsperspektiv krävs omfattande forsknings- och utvecklingsa</w:t>
      </w:r>
      <w:r w:rsidRPr="00E43670">
        <w:t>r</w:t>
      </w:r>
      <w:r w:rsidRPr="00E43670">
        <w:t>bete. Finansiering av mineralrelaterad forskning sker genom bl.a. Formas, Vetenskapsrådet och Vinnova. Medel tillförs även från EU.</w:t>
      </w:r>
    </w:p>
    <w:p w:rsidR="00303CA0" w:rsidRPr="00E43670" w:rsidRDefault="00303CA0" w:rsidP="00A73A1E">
      <w:pPr>
        <w:pStyle w:val="R3"/>
      </w:pPr>
      <w:r w:rsidRPr="00E43670">
        <w:t>Energiforskning</w:t>
      </w:r>
    </w:p>
    <w:p w:rsidR="00303CA0" w:rsidRPr="00E43670" w:rsidRDefault="00303CA0" w:rsidP="00A73A1E">
      <w:pPr>
        <w:pStyle w:val="R4"/>
        <w:spacing w:before="125"/>
      </w:pPr>
      <w:r w:rsidRPr="00E43670">
        <w:t xml:space="preserve">Propositionen </w:t>
      </w:r>
    </w:p>
    <w:p w:rsidR="00303CA0" w:rsidRPr="00E43670" w:rsidRDefault="00303CA0" w:rsidP="00303CA0">
      <w:r w:rsidRPr="00E43670">
        <w:t>Genom 1997 års energipolitiska beslut tillskapades ett långsiktigt program för utveckling av teknik för framtidens energisystem, i vilket ingick en satsning under åren 1998–2004 på forskning, utveckling och demonstration. I betä</w:t>
      </w:r>
      <w:r w:rsidRPr="00E43670">
        <w:t>n</w:t>
      </w:r>
      <w:r w:rsidRPr="00E43670">
        <w:t xml:space="preserve">kandet EFUD – </w:t>
      </w:r>
      <w:r w:rsidRPr="00E43670">
        <w:rPr>
          <w:i/>
        </w:rPr>
        <w:t>en</w:t>
      </w:r>
      <w:r w:rsidRPr="00E43670">
        <w:t xml:space="preserve"> del i omställningen i energisystemet (SOU 2003:80) u</w:t>
      </w:r>
      <w:r w:rsidRPr="00E43670">
        <w:t>t</w:t>
      </w:r>
      <w:r w:rsidRPr="00E43670">
        <w:t>värderades verksamheten inom 1997 års långsiktiga energipolitiska program och förslag till riktlinjer för fortsatta insatser kring forskning, utveckling och demonstration på energiområdet presenterades. Sådana insatser är</w:t>
      </w:r>
      <w:r w:rsidR="00640E3C" w:rsidRPr="00E43670">
        <w:t>,</w:t>
      </w:r>
      <w:r w:rsidRPr="00E43670">
        <w:t xml:space="preserve"> enligt regeringens bedömning</w:t>
      </w:r>
      <w:r w:rsidR="00640E3C" w:rsidRPr="00E43670">
        <w:t>,</w:t>
      </w:r>
      <w:r w:rsidRPr="00E43670">
        <w:t xml:space="preserve"> en nödvändig men inte tillräcklig förutsättning för att möjliggöra en långsiktig omställning av energisystemet. Riksdagen har, på regeringens förslag i budgetpropositionen för år 2005 </w:t>
      </w:r>
      <w:r w:rsidR="00A73A1E" w:rsidRPr="00E43670">
        <w:t>(prop. 2004/05:1, bet. 2004/05:</w:t>
      </w:r>
      <w:r w:rsidRPr="00E43670">
        <w:t>NU3), beslutat om ett nytt långsiktigt program, inriktat mot fors</w:t>
      </w:r>
      <w:r w:rsidRPr="00E43670">
        <w:t>k</w:t>
      </w:r>
      <w:r w:rsidRPr="00E43670">
        <w:t>ning, utveckling och demonstration för utveckling av teknik och processer för omställningen till ett hållbart energisystem. Regeringen har i budgetpropos</w:t>
      </w:r>
      <w:r w:rsidRPr="00E43670">
        <w:t>i</w:t>
      </w:r>
      <w:r w:rsidRPr="00E43670">
        <w:t>tionen för år 2005 beräknat resursbehovet till 440 miljoner kronor per år, eller totalt 3 080 miljoner kronor för en sjuårsperiod med början den 1 januari 2005, vilket innebär en väsentlig minskning av resurserna jämfört med inn</w:t>
      </w:r>
      <w:r w:rsidRPr="00E43670">
        <w:t>e</w:t>
      </w:r>
      <w:r w:rsidRPr="00E43670">
        <w:t>varande programperiod. Regeringen avser återkomma om den närmare u</w:t>
      </w:r>
      <w:r w:rsidRPr="00E43670">
        <w:t>t</w:t>
      </w:r>
      <w:r w:rsidRPr="00E43670">
        <w:t>formningen av de fortsatta, långsiktiga insatserna under perioden 2005–2011. Statens energimyndighet har i regleringsbreven för åren 2004 och 2005 getts i uppdrag att lämna förslag om hur insatserna för forskning, utveckling, d</w:t>
      </w:r>
      <w:r w:rsidRPr="00E43670">
        <w:t>e</w:t>
      </w:r>
      <w:r w:rsidRPr="00E43670">
        <w:t xml:space="preserve">monstrationsverksamhet och kommersialisering av teknik för </w:t>
      </w:r>
      <w:r w:rsidRPr="00E43670">
        <w:rPr>
          <w:color w:val="000000"/>
        </w:rPr>
        <w:t>framtidens energisystem kan fokuseras.</w:t>
      </w:r>
    </w:p>
    <w:p w:rsidR="00303CA0" w:rsidRPr="00E43670" w:rsidRDefault="00303CA0" w:rsidP="00A73A1E">
      <w:pPr>
        <w:pStyle w:val="R4"/>
      </w:pPr>
      <w:r w:rsidRPr="00E43670">
        <w:t>Vissa kompletterande uppgifter</w:t>
      </w:r>
    </w:p>
    <w:p w:rsidR="00303CA0" w:rsidRPr="00E43670" w:rsidRDefault="00303CA0" w:rsidP="00303CA0">
      <w:r w:rsidRPr="00E43670">
        <w:t>I tilläggsbudget för år 2005 i den ekonomiska vårpropositionen (prop. 2004/05:100), som nyligen avlämnats, föreslås att tidigare lämnade bemynd</w:t>
      </w:r>
      <w:r w:rsidRPr="00E43670">
        <w:t>i</w:t>
      </w:r>
      <w:r w:rsidRPr="00E43670">
        <w:t>ganden avseende anslaget Energiforskning (35:5) skall ökas med 100 milj</w:t>
      </w:r>
      <w:r w:rsidRPr="00E43670">
        <w:t>o</w:t>
      </w:r>
      <w:r w:rsidRPr="00E43670">
        <w:t xml:space="preserve">ner kronor – från 446 till 546 miljoner kronor – under år 2006 respektive under perioden 2007–2009. </w:t>
      </w:r>
    </w:p>
    <w:p w:rsidR="00303CA0" w:rsidRPr="00E43670" w:rsidRDefault="00303CA0" w:rsidP="00A73A1E">
      <w:pPr>
        <w:pStyle w:val="R3"/>
      </w:pPr>
      <w:r w:rsidRPr="00E43670">
        <w:t>Miljödriven teknikutveckling</w:t>
      </w:r>
    </w:p>
    <w:p w:rsidR="00303CA0" w:rsidRPr="00E43670" w:rsidRDefault="00303CA0" w:rsidP="00303CA0">
      <w:r w:rsidRPr="00E43670">
        <w:t>Under rubriken Miljödriven teknikutveckling redovisas en del av den text som tidigare i propositionen redovisats i avsnittet (8.3.3) om FoU-program i samverkan med näringslivet under rubriken Samarbetsprogram inom milj</w:t>
      </w:r>
      <w:r w:rsidRPr="00E43670">
        <w:t>ö</w:t>
      </w:r>
      <w:r w:rsidRPr="00E43670">
        <w:t>teknikområdet (prop. s. 158–160). Denna del av propositionen har återgetts i avsnitt</w:t>
      </w:r>
      <w:r w:rsidR="00A73A1E" w:rsidRPr="00E43670">
        <w:t>et om FoU-program i samverkan med näringslivet</w:t>
      </w:r>
      <w:r w:rsidRPr="00E43670">
        <w:t xml:space="preserve"> i det föregåe</w:t>
      </w:r>
      <w:r w:rsidRPr="00E43670">
        <w:t>n</w:t>
      </w:r>
      <w:r w:rsidRPr="00E43670">
        <w:t>de.</w:t>
      </w:r>
    </w:p>
    <w:p w:rsidR="00303CA0" w:rsidRPr="00E43670" w:rsidRDefault="00303CA0" w:rsidP="00A73A1E">
      <w:pPr>
        <w:pStyle w:val="R3"/>
      </w:pPr>
      <w:r w:rsidRPr="00E43670">
        <w:t>Konkurrensforskning</w:t>
      </w:r>
    </w:p>
    <w:p w:rsidR="00303CA0" w:rsidRPr="00E43670" w:rsidRDefault="00303CA0" w:rsidP="00303CA0">
      <w:pPr>
        <w:rPr>
          <w:color w:val="000000"/>
        </w:rPr>
      </w:pPr>
      <w:r w:rsidRPr="00E43670">
        <w:t xml:space="preserve">Konkurrensforskning avser insatser inom främst de ekonomiska och juridiska vetenskaperna och har som syfte att bl.a. ge kunskap om olika marknaders funktionssätt av betydelse från ett konsumentperspektiv samt </w:t>
      </w:r>
      <w:r w:rsidR="00260AB6" w:rsidRPr="00E43670">
        <w:t xml:space="preserve">om </w:t>
      </w:r>
      <w:r w:rsidRPr="00E43670">
        <w:t>hur offentl</w:t>
      </w:r>
      <w:r w:rsidRPr="00E43670">
        <w:t>i</w:t>
      </w:r>
      <w:r w:rsidRPr="00E43670">
        <w:t xml:space="preserve">ga regleringar påverkar olika marknader. </w:t>
      </w:r>
    </w:p>
    <w:p w:rsidR="00303CA0" w:rsidRPr="00E43670" w:rsidRDefault="00303CA0" w:rsidP="00A73A1E">
      <w:pPr>
        <w:pStyle w:val="R3"/>
      </w:pPr>
      <w:r w:rsidRPr="00E43670">
        <w:t>Entreprenörskapsforskning</w:t>
      </w:r>
    </w:p>
    <w:p w:rsidR="00303CA0" w:rsidRPr="00E43670" w:rsidRDefault="00303CA0" w:rsidP="00303CA0">
      <w:r w:rsidRPr="00E43670">
        <w:t>Forskningen kring entreprenörskap i Sverige har utvecklats snabbt under senare</w:t>
      </w:r>
      <w:r w:rsidRPr="00E43670">
        <w:rPr>
          <w:color w:val="000000"/>
        </w:rPr>
        <w:t xml:space="preserve"> år</w:t>
      </w:r>
      <w:r w:rsidRPr="00E43670">
        <w:t xml:space="preserve"> och inneburit att det finns svenska forskningsmiljöer av internati</w:t>
      </w:r>
      <w:r w:rsidRPr="00E43670">
        <w:t>o</w:t>
      </w:r>
      <w:r w:rsidRPr="00E43670">
        <w:t>nell betydelse. Till områden som bör utvecklas hör forskning om entrepr</w:t>
      </w:r>
      <w:r w:rsidRPr="00E43670">
        <w:t>e</w:t>
      </w:r>
      <w:r w:rsidRPr="00E43670">
        <w:t>nörskap, småföretag, innovationer och tillväxt. Inom området bör sådan forskning prioriteras som belyser kopplingar mellan entreprenörskap och innovationer eller mellan småföretag och tillväxtperspektiv.</w:t>
      </w:r>
    </w:p>
    <w:p w:rsidR="00303CA0" w:rsidRPr="00E43670" w:rsidRDefault="00303CA0" w:rsidP="00A73A1E">
      <w:pPr>
        <w:pStyle w:val="R3"/>
      </w:pPr>
      <w:r w:rsidRPr="00E43670">
        <w:t>Forskning om regional utveckling, sektorssamordning och sektorssamve</w:t>
      </w:r>
      <w:r w:rsidRPr="00E43670">
        <w:t>r</w:t>
      </w:r>
      <w:r w:rsidRPr="00E43670">
        <w:t>kan</w:t>
      </w:r>
    </w:p>
    <w:p w:rsidR="00303CA0" w:rsidRPr="00E43670" w:rsidRDefault="00303CA0" w:rsidP="00303CA0">
      <w:r w:rsidRPr="00E43670">
        <w:t>Regeringen avser att uppdra åt ett antal myndigheter med särskilt ansvar inom regional utvecklingspolitik att ta fram en samlad och systematiserad ku</w:t>
      </w:r>
      <w:r w:rsidRPr="00E43670">
        <w:t>n</w:t>
      </w:r>
      <w:r w:rsidRPr="00E43670">
        <w:t>skapsbild kring utvärderingsmodeller, grundade på systemtänkande.</w:t>
      </w:r>
    </w:p>
    <w:p w:rsidR="00303CA0" w:rsidRPr="00E43670" w:rsidRDefault="00303CA0" w:rsidP="00A73A1E">
      <w:pPr>
        <w:pStyle w:val="R3"/>
      </w:pPr>
      <w:r w:rsidRPr="00E43670">
        <w:t>Turismforskning</w:t>
      </w:r>
    </w:p>
    <w:p w:rsidR="00303CA0" w:rsidRPr="00E43670" w:rsidRDefault="00303CA0" w:rsidP="00303CA0">
      <w:pPr>
        <w:rPr>
          <w:color w:val="000000"/>
        </w:rPr>
      </w:pPr>
      <w:r w:rsidRPr="00E43670">
        <w:t>En forskningsprioritering kan stödja utveckling och spridning av kunskap om turism och bidra till utveckling av den svenska turistnäringen som tillväxtfa</w:t>
      </w:r>
      <w:r w:rsidRPr="00E43670">
        <w:t>k</w:t>
      </w:r>
      <w:r w:rsidRPr="00E43670">
        <w:t xml:space="preserve">tor, nationellt, regionalt och lokalt. En bra turismforskning med disputerade och kvalificerade forskare har en </w:t>
      </w:r>
      <w:r w:rsidRPr="00E43670">
        <w:rPr>
          <w:color w:val="000000"/>
        </w:rPr>
        <w:t>central roll för utvecklingen av turistnärin</w:t>
      </w:r>
      <w:r w:rsidRPr="00E43670">
        <w:rPr>
          <w:color w:val="000000"/>
        </w:rPr>
        <w:t>g</w:t>
      </w:r>
      <w:r w:rsidRPr="00E43670">
        <w:rPr>
          <w:color w:val="000000"/>
        </w:rPr>
        <w:t>en.</w:t>
      </w:r>
    </w:p>
    <w:p w:rsidR="00C1018C" w:rsidRPr="00E43670" w:rsidRDefault="00C1018C" w:rsidP="00C1018C">
      <w:pPr>
        <w:pStyle w:val="R2"/>
      </w:pPr>
      <w:r w:rsidRPr="00E43670">
        <w:t>Näringsutskottets ställningstagande</w:t>
      </w:r>
    </w:p>
    <w:p w:rsidR="007B56E5" w:rsidRPr="00E43670" w:rsidRDefault="007B56E5" w:rsidP="007B56E5">
      <w:r w:rsidRPr="00E43670">
        <w:t>En ökad ekonomisk aktivitet genom fler och växande företag är grundlägga</w:t>
      </w:r>
      <w:r w:rsidRPr="00E43670">
        <w:t>n</w:t>
      </w:r>
      <w:r w:rsidRPr="00E43670">
        <w:t>de för att främja tillväxten. Denna är i sin tur en förutsättning för att arbetstil</w:t>
      </w:r>
      <w:r w:rsidRPr="00E43670">
        <w:t>l</w:t>
      </w:r>
      <w:r w:rsidRPr="00E43670">
        <w:t>fällen, välfärd och jämställdhet skall kunna värnas och utvecklas. Det är vi</w:t>
      </w:r>
      <w:r w:rsidRPr="00E43670">
        <w:t>k</w:t>
      </w:r>
      <w:r w:rsidRPr="00E43670">
        <w:t>tigt att understryka att tillväxten skall vara ekon</w:t>
      </w:r>
      <w:r w:rsidRPr="00E43670">
        <w:t>o</w:t>
      </w:r>
      <w:r w:rsidRPr="00E43670">
        <w:t>miskt, ekologiskt och socialt hållbar. Ökat företagande är alltså av stor betydelse för den svenska tillvä</w:t>
      </w:r>
      <w:r w:rsidRPr="00E43670">
        <w:t>x</w:t>
      </w:r>
      <w:r w:rsidRPr="00E43670">
        <w:t>ten och sysselsättningen. Regeringen arbetar, i samarbete med Vänsterpartiet och Miljöpartiet, med att utveckla gynnsamma förutsättningar för företagandet, både för att öka nyföretagandet och för att få redan etablerade företag att växa. Ett långsiktigt tillväxtarbete kräver ökad samverkan mellan många aktörer. Sv</w:t>
      </w:r>
      <w:r w:rsidRPr="00E43670">
        <w:t>e</w:t>
      </w:r>
      <w:r w:rsidRPr="00E43670">
        <w:t xml:space="preserve">riges förmåga att skapa kunskap och omsätta den till en hållbar tillväxt och nya jobb behöver </w:t>
      </w:r>
      <w:r w:rsidR="002A7609" w:rsidRPr="00E43670">
        <w:t>förbättras</w:t>
      </w:r>
      <w:r w:rsidRPr="00E43670">
        <w:t xml:space="preserve"> och för detta krävs det insatser på olika områden. Kunskapsbasen i akademi och näringsliv b</w:t>
      </w:r>
      <w:r w:rsidRPr="00E43670">
        <w:t>e</w:t>
      </w:r>
      <w:r w:rsidRPr="00E43670">
        <w:t xml:space="preserve">höver </w:t>
      </w:r>
      <w:r w:rsidR="002A7609" w:rsidRPr="00E43670">
        <w:t>vidgas</w:t>
      </w:r>
      <w:r w:rsidRPr="00E43670">
        <w:t xml:space="preserve"> för att bl.a. utveckla svenska profilområden. Innovationsförmågan i näring</w:t>
      </w:r>
      <w:r w:rsidRPr="00E43670">
        <w:t>s</w:t>
      </w:r>
      <w:r w:rsidRPr="00E43670">
        <w:t>livet behöver stärkas, både i befintliga företag och genom att det skapas goda vil</w:t>
      </w:r>
      <w:r w:rsidRPr="00E43670">
        <w:t>l</w:t>
      </w:r>
      <w:r w:rsidRPr="00E43670">
        <w:t>kor för kunskapsinte</w:t>
      </w:r>
      <w:r w:rsidRPr="00E43670">
        <w:t>n</w:t>
      </w:r>
      <w:r w:rsidRPr="00E43670">
        <w:t>sivt entreprenörskap bl.a. genom snabbare flöden från idé till marknad.</w:t>
      </w:r>
    </w:p>
    <w:p w:rsidR="005D647B" w:rsidRPr="00E43670" w:rsidRDefault="005D647B" w:rsidP="005D647B">
      <w:pPr>
        <w:pStyle w:val="Normaltindrag"/>
      </w:pPr>
      <w:r w:rsidRPr="00E43670">
        <w:t xml:space="preserve">Den inriktning av forskningspolitiken som </w:t>
      </w:r>
      <w:r w:rsidR="00530497" w:rsidRPr="00E43670">
        <w:t>presentera</w:t>
      </w:r>
      <w:r w:rsidRPr="00E43670">
        <w:t>s</w:t>
      </w:r>
      <w:r w:rsidR="00530497" w:rsidRPr="00E43670">
        <w:t xml:space="preserve"> </w:t>
      </w:r>
      <w:r w:rsidRPr="00E43670">
        <w:t>i den forskningsp</w:t>
      </w:r>
      <w:r w:rsidRPr="00E43670">
        <w:t>o</w:t>
      </w:r>
      <w:r w:rsidRPr="00E43670">
        <w:t>litiska propositionen och som bygger på en överenskommelse mellan Socia</w:t>
      </w:r>
      <w:r w:rsidRPr="00E43670">
        <w:t>l</w:t>
      </w:r>
      <w:r w:rsidRPr="00E43670">
        <w:t>demokraterna, Vänsterpartiet och Miljöpartiet ligger helt i linje med de b</w:t>
      </w:r>
      <w:r w:rsidRPr="00E43670">
        <w:t>e</w:t>
      </w:r>
      <w:r w:rsidRPr="00E43670">
        <w:t>dömningar som näringsutskottet gör. Forskningspolitiken har blivit en allt viktig</w:t>
      </w:r>
      <w:r w:rsidRPr="00E43670">
        <w:t>a</w:t>
      </w:r>
      <w:r w:rsidRPr="00E43670">
        <w:t>re del i en politik för ökad välfärd, hållbar ekonomisk tillväxt och teknisk utveckling. Såväl nya kunskapsintensiva branscher som traditionella industr</w:t>
      </w:r>
      <w:r w:rsidRPr="00E43670">
        <w:t>i</w:t>
      </w:r>
      <w:r w:rsidRPr="00E43670">
        <w:t>branscher och offentlig sektor behöver tillgång till ny kunskap för att utveckla och förnya sin verksamhet. Den svenska industrins konkurrenskraft avgörs i ökande utsträckning av dess höga kunskapsinnehåll. Företagen söker sig till de länder som har de bästa förutsättningarna</w:t>
      </w:r>
      <w:r w:rsidR="00530497" w:rsidRPr="00E43670">
        <w:t>,</w:t>
      </w:r>
      <w:r w:rsidRPr="00E43670">
        <w:t xml:space="preserve"> och tillgång till högkla</w:t>
      </w:r>
      <w:r w:rsidRPr="00E43670">
        <w:t>s</w:t>
      </w:r>
      <w:r w:rsidRPr="00E43670">
        <w:t>sig forskning och högutbildad arbetskraft kan vara en avgörande faktor vid för</w:t>
      </w:r>
      <w:r w:rsidRPr="00E43670">
        <w:t>e</w:t>
      </w:r>
      <w:r w:rsidRPr="00E43670">
        <w:t>tagens val av lokalisering. Sverige skall vara en ledande kunskaps- och forskningsnation där forskning bedrivs med hög vetenskaplig kvalitet. Sver</w:t>
      </w:r>
      <w:r w:rsidRPr="00E43670">
        <w:t>i</w:t>
      </w:r>
      <w:r w:rsidRPr="00E43670">
        <w:t xml:space="preserve">ge skall vara ett av världens mest FoU-intensiva länder, vilket kräver fortsatt stora insatser av både staten och näringslivet. </w:t>
      </w:r>
    </w:p>
    <w:p w:rsidR="005D647B" w:rsidRPr="00E43670" w:rsidRDefault="00BD1797" w:rsidP="005D647B">
      <w:pPr>
        <w:pStyle w:val="Normaltindrag"/>
      </w:pPr>
      <w:r w:rsidRPr="00E43670">
        <w:t>Näringsutskottet vill här lyfta fram en rapport från Ingenjörsvetenskap</w:t>
      </w:r>
      <w:r w:rsidRPr="00E43670">
        <w:t>s</w:t>
      </w:r>
      <w:r w:rsidRPr="00E43670">
        <w:t>akademien</w:t>
      </w:r>
      <w:r w:rsidR="00530497" w:rsidRPr="00E43670">
        <w:t xml:space="preserve"> (IVA)</w:t>
      </w:r>
      <w:r w:rsidRPr="00E43670">
        <w:t>, Produktion för konkurrenskraft, som nyligen presenterats</w:t>
      </w:r>
      <w:r w:rsidR="0093733A" w:rsidRPr="00E43670">
        <w:t xml:space="preserve"> och där synsättet </w:t>
      </w:r>
      <w:r w:rsidR="00E6318C" w:rsidRPr="00E43670">
        <w:t xml:space="preserve">i </w:t>
      </w:r>
      <w:r w:rsidR="00CE4356" w:rsidRPr="00E43670">
        <w:t>fler</w:t>
      </w:r>
      <w:r w:rsidR="00E6318C" w:rsidRPr="00E43670">
        <w:t>a</w:t>
      </w:r>
      <w:r w:rsidR="0093733A" w:rsidRPr="00E43670">
        <w:t xml:space="preserve"> delar sammanfaller med propositionens</w:t>
      </w:r>
      <w:r w:rsidRPr="00E43670">
        <w:t xml:space="preserve">. </w:t>
      </w:r>
      <w:r w:rsidR="009A569B" w:rsidRPr="00E43670">
        <w:t>Bakom pr</w:t>
      </w:r>
      <w:r w:rsidR="009A569B" w:rsidRPr="00E43670">
        <w:t>o</w:t>
      </w:r>
      <w:r w:rsidR="009A569B" w:rsidRPr="00E43670">
        <w:t>jektet står IVA, Teknikföretagen, Metallindustriar</w:t>
      </w:r>
      <w:r w:rsidR="009A4D92" w:rsidRPr="00E43670">
        <w:t>betare</w:t>
      </w:r>
      <w:r w:rsidR="009A569B" w:rsidRPr="00E43670">
        <w:t>förbundet, Vinn</w:t>
      </w:r>
      <w:r w:rsidR="009A569B" w:rsidRPr="00E43670">
        <w:t>o</w:t>
      </w:r>
      <w:r w:rsidR="009A569B" w:rsidRPr="00E43670">
        <w:t>va, KK-stiftelsen och Stifte</w:t>
      </w:r>
      <w:r w:rsidR="009A569B" w:rsidRPr="00E43670">
        <w:t>l</w:t>
      </w:r>
      <w:r w:rsidR="009A569B" w:rsidRPr="00E43670">
        <w:t>sen för strategisk forskning. Bland åtgärder som föreslås kan följande nämnas:</w:t>
      </w:r>
      <w:r w:rsidR="00057472" w:rsidRPr="00E43670">
        <w:t xml:space="preserve"> forskningsfinansiärerna och staten bör utöka det lån</w:t>
      </w:r>
      <w:r w:rsidR="00057472" w:rsidRPr="00E43670">
        <w:t>g</w:t>
      </w:r>
      <w:r w:rsidR="00057472" w:rsidRPr="00E43670">
        <w:t>siktiga stödet till industrinära forskning inom pr</w:t>
      </w:r>
      <w:r w:rsidR="0093733A" w:rsidRPr="00E43670">
        <w:t>oduktframtagning;</w:t>
      </w:r>
      <w:r w:rsidR="00057472" w:rsidRPr="00E43670">
        <w:t xml:space="preserve"> </w:t>
      </w:r>
      <w:r w:rsidR="0093733A" w:rsidRPr="00E43670">
        <w:t>universitetens/högskolornas och institutens forskningsresurser inom produ</w:t>
      </w:r>
      <w:r w:rsidR="0093733A" w:rsidRPr="00E43670">
        <w:t>k</w:t>
      </w:r>
      <w:r w:rsidR="0093733A" w:rsidRPr="00E43670">
        <w:t>tionsomr</w:t>
      </w:r>
      <w:r w:rsidR="0093733A" w:rsidRPr="00E43670">
        <w:t>å</w:t>
      </w:r>
      <w:r w:rsidR="0093733A" w:rsidRPr="00E43670">
        <w:t>det bör samlas i ett nätverk och samordnas av en grupp bestående av företrädare för näringsliv, staten, universitet/högskolor och fina</w:t>
      </w:r>
      <w:r w:rsidR="0093733A" w:rsidRPr="00E43670">
        <w:t>n</w:t>
      </w:r>
      <w:r w:rsidR="0093733A" w:rsidRPr="00E43670">
        <w:t>siärer; staten bör stödja små och mede</w:t>
      </w:r>
      <w:r w:rsidR="0093733A" w:rsidRPr="00E43670">
        <w:t>l</w:t>
      </w:r>
      <w:r w:rsidR="0093733A" w:rsidRPr="00E43670">
        <w:t xml:space="preserve">stora företag att utveckla sin kunskap och </w:t>
      </w:r>
      <w:r w:rsidR="00530497" w:rsidRPr="00E43670">
        <w:t xml:space="preserve">sitt </w:t>
      </w:r>
      <w:r w:rsidR="0093733A" w:rsidRPr="00E43670">
        <w:t>ledarskap inom FoU och produktion</w:t>
      </w:r>
      <w:r w:rsidR="00530497" w:rsidRPr="00E43670">
        <w:t>,</w:t>
      </w:r>
      <w:r w:rsidR="0093733A" w:rsidRPr="00E43670">
        <w:t xml:space="preserve"> så att de därigenom stärker sin konku</w:t>
      </w:r>
      <w:r w:rsidR="0093733A" w:rsidRPr="00E43670">
        <w:t>r</w:t>
      </w:r>
      <w:r w:rsidR="0093733A" w:rsidRPr="00E43670">
        <w:t>renskraft.</w:t>
      </w:r>
      <w:r w:rsidR="00E6318C" w:rsidRPr="00E43670">
        <w:t xml:space="preserve"> I rapporten poängteras att insatser för att utveckla Sveriges konku</w:t>
      </w:r>
      <w:r w:rsidR="00E6318C" w:rsidRPr="00E43670">
        <w:t>r</w:t>
      </w:r>
      <w:r w:rsidR="00E6318C" w:rsidRPr="00E43670">
        <w:t>renskraft på produktionsområdet bör ske i samverkan mellan staten, näring</w:t>
      </w:r>
      <w:r w:rsidR="00E6318C" w:rsidRPr="00E43670">
        <w:t>s</w:t>
      </w:r>
      <w:r w:rsidR="00E6318C" w:rsidRPr="00E43670">
        <w:t>livet samt universiteten och högskolorna. Enligt näringsutskottets mening är det viktigt att krav ställs på alla de tre kategorierna och att de tar ett geme</w:t>
      </w:r>
      <w:r w:rsidR="00E6318C" w:rsidRPr="00E43670">
        <w:t>n</w:t>
      </w:r>
      <w:r w:rsidR="00E6318C" w:rsidRPr="00E43670">
        <w:t xml:space="preserve">samt ansvar. </w:t>
      </w:r>
    </w:p>
    <w:p w:rsidR="0093733A" w:rsidRPr="00E43670" w:rsidRDefault="003D6B43" w:rsidP="005D647B">
      <w:pPr>
        <w:pStyle w:val="Normaltindrag"/>
      </w:pPr>
      <w:r w:rsidRPr="00E43670">
        <w:t xml:space="preserve">Näringsutskottet står således bakom det som sägs i propositionen om den allmänna inriktningen av forskningspolitiken. Den kritik som i detta avseende riktas mot propositionen i motion 2004/05:Ub11 (fp, m, kd, c) </w:t>
      </w:r>
      <w:r w:rsidR="003B4B03" w:rsidRPr="00E43670">
        <w:t>finner näring</w:t>
      </w:r>
      <w:r w:rsidR="003B4B03" w:rsidRPr="00E43670">
        <w:t>s</w:t>
      </w:r>
      <w:r w:rsidR="003B4B03" w:rsidRPr="00E43670">
        <w:t>u</w:t>
      </w:r>
      <w:r w:rsidRPr="00E43670">
        <w:t>tskottet</w:t>
      </w:r>
      <w:r w:rsidR="003B4B03" w:rsidRPr="00E43670">
        <w:t xml:space="preserve"> missriktad</w:t>
      </w:r>
      <w:r w:rsidRPr="00E43670">
        <w:t xml:space="preserve">. I motionen sägs </w:t>
      </w:r>
      <w:r w:rsidR="002A7609" w:rsidRPr="00E43670">
        <w:t>felaktigt</w:t>
      </w:r>
      <w:r w:rsidRPr="00E43670">
        <w:t xml:space="preserve"> att propositionen inte innehå</w:t>
      </w:r>
      <w:r w:rsidRPr="00E43670">
        <w:t>l</w:t>
      </w:r>
      <w:r w:rsidRPr="00E43670">
        <w:t>ler någon sy</w:t>
      </w:r>
      <w:r w:rsidRPr="00E43670">
        <w:t>s</w:t>
      </w:r>
      <w:r w:rsidRPr="00E43670">
        <w:t>tematisk genomgång av principer och mål vad avser statens roll i fråga om fors</w:t>
      </w:r>
      <w:r w:rsidRPr="00E43670">
        <w:t>k</w:t>
      </w:r>
      <w:r w:rsidR="002A7609" w:rsidRPr="00E43670">
        <w:t>ning och utvecklingsarbete;</w:t>
      </w:r>
      <w:r w:rsidRPr="00E43670">
        <w:t xml:space="preserve"> propositionen </w:t>
      </w:r>
      <w:r w:rsidR="002A7609" w:rsidRPr="00E43670">
        <w:t xml:space="preserve">innehåller </w:t>
      </w:r>
      <w:r w:rsidRPr="00E43670">
        <w:t>bl.a.</w:t>
      </w:r>
      <w:r w:rsidR="003B4B03" w:rsidRPr="00E43670">
        <w:t xml:space="preserve"> just detta</w:t>
      </w:r>
      <w:r w:rsidRPr="00E43670">
        <w:t xml:space="preserve">. Inte heller </w:t>
      </w:r>
      <w:r w:rsidR="00931687" w:rsidRPr="00E43670">
        <w:t>kan näringsutskottet finna att beslutsunderlaget i propositi</w:t>
      </w:r>
      <w:r w:rsidR="00931687" w:rsidRPr="00E43670">
        <w:t>o</w:t>
      </w:r>
      <w:r w:rsidR="00931687" w:rsidRPr="00E43670">
        <w:t>nen skulle vara otillräc</w:t>
      </w:r>
      <w:r w:rsidR="00931687" w:rsidRPr="00E43670">
        <w:t>k</w:t>
      </w:r>
      <w:r w:rsidR="00931687" w:rsidRPr="00E43670">
        <w:t>ligt.</w:t>
      </w:r>
    </w:p>
    <w:p w:rsidR="00931687" w:rsidRPr="00E43670" w:rsidRDefault="00931687" w:rsidP="005D647B">
      <w:pPr>
        <w:pStyle w:val="Normaltindrag"/>
      </w:pPr>
      <w:r w:rsidRPr="00E43670">
        <w:t>I det följande komment</w:t>
      </w:r>
      <w:r w:rsidR="00206A33" w:rsidRPr="00E43670">
        <w:t>erar näringsutskottet viss</w:t>
      </w:r>
      <w:r w:rsidRPr="00E43670">
        <w:t>a områden som behan</w:t>
      </w:r>
      <w:r w:rsidRPr="00E43670">
        <w:t>d</w:t>
      </w:r>
      <w:r w:rsidRPr="00E43670">
        <w:t>las i propositionen och som rör näringsutskottets ansvarsområde. Ett av de prior</w:t>
      </w:r>
      <w:r w:rsidRPr="00E43670">
        <w:t>i</w:t>
      </w:r>
      <w:r w:rsidRPr="00E43670">
        <w:t>terade områdena är, som tidigare nämnts, teknisk forskning</w:t>
      </w:r>
      <w:r w:rsidR="00661564" w:rsidRPr="00E43670">
        <w:t>. På detta område förordas i propositionen ytterligare 350 miljoner kronor under åren 2005–2008, varav 180 miljoner kronor till Vinnova och 10 miljoner kronor till Rymdstyrelsen</w:t>
      </w:r>
      <w:r w:rsidR="00206A33" w:rsidRPr="00E43670">
        <w:t xml:space="preserve">. Den tekniska forskningen är av avgörande betydelse för den högteknologiska delen av det svenska näringslivet. Detta framkommer </w:t>
      </w:r>
      <w:r w:rsidR="003B4B03" w:rsidRPr="00E43670">
        <w:t xml:space="preserve">t.ex. </w:t>
      </w:r>
      <w:r w:rsidR="00206A33" w:rsidRPr="00E43670">
        <w:t>i den nyssnämnda rapporten från IVA om produktion för konkurrenskraft. Näring</w:t>
      </w:r>
      <w:r w:rsidR="00206A33" w:rsidRPr="00E43670">
        <w:t>s</w:t>
      </w:r>
      <w:r w:rsidR="00206A33" w:rsidRPr="00E43670">
        <w:t xml:space="preserve">utskottet stöder till fullo de satsningar som aviseras i propositionen. Det är också tillfredsställande att Rymdstyrelsen skall tillföras ökade medel. </w:t>
      </w:r>
      <w:r w:rsidR="00D30961" w:rsidRPr="00E43670">
        <w:t xml:space="preserve">Detta är av stor betydelse för </w:t>
      </w:r>
      <w:r w:rsidR="003D448E" w:rsidRPr="00E43670">
        <w:t xml:space="preserve">utvecklingen av </w:t>
      </w:r>
      <w:r w:rsidR="00D30961" w:rsidRPr="00E43670">
        <w:t xml:space="preserve">den </w:t>
      </w:r>
      <w:r w:rsidR="003B4B03" w:rsidRPr="00E43670">
        <w:t>svenska rymd</w:t>
      </w:r>
      <w:r w:rsidR="00D30961" w:rsidRPr="00E43670">
        <w:t>industri</w:t>
      </w:r>
      <w:r w:rsidR="003B4B03" w:rsidRPr="00E43670">
        <w:t>n</w:t>
      </w:r>
      <w:r w:rsidR="00D30961" w:rsidRPr="00E43670">
        <w:t>.</w:t>
      </w:r>
    </w:p>
    <w:p w:rsidR="00D30961" w:rsidRPr="00E43670" w:rsidRDefault="00D30961" w:rsidP="00D30961">
      <w:pPr>
        <w:pStyle w:val="Normaltindrag"/>
      </w:pPr>
      <w:r w:rsidRPr="00E43670">
        <w:t>När det gäller området starka forskningsmiljöer, där det i propositionen föro</w:t>
      </w:r>
      <w:r w:rsidRPr="00E43670">
        <w:t>r</w:t>
      </w:r>
      <w:r w:rsidRPr="00E43670">
        <w:t>das ytterligare medel om 300 miljoner kronor, varav 60 miljoner kronor till Vinnova</w:t>
      </w:r>
      <w:r w:rsidR="003B4B03" w:rsidRPr="00E43670">
        <w:t>,</w:t>
      </w:r>
      <w:r w:rsidRPr="00E43670">
        <w:t xml:space="preserve"> delar näringsutskottet den bedömning som görs i propositionen. </w:t>
      </w:r>
      <w:r w:rsidR="003B4B03" w:rsidRPr="00E43670">
        <w:t>Ur et</w:t>
      </w:r>
      <w:r w:rsidRPr="00E43670">
        <w:t>t näringspolitisk</w:t>
      </w:r>
      <w:r w:rsidR="003B4B03" w:rsidRPr="00E43670">
        <w:t>t</w:t>
      </w:r>
      <w:r w:rsidRPr="00E43670">
        <w:t xml:space="preserve"> perspektiv </w:t>
      </w:r>
      <w:r w:rsidR="003B4B03" w:rsidRPr="00E43670">
        <w:t xml:space="preserve">är </w:t>
      </w:r>
      <w:r w:rsidRPr="00E43670">
        <w:t>tillgången till starka forskningsmilj</w:t>
      </w:r>
      <w:r w:rsidRPr="00E43670">
        <w:t>ö</w:t>
      </w:r>
      <w:r w:rsidRPr="00E43670">
        <w:t>er inom näringslivsrelevanta forskningsfält av stor vikt för att öka konkurren</w:t>
      </w:r>
      <w:r w:rsidRPr="00E43670">
        <w:t>s</w:t>
      </w:r>
      <w:r w:rsidRPr="00E43670">
        <w:t>kraften hos kunsk</w:t>
      </w:r>
      <w:r w:rsidR="0050113F" w:rsidRPr="00E43670">
        <w:t>ap</w:t>
      </w:r>
      <w:r w:rsidR="003B4B03" w:rsidRPr="00E43670">
        <w:t xml:space="preserve">sintensiva företag och </w:t>
      </w:r>
      <w:r w:rsidRPr="00E43670">
        <w:t>för att öka Sveriges attraktion</w:t>
      </w:r>
      <w:r w:rsidRPr="00E43670">
        <w:t>s</w:t>
      </w:r>
      <w:r w:rsidRPr="00E43670">
        <w:t>kraft för internationella FoU-investeringar. Regeringen gör bedömningen att til</w:t>
      </w:r>
      <w:r w:rsidRPr="00E43670">
        <w:t>l</w:t>
      </w:r>
      <w:r w:rsidRPr="00E43670">
        <w:t>gången till större forskningsanslag som ger långsiktigt stöd till starka fors</w:t>
      </w:r>
      <w:r w:rsidRPr="00E43670">
        <w:t>k</w:t>
      </w:r>
      <w:r w:rsidRPr="00E43670">
        <w:t>ningsmiljöer av världsklass bör öka. När det gäller Vinnova sägs att myndi</w:t>
      </w:r>
      <w:r w:rsidRPr="00E43670">
        <w:t>g</w:t>
      </w:r>
      <w:r w:rsidRPr="00E43670">
        <w:t>heten bör stödja starka forsknings- och innovationsmiljöer som bedriver lån</w:t>
      </w:r>
      <w:r w:rsidRPr="00E43670">
        <w:t>g</w:t>
      </w:r>
      <w:r w:rsidRPr="00E43670">
        <w:t>siktig, behovsmotiverad forskning av stort värde för svensk konku</w:t>
      </w:r>
      <w:r w:rsidRPr="00E43670">
        <w:t>r</w:t>
      </w:r>
      <w:r w:rsidRPr="00E43670">
        <w:t xml:space="preserve">renskraft och en hållbar tillväxt. För de starka forsknings- och innovationsmiljöer som finansieras av Vinnova ställs, utöver krav på </w:t>
      </w:r>
      <w:r w:rsidR="002A7609" w:rsidRPr="00E43670">
        <w:t>att de skall vara vetenskapligt framstående</w:t>
      </w:r>
      <w:r w:rsidRPr="00E43670">
        <w:t>, också höga krav på miljöernas relevans för svenskt nä</w:t>
      </w:r>
      <w:r w:rsidRPr="00E43670">
        <w:t>r</w:t>
      </w:r>
      <w:r w:rsidRPr="00E43670">
        <w:t>ingsliv och på deras förmåga att bidra till innovationer och hållbar tillväxt. Viktiga kriterier för dessa mi</w:t>
      </w:r>
      <w:r w:rsidRPr="00E43670">
        <w:t>l</w:t>
      </w:r>
      <w:r w:rsidRPr="00E43670">
        <w:t>jöer bör därför vara förmåga till samspel med FoU-baserade företag, förekomst av effektiva stödfunktioner för kommersi</w:t>
      </w:r>
      <w:r w:rsidRPr="00E43670">
        <w:t>a</w:t>
      </w:r>
      <w:r w:rsidRPr="00E43670">
        <w:t>lisering av forskningsresultat och tekniköverföring samt fungerande samf</w:t>
      </w:r>
      <w:r w:rsidRPr="00E43670">
        <w:t>i</w:t>
      </w:r>
      <w:r w:rsidRPr="00E43670">
        <w:t>nansiering med deltagande för</w:t>
      </w:r>
      <w:r w:rsidRPr="00E43670">
        <w:t>e</w:t>
      </w:r>
      <w:r w:rsidRPr="00E43670">
        <w:t xml:space="preserve">tag. </w:t>
      </w:r>
    </w:p>
    <w:p w:rsidR="00D30961" w:rsidRPr="00E43670" w:rsidRDefault="0050113F" w:rsidP="005D647B">
      <w:pPr>
        <w:pStyle w:val="Normaltindrag"/>
      </w:pPr>
      <w:r w:rsidRPr="00E43670">
        <w:t xml:space="preserve">De bedömningar som görs </w:t>
      </w:r>
      <w:r w:rsidR="000520D2" w:rsidRPr="00E43670">
        <w:t xml:space="preserve">i propositionen </w:t>
      </w:r>
      <w:r w:rsidRPr="00E43670">
        <w:t>rörande meriteringsanställningar och forskarskolor, där Vinnova skall tillföras 50 respektive 25 miljoner kr</w:t>
      </w:r>
      <w:r w:rsidRPr="00E43670">
        <w:t>o</w:t>
      </w:r>
      <w:r w:rsidRPr="00E43670">
        <w:t>nor</w:t>
      </w:r>
      <w:r w:rsidR="000520D2" w:rsidRPr="00E43670">
        <w:t xml:space="preserve"> under perioden 2006–2008, har näringsutskottet inget att erinra mot. </w:t>
      </w:r>
    </w:p>
    <w:p w:rsidR="00A43BCA" w:rsidRPr="00E43670" w:rsidRDefault="0091157B" w:rsidP="00A43BCA">
      <w:pPr>
        <w:pStyle w:val="Normaltindrag"/>
      </w:pPr>
      <w:r w:rsidRPr="00E43670">
        <w:t>Den del av propositionen som har rubriken Fors</w:t>
      </w:r>
      <w:r w:rsidRPr="00E43670">
        <w:t>k</w:t>
      </w:r>
      <w:r w:rsidRPr="00E43670">
        <w:t>ning, innovation och hållbar tillväxt, där det presenteras olika initiativ för att öka kommersialis</w:t>
      </w:r>
      <w:r w:rsidRPr="00E43670">
        <w:t>e</w:t>
      </w:r>
      <w:r w:rsidRPr="00E43670">
        <w:t>ring av forskningsresultat och åtgärder för tekniköverföring, är av särskild betydelse u</w:t>
      </w:r>
      <w:r w:rsidRPr="00E43670">
        <w:t>t</w:t>
      </w:r>
      <w:r w:rsidRPr="00E43670">
        <w:t>ifrån det synsätt som näringsutskotte</w:t>
      </w:r>
      <w:r w:rsidR="00087244" w:rsidRPr="00E43670">
        <w:t>t har att anlägga. Ett effektivt utbyte av kunskap och teknik mellan den akademiska forskningen</w:t>
      </w:r>
      <w:r w:rsidR="00A43BCA" w:rsidRPr="00E43670">
        <w:t xml:space="preserve"> </w:t>
      </w:r>
      <w:r w:rsidR="00087244" w:rsidRPr="00E43670">
        <w:t>och nä</w:t>
      </w:r>
      <w:r w:rsidR="00087244" w:rsidRPr="00E43670">
        <w:t>r</w:t>
      </w:r>
      <w:r w:rsidR="00087244" w:rsidRPr="00E43670">
        <w:t>ingslivet är avgörande för svensk industris framtida konkurrenskraft.</w:t>
      </w:r>
      <w:r w:rsidR="00A43BCA" w:rsidRPr="00E43670">
        <w:t xml:space="preserve"> Investe</w:t>
      </w:r>
      <w:r w:rsidR="00A43BCA" w:rsidRPr="00E43670">
        <w:t>r</w:t>
      </w:r>
      <w:r w:rsidR="00A43BCA" w:rsidRPr="00E43670">
        <w:t>ingarna i forskning ger dock inte tillräcklig utväxling i form av hög ekon</w:t>
      </w:r>
      <w:r w:rsidR="00A43BCA" w:rsidRPr="00E43670">
        <w:t>o</w:t>
      </w:r>
      <w:r w:rsidR="00A43BCA" w:rsidRPr="00E43670">
        <w:t>misk tillväxt – det finns en outnyttjad potential avseende kommersialis</w:t>
      </w:r>
      <w:r w:rsidR="00A43BCA" w:rsidRPr="00E43670">
        <w:t>e</w:t>
      </w:r>
      <w:r w:rsidR="00A43BCA" w:rsidRPr="00E43670">
        <w:t>ring av forskningsresultat. Kunskapsöv</w:t>
      </w:r>
      <w:r w:rsidR="009A4D92" w:rsidRPr="00E43670">
        <w:t>erföring</w:t>
      </w:r>
      <w:r w:rsidR="00A43BCA" w:rsidRPr="00E43670">
        <w:t xml:space="preserve"> till näringslivet och kommersial</w:t>
      </w:r>
      <w:r w:rsidR="00A43BCA" w:rsidRPr="00E43670">
        <w:t>i</w:t>
      </w:r>
      <w:r w:rsidR="00A43BCA" w:rsidRPr="00E43670">
        <w:t>sering av forskningsresultat behöver alltså öka.</w:t>
      </w:r>
      <w:r w:rsidR="00087244" w:rsidRPr="00E43670">
        <w:t xml:space="preserve"> </w:t>
      </w:r>
      <w:r w:rsidR="00A43BCA" w:rsidRPr="00E43670">
        <w:t>Näringsutskottet välkomn</w:t>
      </w:r>
      <w:r w:rsidR="007B7AAD" w:rsidRPr="00E43670">
        <w:t>ar med hänvisning härtill</w:t>
      </w:r>
      <w:r w:rsidR="00A43BCA" w:rsidRPr="00E43670">
        <w:t xml:space="preserve"> de insatser och initiativ som presenteras i propositi</w:t>
      </w:r>
      <w:r w:rsidR="00A43BCA" w:rsidRPr="00E43670">
        <w:t>o</w:t>
      </w:r>
      <w:r w:rsidR="00A43BCA" w:rsidRPr="00E43670">
        <w:t>nen.</w:t>
      </w:r>
    </w:p>
    <w:p w:rsidR="002515B8" w:rsidRPr="00E43670" w:rsidRDefault="00A43BCA" w:rsidP="00A43BCA">
      <w:pPr>
        <w:pStyle w:val="Normaltindrag"/>
      </w:pPr>
      <w:r w:rsidRPr="00E43670">
        <w:t>Genom en studie som ITPS utfört på uppdrag av näringsutskottet</w:t>
      </w:r>
      <w:r w:rsidR="009A4D92" w:rsidRPr="00E43670">
        <w:t>,</w:t>
      </w:r>
      <w:r w:rsidRPr="00E43670">
        <w:t xml:space="preserve"> och som tidigare redogjorts för</w:t>
      </w:r>
      <w:r w:rsidR="009A4D92" w:rsidRPr="00E43670">
        <w:t>,</w:t>
      </w:r>
      <w:r w:rsidRPr="00E43670">
        <w:t xml:space="preserve"> gjordes en uppföljning av det statliga forsknings- och utvecklingsstödet till små och medelstora företag. Uppföljningens huvudfr</w:t>
      </w:r>
      <w:r w:rsidRPr="00E43670">
        <w:t>å</w:t>
      </w:r>
      <w:r w:rsidRPr="00E43670">
        <w:t>ga var om de statliga insatserna kommer de små och medelstora föret</w:t>
      </w:r>
      <w:r w:rsidRPr="00E43670">
        <w:t>a</w:t>
      </w:r>
      <w:r w:rsidRPr="00E43670">
        <w:t>gen till del och tillgodoser deras behov av FoU-stöd.</w:t>
      </w:r>
      <w:r w:rsidR="002515B8" w:rsidRPr="00E43670">
        <w:t xml:space="preserve"> Genomgången visade bl.a. att de små företagen inte automatiskt får del av statens FoU-investeringar. </w:t>
      </w:r>
      <w:r w:rsidR="002A7609" w:rsidRPr="00E43670">
        <w:t>Av u</w:t>
      </w:r>
      <w:r w:rsidR="002515B8" w:rsidRPr="00E43670">
        <w:t>n</w:t>
      </w:r>
      <w:r w:rsidR="002515B8" w:rsidRPr="00E43670">
        <w:t xml:space="preserve">dersökningen </w:t>
      </w:r>
      <w:r w:rsidR="002A7609" w:rsidRPr="00E43670">
        <w:t>framgick</w:t>
      </w:r>
      <w:r w:rsidR="002515B8" w:rsidRPr="00E43670">
        <w:t xml:space="preserve"> också att ingen av de stora FoU-finansierande akt</w:t>
      </w:r>
      <w:r w:rsidR="002515B8" w:rsidRPr="00E43670">
        <w:t>ö</w:t>
      </w:r>
      <w:r w:rsidR="002515B8" w:rsidRPr="00E43670">
        <w:t>rerna har någon särskild uppmärksamhet riktad mot de små företagen. Små företag får del av resurserna inom ramen för satsningar med andra fokus än just företag</w:t>
      </w:r>
      <w:r w:rsidR="002515B8" w:rsidRPr="00E43670">
        <w:t>s</w:t>
      </w:r>
      <w:r w:rsidR="002515B8" w:rsidRPr="00E43670">
        <w:t xml:space="preserve">storlek. En viktig slutsats var att det inte finns </w:t>
      </w:r>
      <w:r w:rsidR="002515B8" w:rsidRPr="00E43670">
        <w:rPr>
          <w:i/>
        </w:rPr>
        <w:t xml:space="preserve">en </w:t>
      </w:r>
      <w:r w:rsidR="002515B8" w:rsidRPr="00E43670">
        <w:t>samlad bild vare sig av de små företagens behov av FoU eller av deras uppfattning av hur väl nuv</w:t>
      </w:r>
      <w:r w:rsidR="002515B8" w:rsidRPr="00E43670">
        <w:t>a</w:t>
      </w:r>
      <w:r w:rsidR="002515B8" w:rsidRPr="00E43670">
        <w:t>rande statlig FoU uppfyller dessa behov. En annan generell slutsats var att politiken ur de små företagens perspektiv framstår som alltför segmenterad och sektor</w:t>
      </w:r>
      <w:r w:rsidR="002515B8" w:rsidRPr="00E43670">
        <w:t>i</w:t>
      </w:r>
      <w:r w:rsidR="002515B8" w:rsidRPr="00E43670">
        <w:t xml:space="preserve">serad. </w:t>
      </w:r>
    </w:p>
    <w:p w:rsidR="00A43BCA" w:rsidRPr="00E43670" w:rsidRDefault="002515B8" w:rsidP="00A43BCA">
      <w:pPr>
        <w:pStyle w:val="Normaltindrag"/>
      </w:pPr>
      <w:r w:rsidRPr="00E43670">
        <w:t>Näringsutskottet noterar med</w:t>
      </w:r>
      <w:r w:rsidR="007B7AAD" w:rsidRPr="00E43670">
        <w:t xml:space="preserve"> särskild tillfredsställelse, mot bakgrund av det nyss a</w:t>
      </w:r>
      <w:r w:rsidR="007B7AAD" w:rsidRPr="00E43670">
        <w:t>n</w:t>
      </w:r>
      <w:r w:rsidR="007B7AAD" w:rsidRPr="00E43670">
        <w:t xml:space="preserve">förda, </w:t>
      </w:r>
      <w:r w:rsidRPr="00E43670">
        <w:t xml:space="preserve">att </w:t>
      </w:r>
      <w:r w:rsidR="007B7AAD" w:rsidRPr="00E43670">
        <w:t>Vinnova skall tillföras 10 miljoner kronor för att främja små och medelstora företags til</w:t>
      </w:r>
      <w:r w:rsidR="007B7AAD" w:rsidRPr="00E43670">
        <w:t>l</w:t>
      </w:r>
      <w:r w:rsidR="007B7AAD" w:rsidRPr="00E43670">
        <w:t>gång till forskning och utveckling. Det är enligt näringsutskottets mening ytterst angeläget att kunskapsnivån och den innovativa förmågan hos dessa företag höjs. För att den nödvändiga sysse</w:t>
      </w:r>
      <w:r w:rsidR="007B7AAD" w:rsidRPr="00E43670">
        <w:t>l</w:t>
      </w:r>
      <w:r w:rsidR="007B7AAD" w:rsidRPr="00E43670">
        <w:t>sättningsökningen skall kunna uppnås framöver är små och medelstora för</w:t>
      </w:r>
      <w:r w:rsidR="007B7AAD" w:rsidRPr="00E43670">
        <w:t>e</w:t>
      </w:r>
      <w:r w:rsidR="007B7AAD" w:rsidRPr="00E43670">
        <w:t xml:space="preserve">tag av central betydelse. Självklart skall dessa företag även vara delaktiga i de andra aktuella insatserna – samverkansprogrammen med näringslivet och industriforskningsinstitutens verksamhet – men det krävs därutöver särskilda insatser för de små och medelstora företagen. </w:t>
      </w:r>
    </w:p>
    <w:p w:rsidR="003A293C" w:rsidRPr="00E43670" w:rsidRDefault="003A293C" w:rsidP="00A43BCA">
      <w:pPr>
        <w:pStyle w:val="Normaltindrag"/>
      </w:pPr>
      <w:r w:rsidRPr="00E43670">
        <w:t>När det gäller de samverkansprogram med näringslivet som presenteras i propositionen och som gäller fordonstelematik och produktionsteknik, fly</w:t>
      </w:r>
      <w:r w:rsidRPr="00E43670">
        <w:t>g</w:t>
      </w:r>
      <w:r w:rsidRPr="00E43670">
        <w:t>teknik, rymdteknik och miljöteknik anser näringsutskottet att det är centrala och väsentliga områden för den svenska ekonomin. Den modell som rege</w:t>
      </w:r>
      <w:r w:rsidRPr="00E43670">
        <w:t>r</w:t>
      </w:r>
      <w:r w:rsidRPr="00E43670">
        <w:t>ingen har valt och som innebär att urval av programmen sker efter branschv</w:t>
      </w:r>
      <w:r w:rsidRPr="00E43670">
        <w:t>i</w:t>
      </w:r>
      <w:r w:rsidRPr="00E43670">
        <w:t>sa samtal med näringslivet och att Vinnova därefter svarar för utformningen av programmen i interaktion med näringslivet bö</w:t>
      </w:r>
      <w:r w:rsidR="00F57795" w:rsidRPr="00E43670">
        <w:t xml:space="preserve">r, enligt näringsutskottets </w:t>
      </w:r>
      <w:r w:rsidRPr="00E43670">
        <w:t>m</w:t>
      </w:r>
      <w:r w:rsidR="00F57795" w:rsidRPr="00E43670">
        <w:t>e</w:t>
      </w:r>
      <w:r w:rsidRPr="00E43670">
        <w:t>ning</w:t>
      </w:r>
      <w:r w:rsidR="003B4B03" w:rsidRPr="00E43670">
        <w:t>,</w:t>
      </w:r>
      <w:r w:rsidRPr="00E43670">
        <w:t xml:space="preserve"> </w:t>
      </w:r>
      <w:r w:rsidR="008973B6" w:rsidRPr="00E43670">
        <w:t xml:space="preserve">kunna leda till goda resultat. </w:t>
      </w:r>
      <w:r w:rsidRPr="00E43670">
        <w:t xml:space="preserve">  </w:t>
      </w:r>
    </w:p>
    <w:p w:rsidR="00F57795" w:rsidRPr="00E43670" w:rsidRDefault="00F6499F" w:rsidP="00A43BCA">
      <w:pPr>
        <w:pStyle w:val="Normaltindrag"/>
      </w:pPr>
      <w:r w:rsidRPr="00E43670">
        <w:t>Industriforskningsinstituten skall, som tidigare redovisats, via Vinnova til</w:t>
      </w:r>
      <w:r w:rsidRPr="00E43670">
        <w:t>l</w:t>
      </w:r>
      <w:r w:rsidRPr="00E43670">
        <w:t>föras 110 miljoner kronor för kompetensutveckling. Den verksamhet som instituten bedriver är av stor betydelse för näringslivet och därmed för den ekonomiska tillväxten i Sverige. Näringsutskottet anser att den omstruktur</w:t>
      </w:r>
      <w:r w:rsidRPr="00E43670">
        <w:t>e</w:t>
      </w:r>
      <w:r w:rsidRPr="00E43670">
        <w:t>ring av instituten som pågått sedan riksdagsbeslutet hösten 2001 och som syftar till att skapa en sammanhållen struktur med färre, större och mer inte</w:t>
      </w:r>
      <w:r w:rsidRPr="00E43670">
        <w:t>r</w:t>
      </w:r>
      <w:r w:rsidRPr="00E43670">
        <w:t xml:space="preserve">nationellt konkurrenskraftiga institut med en stark förankring hos näringslivet </w:t>
      </w:r>
      <w:r w:rsidR="004434B7" w:rsidRPr="00E43670">
        <w:t xml:space="preserve">har varit nödvändig. Som näringsutskottet framhöll hösten 2001 (bet. 2001/02:NU5) är omstruktureringen av instituten ett steg i riktning </w:t>
      </w:r>
      <w:r w:rsidR="00260AB6" w:rsidRPr="00E43670">
        <w:t>för</w:t>
      </w:r>
      <w:r w:rsidR="004434B7" w:rsidRPr="00E43670">
        <w:t xml:space="preserve"> att skapa kraftfulla aktörer när det gäller finansiering av behovsmotiverad fors</w:t>
      </w:r>
      <w:r w:rsidR="004434B7" w:rsidRPr="00E43670">
        <w:t>k</w:t>
      </w:r>
      <w:r w:rsidR="004434B7" w:rsidRPr="00E43670">
        <w:t>ning.</w:t>
      </w:r>
    </w:p>
    <w:p w:rsidR="002C460E" w:rsidRPr="00E43670" w:rsidRDefault="002C460E" w:rsidP="00A43BCA">
      <w:pPr>
        <w:pStyle w:val="Normaltindrag"/>
      </w:pPr>
      <w:r w:rsidRPr="00E43670">
        <w:t>I motion 2004/05:Ub11 (fp, m, kd, c) uttalas stöd för att Vinnova skall til</w:t>
      </w:r>
      <w:r w:rsidRPr="00E43670">
        <w:t>l</w:t>
      </w:r>
      <w:r w:rsidRPr="00E43670">
        <w:t>föras 130 miljoner kronor för samverkan med näringslivet</w:t>
      </w:r>
      <w:r w:rsidR="00240884" w:rsidRPr="00E43670">
        <w:t>, men det anses inte räcka utan m</w:t>
      </w:r>
      <w:r w:rsidR="003B4B03" w:rsidRPr="00E43670">
        <w:t>otionärerna</w:t>
      </w:r>
      <w:r w:rsidR="00240884" w:rsidRPr="00E43670">
        <w:t xml:space="preserve"> vill införa bl.a. s.k. vinstdelningspaket för att öka kommersialiseringen av forskningsresultat. Likartade synpunkter framförs i m</w:t>
      </w:r>
      <w:r w:rsidR="00240884" w:rsidRPr="00E43670">
        <w:t>o</w:t>
      </w:r>
      <w:r w:rsidR="00240884" w:rsidRPr="00E43670">
        <w:t>tion</w:t>
      </w:r>
      <w:r w:rsidRPr="00E43670">
        <w:t xml:space="preserve"> 2004/05:N413 (fp), </w:t>
      </w:r>
      <w:r w:rsidR="00240884" w:rsidRPr="00E43670">
        <w:t xml:space="preserve">och även i motionerna </w:t>
      </w:r>
      <w:r w:rsidRPr="00E43670">
        <w:t xml:space="preserve">2004/05:N241 (fp) och 2004/05:N393 (kd) förordas </w:t>
      </w:r>
      <w:r w:rsidR="00240884" w:rsidRPr="00E43670">
        <w:t>ytterligare åtgärder för att öka kommersialis</w:t>
      </w:r>
      <w:r w:rsidR="00240884" w:rsidRPr="00E43670">
        <w:t>e</w:t>
      </w:r>
      <w:r w:rsidR="00240884" w:rsidRPr="00E43670">
        <w:t>ringen. Näringsutskottet delar moti</w:t>
      </w:r>
      <w:r w:rsidR="003B4B03" w:rsidRPr="00E43670">
        <w:t>onärernas önskan om att</w:t>
      </w:r>
      <w:r w:rsidR="00240884" w:rsidRPr="00E43670">
        <w:t xml:space="preserve"> kommersialis</w:t>
      </w:r>
      <w:r w:rsidR="00240884" w:rsidRPr="00E43670">
        <w:t>e</w:t>
      </w:r>
      <w:r w:rsidR="00240884" w:rsidRPr="00E43670">
        <w:t>ringen</w:t>
      </w:r>
      <w:r w:rsidR="003B4B03" w:rsidRPr="00E43670">
        <w:t xml:space="preserve"> skall öka</w:t>
      </w:r>
      <w:r w:rsidR="00240884" w:rsidRPr="00E43670">
        <w:t xml:space="preserve">. Insatserna och initiativen i propositionen har just denna inriktning. </w:t>
      </w:r>
      <w:r w:rsidR="00691229" w:rsidRPr="00E43670">
        <w:t>Utöver det som tidigare nämnts rörande samverkan med näringsl</w:t>
      </w:r>
      <w:r w:rsidR="00691229" w:rsidRPr="00E43670">
        <w:t>i</w:t>
      </w:r>
      <w:r w:rsidR="00691229" w:rsidRPr="00E43670">
        <w:t xml:space="preserve">vet och industriforskningsinstituten </w:t>
      </w:r>
      <w:r w:rsidR="0019018D" w:rsidRPr="00E43670">
        <w:t>kan nämnas att</w:t>
      </w:r>
      <w:r w:rsidR="003B4B03" w:rsidRPr="00E43670">
        <w:t xml:space="preserve"> </w:t>
      </w:r>
      <w:r w:rsidR="0019018D" w:rsidRPr="00E43670">
        <w:t>un</w:t>
      </w:r>
      <w:r w:rsidR="0019018D" w:rsidRPr="00E43670">
        <w:t>i</w:t>
      </w:r>
      <w:r w:rsidR="0019018D" w:rsidRPr="00E43670">
        <w:t>versitet och högskolor</w:t>
      </w:r>
      <w:r w:rsidR="003B4B03" w:rsidRPr="00E43670">
        <w:t xml:space="preserve">, enligt </w:t>
      </w:r>
      <w:r w:rsidR="00D87A6B" w:rsidRPr="00E43670">
        <w:t>regeringen</w:t>
      </w:r>
      <w:r w:rsidR="003B4B03" w:rsidRPr="00E43670">
        <w:t xml:space="preserve">, </w:t>
      </w:r>
      <w:r w:rsidR="0019018D" w:rsidRPr="00E43670">
        <w:t>bör upprätta handlingsplaner för kommersialisering och te</w:t>
      </w:r>
      <w:r w:rsidR="0019018D" w:rsidRPr="00E43670">
        <w:t>k</w:t>
      </w:r>
      <w:r w:rsidR="0019018D" w:rsidRPr="00E43670">
        <w:t>niköverföring och att lärosätenas holdingbolag skall ses över och stärkas. Det pågår också utredningsarbete beträffande avskaffande av läraru</w:t>
      </w:r>
      <w:r w:rsidR="0019018D" w:rsidRPr="00E43670">
        <w:t>n</w:t>
      </w:r>
      <w:r w:rsidR="0019018D" w:rsidRPr="00E43670">
        <w:t>dantaget och på patentområdet. Vidare</w:t>
      </w:r>
      <w:r w:rsidR="00240884" w:rsidRPr="00E43670">
        <w:t xml:space="preserve"> bör den tidigare nämnda, nyinrättade koncernen Inn</w:t>
      </w:r>
      <w:r w:rsidR="00240884" w:rsidRPr="00E43670">
        <w:t>o</w:t>
      </w:r>
      <w:r w:rsidR="00240884" w:rsidRPr="00E43670">
        <w:t>vationsbron</w:t>
      </w:r>
      <w:r w:rsidR="003B4B03" w:rsidRPr="00E43670">
        <w:t>,</w:t>
      </w:r>
      <w:r w:rsidR="00240884" w:rsidRPr="00E43670">
        <w:t xml:space="preserve"> som disponerar ett kapital på 1,8 miljarder kronor under en tioårsperiod</w:t>
      </w:r>
      <w:r w:rsidR="003B4B03" w:rsidRPr="00E43670">
        <w:t xml:space="preserve">, kunna spela en betydelsefull </w:t>
      </w:r>
      <w:r w:rsidR="00240884" w:rsidRPr="00E43670">
        <w:t>roll när det gäller kommersialis</w:t>
      </w:r>
      <w:r w:rsidR="00240884" w:rsidRPr="00E43670">
        <w:t>e</w:t>
      </w:r>
      <w:r w:rsidR="00240884" w:rsidRPr="00E43670">
        <w:t>ring. S</w:t>
      </w:r>
      <w:r w:rsidR="00DC0CD2" w:rsidRPr="00E43670">
        <w:t>ammantage</w:t>
      </w:r>
      <w:r w:rsidR="00240884" w:rsidRPr="00E43670">
        <w:t xml:space="preserve">t vill näringsutskottet framhålla att </w:t>
      </w:r>
      <w:r w:rsidR="00DC0CD2" w:rsidRPr="00E43670">
        <w:t>frågan om behovet av åtgärder för att främja komme</w:t>
      </w:r>
      <w:r w:rsidR="00DC0CD2" w:rsidRPr="00E43670">
        <w:t>r</w:t>
      </w:r>
      <w:r w:rsidR="00DC0CD2" w:rsidRPr="00E43670">
        <w:t>sialisering självfallet inte kan anses avförd med de insatser och initiativ som nu är aktuella</w:t>
      </w:r>
      <w:r w:rsidR="003B4B03" w:rsidRPr="00E43670">
        <w:t>. Detta arbete bör s</w:t>
      </w:r>
      <w:r w:rsidR="00DC0CD2" w:rsidRPr="00E43670">
        <w:t>nar</w:t>
      </w:r>
      <w:r w:rsidR="00DC0CD2" w:rsidRPr="00E43670">
        <w:t>a</w:t>
      </w:r>
      <w:r w:rsidR="00DC0CD2" w:rsidRPr="00E43670">
        <w:t xml:space="preserve">re </w:t>
      </w:r>
      <w:r w:rsidR="003B4B03" w:rsidRPr="00E43670">
        <w:t>ses</w:t>
      </w:r>
      <w:r w:rsidR="00DC0CD2" w:rsidRPr="00E43670">
        <w:t xml:space="preserve"> </w:t>
      </w:r>
      <w:r w:rsidR="003B4B03" w:rsidRPr="00E43670">
        <w:t xml:space="preserve">som </w:t>
      </w:r>
      <w:r w:rsidR="00DC0CD2" w:rsidRPr="00E43670">
        <w:t>en fortg</w:t>
      </w:r>
      <w:r w:rsidR="00DC0CD2" w:rsidRPr="00E43670">
        <w:t>å</w:t>
      </w:r>
      <w:r w:rsidR="00DC0CD2" w:rsidRPr="00E43670">
        <w:t>ende process.</w:t>
      </w:r>
    </w:p>
    <w:p w:rsidR="00D9148A" w:rsidRPr="00E43670" w:rsidRDefault="00D40C96" w:rsidP="00D9148A">
      <w:pPr>
        <w:pStyle w:val="Normaltindrag"/>
        <w:rPr>
          <w:b/>
          <w:bCs/>
        </w:rPr>
      </w:pPr>
      <w:r w:rsidRPr="00E43670">
        <w:t>När det gäller förslagen i motionerna 2004/05:N284 (kd) och 2004/05: N285 (kd)</w:t>
      </w:r>
      <w:r w:rsidR="00B97925" w:rsidRPr="00E43670">
        <w:t xml:space="preserve"> om ökade verksamhetsmöjligheter och resurser till Vinnova not</w:t>
      </w:r>
      <w:r w:rsidR="00B97925" w:rsidRPr="00E43670">
        <w:t>e</w:t>
      </w:r>
      <w:r w:rsidR="00B97925" w:rsidRPr="00E43670">
        <w:t>rar näringsutskottet att anslagen till Vinnova kommer att öka med 575 milj</w:t>
      </w:r>
      <w:r w:rsidR="00B97925" w:rsidRPr="00E43670">
        <w:t>o</w:t>
      </w:r>
      <w:r w:rsidR="00B97925" w:rsidRPr="00E43670">
        <w:t>ner kronor år 2008. Detta innebär att anslagen, som uppgår till 1,1 miljarder kronor för år 2005, kommer att öka med ca 50 %.</w:t>
      </w:r>
      <w:r w:rsidR="00D9148A" w:rsidRPr="00E43670">
        <w:t xml:space="preserve"> Beträffande förslaget i motion 2004/05:Ub8 (fp) om att småföretag bör ges möjlighet att delta ind</w:t>
      </w:r>
      <w:r w:rsidR="00D9148A" w:rsidRPr="00E43670">
        <w:t>i</w:t>
      </w:r>
      <w:r w:rsidR="00D9148A" w:rsidRPr="00E43670">
        <w:t>rekt i Vinnovas kompetenscentrum via t.ex. inkubatorer eller forskningspa</w:t>
      </w:r>
      <w:r w:rsidR="00D9148A" w:rsidRPr="00E43670">
        <w:t>r</w:t>
      </w:r>
      <w:r w:rsidR="00D9148A" w:rsidRPr="00E43670">
        <w:t>ker kan noteras att en tredjedel av de deltagande företagen i kompetenscen</w:t>
      </w:r>
      <w:r w:rsidR="00D9148A" w:rsidRPr="00E43670">
        <w:t>t</w:t>
      </w:r>
      <w:r w:rsidR="00D9148A" w:rsidRPr="00E43670">
        <w:t>rumprogrammet är små och medelstora (dvs. under 250 anställda). Huvudi</w:t>
      </w:r>
      <w:r w:rsidR="00D9148A" w:rsidRPr="00E43670">
        <w:t>n</w:t>
      </w:r>
      <w:r w:rsidR="00D9148A" w:rsidRPr="00E43670">
        <w:t>riktningen hittills har varit att företagen skall delta direkt och inte via mella</w:t>
      </w:r>
      <w:r w:rsidR="00D9148A" w:rsidRPr="00E43670">
        <w:t>n</w:t>
      </w:r>
      <w:r w:rsidR="00D9148A" w:rsidRPr="00E43670">
        <w:t>händer. Utformningen av framtida program pågår för närvarande inom Vi</w:t>
      </w:r>
      <w:r w:rsidR="00D9148A" w:rsidRPr="00E43670">
        <w:t>n</w:t>
      </w:r>
      <w:r w:rsidR="00D9148A" w:rsidRPr="00E43670">
        <w:t>nova.</w:t>
      </w:r>
      <w:r w:rsidR="00D9148A" w:rsidRPr="00E43670">
        <w:rPr>
          <w:b/>
          <w:bCs/>
        </w:rPr>
        <w:t xml:space="preserve"> </w:t>
      </w:r>
    </w:p>
    <w:p w:rsidR="00DC0CD2" w:rsidRPr="00E43670" w:rsidRDefault="00093524" w:rsidP="00A43BCA">
      <w:pPr>
        <w:pStyle w:val="Normaltindrag"/>
      </w:pPr>
      <w:r w:rsidRPr="00E43670">
        <w:t xml:space="preserve">I motion 2004/05:N300 (v) framförs, som tidigare redovisats, sex yrkanden rörande olika åtgärder för att stärka den behovsmotiverade forskningen och speciellt industriforskningsinstituten. Näringsutskottet delar motionärernas syn på </w:t>
      </w:r>
      <w:r w:rsidR="003B4B03" w:rsidRPr="00E43670">
        <w:t xml:space="preserve">behovet av att stärka </w:t>
      </w:r>
      <w:r w:rsidRPr="00E43670">
        <w:t>den behovsmotiverade forskningen. Forskning</w:t>
      </w:r>
      <w:r w:rsidRPr="00E43670">
        <w:t>s</w:t>
      </w:r>
      <w:r w:rsidRPr="00E43670">
        <w:t>propositionen präglas också av en positiv syn på den behovsmot</w:t>
      </w:r>
      <w:r w:rsidRPr="00E43670">
        <w:t>i</w:t>
      </w:r>
      <w:r w:rsidRPr="00E43670">
        <w:t>verade forskningen</w:t>
      </w:r>
      <w:r w:rsidR="00260AB6" w:rsidRPr="00E43670">
        <w:t>,</w:t>
      </w:r>
      <w:r w:rsidRPr="00E43670">
        <w:t xml:space="preserve"> och ett flertal olika insatser och initiativ prese</w:t>
      </w:r>
      <w:r w:rsidRPr="00E43670">
        <w:t>n</w:t>
      </w:r>
      <w:r w:rsidRPr="00E43670">
        <w:t>teras för att stärka den. Till stora delar kan således den nyssnämnda motionen anses tillgod</w:t>
      </w:r>
      <w:r w:rsidRPr="00E43670">
        <w:t>o</w:t>
      </w:r>
      <w:r w:rsidRPr="00E43670">
        <w:t>sedd, även om motionärerna i vissa avseenden hade velat gå längre. När det gäller den årliga avrapportering av det innovationspolitiska arbetet som för</w:t>
      </w:r>
      <w:r w:rsidR="00102DED" w:rsidRPr="00E43670">
        <w:t>e</w:t>
      </w:r>
      <w:r w:rsidRPr="00E43670">
        <w:t>slås i motionen menar näringsutskottet att det är viktigt att regeringen på lämpligt sätt och i lämpligt sammanhang håller riksdagen i</w:t>
      </w:r>
      <w:r w:rsidRPr="00E43670">
        <w:t>n</w:t>
      </w:r>
      <w:r w:rsidRPr="00E43670">
        <w:t>formerad om utvec</w:t>
      </w:r>
      <w:r w:rsidRPr="00E43670">
        <w:t>k</w:t>
      </w:r>
      <w:r w:rsidRPr="00E43670">
        <w:t xml:space="preserve">lingen av arbetet. Däremot anser näringsutskottet inte att det finns behov av att föreskriva att detta skall ske </w:t>
      </w:r>
      <w:r w:rsidR="00D40C96" w:rsidRPr="00E43670">
        <w:t>genom en årlig</w:t>
      </w:r>
      <w:r w:rsidR="00102DED" w:rsidRPr="00E43670">
        <w:t>,</w:t>
      </w:r>
      <w:r w:rsidR="00D40C96" w:rsidRPr="00E43670">
        <w:t xml:space="preserve"> innov</w:t>
      </w:r>
      <w:r w:rsidR="00D40C96" w:rsidRPr="00E43670">
        <w:t>a</w:t>
      </w:r>
      <w:r w:rsidR="00D40C96" w:rsidRPr="00E43670">
        <w:t>tionspolitisk skrivelse.</w:t>
      </w:r>
    </w:p>
    <w:p w:rsidR="00D40C96" w:rsidRPr="00E43670" w:rsidRDefault="00B97925" w:rsidP="00A43BCA">
      <w:pPr>
        <w:pStyle w:val="Normaltindrag"/>
      </w:pPr>
      <w:r w:rsidRPr="00E43670">
        <w:t>Sammantaget innebär propositionen ökade satsningar på teknisk fors</w:t>
      </w:r>
      <w:r w:rsidRPr="00E43670">
        <w:t>k</w:t>
      </w:r>
      <w:r w:rsidRPr="00E43670">
        <w:t>ning och på sa</w:t>
      </w:r>
      <w:r w:rsidRPr="00E43670">
        <w:t>m</w:t>
      </w:r>
      <w:r w:rsidR="00102DED" w:rsidRPr="00E43670">
        <w:t>verkan med näringslivet, vilka</w:t>
      </w:r>
      <w:r w:rsidRPr="00E43670">
        <w:t xml:space="preserve"> näringsutskottet till fullo stöder. Samtliga </w:t>
      </w:r>
      <w:r w:rsidR="000F2D29" w:rsidRPr="00E43670">
        <w:t>här aktuella motioner</w:t>
      </w:r>
      <w:r w:rsidRPr="00E43670">
        <w:t xml:space="preserve"> </w:t>
      </w:r>
      <w:r w:rsidR="006A7E97" w:rsidRPr="00E43670">
        <w:t xml:space="preserve">bör avstyrkas av utbildningsutskottet i </w:t>
      </w:r>
      <w:r w:rsidRPr="00E43670">
        <w:t>berörda delar.</w:t>
      </w:r>
    </w:p>
    <w:p w:rsidR="00303CA0" w:rsidRPr="00E43670" w:rsidRDefault="00303CA0" w:rsidP="00A73A1E">
      <w:pPr>
        <w:pStyle w:val="R2"/>
      </w:pPr>
      <w:r w:rsidRPr="00E43670">
        <w:t>B</w:t>
      </w:r>
      <w:r w:rsidR="00A73A1E" w:rsidRPr="00E43670">
        <w:t>ranschfrågor och vissa övriga frågor</w:t>
      </w:r>
    </w:p>
    <w:p w:rsidR="00303CA0" w:rsidRPr="00E43670" w:rsidRDefault="00303CA0" w:rsidP="00A73A1E">
      <w:pPr>
        <w:pStyle w:val="R3"/>
        <w:spacing w:before="110"/>
      </w:pPr>
      <w:r w:rsidRPr="00E43670">
        <w:t>Inledning</w:t>
      </w:r>
    </w:p>
    <w:p w:rsidR="00303CA0" w:rsidRPr="00E43670" w:rsidRDefault="00303CA0" w:rsidP="00303CA0">
      <w:r w:rsidRPr="00E43670">
        <w:t xml:space="preserve">I detta avsnitt </w:t>
      </w:r>
      <w:r w:rsidR="00260AB6" w:rsidRPr="00E43670">
        <w:t xml:space="preserve">behandlas </w:t>
      </w:r>
      <w:r w:rsidRPr="00E43670">
        <w:t>yrkanden om särskilda branscher eller omr</w:t>
      </w:r>
      <w:r w:rsidRPr="00E43670">
        <w:t>å</w:t>
      </w:r>
      <w:r w:rsidRPr="00E43670">
        <w:t xml:space="preserve">den, som – med ett undantag – härrör från motioner från allmänna motionstiden. </w:t>
      </w:r>
      <w:r w:rsidR="00A252E3" w:rsidRPr="00E43670">
        <w:t>Nä</w:t>
      </w:r>
      <w:r w:rsidR="00A252E3" w:rsidRPr="00E43670">
        <w:t>r</w:t>
      </w:r>
      <w:r w:rsidR="00A252E3" w:rsidRPr="00E43670">
        <w:t>ingsu</w:t>
      </w:r>
      <w:r w:rsidR="00A252E3" w:rsidRPr="00E43670">
        <w:t>t</w:t>
      </w:r>
      <w:r w:rsidR="00A252E3" w:rsidRPr="00E43670">
        <w:t>skottets ställningstaganden redovisas under respektive rubrik.</w:t>
      </w:r>
    </w:p>
    <w:p w:rsidR="00303CA0" w:rsidRPr="00E43670" w:rsidRDefault="00303CA0" w:rsidP="00A73A1E">
      <w:pPr>
        <w:pStyle w:val="R3"/>
      </w:pPr>
      <w:r w:rsidRPr="00E43670">
        <w:t>Verkstadsteknisk forskning</w:t>
      </w:r>
    </w:p>
    <w:p w:rsidR="00303CA0" w:rsidRPr="00E43670" w:rsidRDefault="00921B21" w:rsidP="00C03FF5">
      <w:pPr>
        <w:pStyle w:val="R4"/>
        <w:spacing w:before="125"/>
      </w:pPr>
      <w:r w:rsidRPr="00E43670">
        <w:t>Motionerna</w:t>
      </w:r>
    </w:p>
    <w:p w:rsidR="00303CA0" w:rsidRPr="00E43670" w:rsidRDefault="00CD5A77" w:rsidP="00303CA0">
      <w:r w:rsidRPr="00E43670">
        <w:t>I tre motioner</w:t>
      </w:r>
      <w:r w:rsidR="00921B21" w:rsidRPr="00E43670">
        <w:t xml:space="preserve"> från allmänna motionstiden</w:t>
      </w:r>
      <w:r w:rsidRPr="00E43670">
        <w:t xml:space="preserve"> – </w:t>
      </w:r>
      <w:r w:rsidR="00303CA0" w:rsidRPr="00E43670">
        <w:t>2004/05:N419 (s)</w:t>
      </w:r>
      <w:r w:rsidRPr="00E43670">
        <w:t>, 2004/05:</w:t>
      </w:r>
      <w:r w:rsidR="00FD5A97" w:rsidRPr="00E43670">
        <w:t xml:space="preserve"> </w:t>
      </w:r>
      <w:r w:rsidRPr="00E43670">
        <w:t>Ub439 (s) och 2004/05:N418 (fp, m, v, kd, c) – begärs t</w:t>
      </w:r>
      <w:r w:rsidR="00303CA0" w:rsidRPr="00E43670">
        <w:t>illkännag</w:t>
      </w:r>
      <w:r w:rsidRPr="00E43670">
        <w:t>i</w:t>
      </w:r>
      <w:r w:rsidRPr="00E43670">
        <w:t>vanden</w:t>
      </w:r>
      <w:r w:rsidR="00303CA0" w:rsidRPr="00E43670">
        <w:t xml:space="preserve"> om </w:t>
      </w:r>
      <w:r w:rsidRPr="00E43670">
        <w:t>stöd till projektet</w:t>
      </w:r>
      <w:r w:rsidR="00303CA0" w:rsidRPr="00E43670">
        <w:t xml:space="preserve"> Produktion i Väst.</w:t>
      </w:r>
      <w:r w:rsidRPr="00E43670">
        <w:t xml:space="preserve"> Motiveringarna bakom de tre motionsy</w:t>
      </w:r>
      <w:r w:rsidRPr="00E43670">
        <w:t>r</w:t>
      </w:r>
      <w:r w:rsidRPr="00E43670">
        <w:t xml:space="preserve">kandena är likartade. </w:t>
      </w:r>
      <w:r w:rsidR="00303CA0" w:rsidRPr="00E43670">
        <w:t>Nätverket Produktion i Väst, som är en fors</w:t>
      </w:r>
      <w:r w:rsidR="00303CA0" w:rsidRPr="00E43670">
        <w:t>k</w:t>
      </w:r>
      <w:r w:rsidR="00303CA0" w:rsidRPr="00E43670">
        <w:t>nings-, utvecklings- och utbildningsplattform för industriell produktion, sk</w:t>
      </w:r>
      <w:r w:rsidR="00303CA0" w:rsidRPr="00E43670">
        <w:t>a</w:t>
      </w:r>
      <w:r w:rsidR="00303CA0" w:rsidRPr="00E43670">
        <w:t>pades våren 2004 och är ett samarbete mellan Chalmers tekniska högskola, Inge</w:t>
      </w:r>
      <w:r w:rsidR="00303CA0" w:rsidRPr="00E43670">
        <w:t>n</w:t>
      </w:r>
      <w:r w:rsidR="00303CA0" w:rsidRPr="00E43670">
        <w:t>jörshögskolan i Jönköping, Hö</w:t>
      </w:r>
      <w:r w:rsidR="00303CA0" w:rsidRPr="00E43670">
        <w:t>g</w:t>
      </w:r>
      <w:r w:rsidR="00303CA0" w:rsidRPr="00E43670">
        <w:t xml:space="preserve">skolan i Halmstad, Högskolan i Skövde och Högskolan i Trollhättan/Uddevalla. </w:t>
      </w:r>
      <w:r w:rsidR="00393219" w:rsidRPr="00E43670">
        <w:t xml:space="preserve">Motionärernas </w:t>
      </w:r>
      <w:r w:rsidR="00303CA0" w:rsidRPr="00E43670">
        <w:t>vision är att Produ</w:t>
      </w:r>
      <w:r w:rsidR="00303CA0" w:rsidRPr="00E43670">
        <w:t>k</w:t>
      </w:r>
      <w:r w:rsidR="00303CA0" w:rsidRPr="00E43670">
        <w:t>tion i Väst skall stärka konkurrenskraft, tillväxt och kunskapsutveckling i västra Sverige g</w:t>
      </w:r>
      <w:r w:rsidR="00303CA0" w:rsidRPr="00E43670">
        <w:t>e</w:t>
      </w:r>
      <w:r w:rsidR="00303CA0" w:rsidRPr="00E43670">
        <w:t xml:space="preserve">nom samarbete mellan industri och akademi. Produktion i Väst </w:t>
      </w:r>
      <w:r w:rsidR="00393219" w:rsidRPr="00E43670">
        <w:t>skall, sägs det i motionerna,</w:t>
      </w:r>
      <w:r w:rsidR="00303CA0" w:rsidRPr="00E43670">
        <w:t xml:space="preserve"> samordna kraftfulla, gemensamma insatser, bl.a. följande: effektiv samverkan mellan industri och högskolor genom industrib</w:t>
      </w:r>
      <w:r w:rsidR="00303CA0" w:rsidRPr="00E43670">
        <w:t>a</w:t>
      </w:r>
      <w:r w:rsidR="00303CA0" w:rsidRPr="00E43670">
        <w:t>serade forskningsprojekt; omfattande forskningssamverkan mellan högsk</w:t>
      </w:r>
      <w:r w:rsidR="00303CA0" w:rsidRPr="00E43670">
        <w:t>o</w:t>
      </w:r>
      <w:r w:rsidR="00303CA0" w:rsidRPr="00E43670">
        <w:t>lorna genom högskolegemensamma forskargrupper; breda satsningar på hö</w:t>
      </w:r>
      <w:r w:rsidR="00303CA0" w:rsidRPr="00E43670">
        <w:t>g</w:t>
      </w:r>
      <w:r w:rsidR="00303CA0" w:rsidRPr="00E43670">
        <w:t>skol</w:t>
      </w:r>
      <w:r w:rsidR="00303CA0" w:rsidRPr="00E43670">
        <w:t>e</w:t>
      </w:r>
      <w:r w:rsidR="00303CA0" w:rsidRPr="00E43670">
        <w:t>gemensam fort- och vidareutbildning, anpassade till företags behov och förutsättningar; långtgående samordning av utbildningsprogram till civili</w:t>
      </w:r>
      <w:r w:rsidR="00303CA0" w:rsidRPr="00E43670">
        <w:t>n</w:t>
      </w:r>
      <w:r w:rsidR="00303CA0" w:rsidRPr="00E43670">
        <w:t>genjörer och högskoleingenjörer för att säkerställa ett industriellt kompeten</w:t>
      </w:r>
      <w:r w:rsidR="00303CA0" w:rsidRPr="00E43670">
        <w:t>s</w:t>
      </w:r>
      <w:r w:rsidR="00303CA0" w:rsidRPr="00E43670">
        <w:t>behov på bredden och på djupet; yrkeshögskolor med inriktning mot svensk industri, bl.a. fordonsindustrin; gemensam forskarutbildning inom produ</w:t>
      </w:r>
      <w:r w:rsidR="00303CA0" w:rsidRPr="00E43670">
        <w:t>k</w:t>
      </w:r>
      <w:r w:rsidR="00303CA0" w:rsidRPr="00E43670">
        <w:t>tionsområdet, baserad på industriella behov och med ett stort inslag av ind</w:t>
      </w:r>
      <w:r w:rsidR="00303CA0" w:rsidRPr="00E43670">
        <w:t>u</w:t>
      </w:r>
      <w:r w:rsidR="00303CA0" w:rsidRPr="00E43670">
        <w:t>strianknutna doktorander; insatser för effektivt utbyte av kunskaper och erf</w:t>
      </w:r>
      <w:r w:rsidR="00303CA0" w:rsidRPr="00E43670">
        <w:t>a</w:t>
      </w:r>
      <w:r w:rsidR="00303CA0" w:rsidRPr="00E43670">
        <w:t>renheter mellan akademi och företag; konkurrensneutral samverkan me</w:t>
      </w:r>
      <w:r w:rsidR="00303CA0" w:rsidRPr="00E43670">
        <w:t>l</w:t>
      </w:r>
      <w:r w:rsidR="00303CA0" w:rsidRPr="00E43670">
        <w:t>lan regionerna i västra Sverige där produktionsfrågan och den industriella utvec</w:t>
      </w:r>
      <w:r w:rsidR="00303CA0" w:rsidRPr="00E43670">
        <w:t>k</w:t>
      </w:r>
      <w:r w:rsidR="00303CA0" w:rsidRPr="00E43670">
        <w:t>lingen står i fokus. Produktion i Väst har en organisation med en sty</w:t>
      </w:r>
      <w:r w:rsidR="00303CA0" w:rsidRPr="00E43670">
        <w:t>r</w:t>
      </w:r>
      <w:r w:rsidR="00303CA0" w:rsidRPr="00E43670">
        <w:t>grupp</w:t>
      </w:r>
      <w:r w:rsidR="00393219" w:rsidRPr="00E43670">
        <w:t>,</w:t>
      </w:r>
      <w:r w:rsidR="00303CA0" w:rsidRPr="00E43670">
        <w:t xml:space="preserve"> en oper</w:t>
      </w:r>
      <w:r w:rsidR="00303CA0" w:rsidRPr="00E43670">
        <w:t>a</w:t>
      </w:r>
      <w:r w:rsidR="00303CA0" w:rsidRPr="00E43670">
        <w:t>tiv lednings</w:t>
      </w:r>
      <w:r w:rsidR="00393219" w:rsidRPr="00E43670">
        <w:t>grupp och</w:t>
      </w:r>
      <w:r w:rsidR="00303CA0" w:rsidRPr="00E43670">
        <w:t xml:space="preserve"> fem forskargrupper</w:t>
      </w:r>
      <w:r w:rsidR="00393219" w:rsidRPr="00E43670">
        <w:t>,</w:t>
      </w:r>
      <w:r w:rsidR="00303CA0" w:rsidRPr="00E43670">
        <w:t xml:space="preserve"> där varje grupp består av lärare och forskare från flera högskolor i västra Sverige</w:t>
      </w:r>
      <w:r w:rsidR="00393219" w:rsidRPr="00E43670">
        <w:t>.</w:t>
      </w:r>
      <w:r w:rsidR="00303CA0" w:rsidRPr="00E43670">
        <w:t xml:space="preserve"> </w:t>
      </w:r>
      <w:r w:rsidR="00393219" w:rsidRPr="00E43670">
        <w:t>O</w:t>
      </w:r>
      <w:r w:rsidR="00303CA0" w:rsidRPr="00E43670">
        <w:t>mråden</w:t>
      </w:r>
      <w:r w:rsidR="00393219" w:rsidRPr="00E43670">
        <w:t xml:space="preserve"> som omfa</w:t>
      </w:r>
      <w:r w:rsidR="00393219" w:rsidRPr="00E43670">
        <w:t>t</w:t>
      </w:r>
      <w:r w:rsidR="00393219" w:rsidRPr="00E43670">
        <w:t>tas av projektet är följande:</w:t>
      </w:r>
      <w:r w:rsidR="00303CA0" w:rsidRPr="00E43670">
        <w:t xml:space="preserve"> processutveckling och processimulering, utfor</w:t>
      </w:r>
      <w:r w:rsidR="00303CA0" w:rsidRPr="00E43670">
        <w:t>m</w:t>
      </w:r>
      <w:r w:rsidR="00303CA0" w:rsidRPr="00E43670">
        <w:t>ning av produktionssystem, virtuell produktion, människan i produktion och automatis</w:t>
      </w:r>
      <w:r w:rsidR="00303CA0" w:rsidRPr="00E43670">
        <w:t>e</w:t>
      </w:r>
      <w:r w:rsidR="00303CA0" w:rsidRPr="00E43670">
        <w:t>ring samt produktivitet och effektivitet. Nätverket Produktion i Väst är den starkaste samlingen och koordineringen av forsknings- och u</w:t>
      </w:r>
      <w:r w:rsidR="00303CA0" w:rsidRPr="00E43670">
        <w:t>t</w:t>
      </w:r>
      <w:r w:rsidR="00303CA0" w:rsidRPr="00E43670">
        <w:t>bildningsr</w:t>
      </w:r>
      <w:r w:rsidR="00303CA0" w:rsidRPr="00E43670">
        <w:t>e</w:t>
      </w:r>
      <w:r w:rsidR="00303CA0" w:rsidRPr="00E43670">
        <w:t>surser inom produktionsområdet som genomförts i Sverige</w:t>
      </w:r>
      <w:r w:rsidR="00A74892" w:rsidRPr="00E43670">
        <w:t>,</w:t>
      </w:r>
      <w:r w:rsidR="00393219" w:rsidRPr="00E43670">
        <w:t xml:space="preserve"> och det har skett på högskolornas eget initiativ och inom ramen för befintliga resu</w:t>
      </w:r>
      <w:r w:rsidR="00393219" w:rsidRPr="00E43670">
        <w:t>r</w:t>
      </w:r>
      <w:r w:rsidR="00393219" w:rsidRPr="00E43670">
        <w:t>ser, säger motionärerna.</w:t>
      </w:r>
      <w:r w:rsidR="00303CA0" w:rsidRPr="00E43670">
        <w:t xml:space="preserve"> </w:t>
      </w:r>
      <w:r w:rsidR="00393219" w:rsidRPr="00E43670">
        <w:t xml:space="preserve">De menar dock att det nu </w:t>
      </w:r>
      <w:r w:rsidR="00303CA0" w:rsidRPr="00E43670">
        <w:t xml:space="preserve">krävs en medverkan och ett stöd från olika industriforskningsinstitut och regeringen. </w:t>
      </w:r>
    </w:p>
    <w:p w:rsidR="00303CA0" w:rsidRPr="00E43670" w:rsidRDefault="00393219" w:rsidP="00393219">
      <w:pPr>
        <w:pStyle w:val="Normaltindrag"/>
      </w:pPr>
      <w:r w:rsidRPr="00E43670">
        <w:t>Ett</w:t>
      </w:r>
      <w:r w:rsidR="00303CA0" w:rsidRPr="00E43670">
        <w:t xml:space="preserve"> tillkännag</w:t>
      </w:r>
      <w:r w:rsidRPr="00E43670">
        <w:t>ivande</w:t>
      </w:r>
      <w:r w:rsidR="00303CA0" w:rsidRPr="00E43670">
        <w:t xml:space="preserve"> om att </w:t>
      </w:r>
      <w:r w:rsidRPr="00E43670">
        <w:t xml:space="preserve">det bör </w:t>
      </w:r>
      <w:r w:rsidR="00303CA0" w:rsidRPr="00E43670">
        <w:t>tillskapa</w:t>
      </w:r>
      <w:r w:rsidRPr="00E43670">
        <w:t>s</w:t>
      </w:r>
      <w:r w:rsidR="00303CA0" w:rsidRPr="00E43670">
        <w:t xml:space="preserve"> ett nytt institut för verkstad</w:t>
      </w:r>
      <w:r w:rsidR="00303CA0" w:rsidRPr="00E43670">
        <w:t>s</w:t>
      </w:r>
      <w:r w:rsidR="00303CA0" w:rsidRPr="00E43670">
        <w:t>tek</w:t>
      </w:r>
      <w:r w:rsidRPr="00E43670">
        <w:t>nisk forskning och att detta bör</w:t>
      </w:r>
      <w:r w:rsidR="00303CA0" w:rsidRPr="00E43670">
        <w:t xml:space="preserve"> förlägga</w:t>
      </w:r>
      <w:r w:rsidRPr="00E43670">
        <w:t>s till Jönköping, föreslås i m</w:t>
      </w:r>
      <w:r w:rsidRPr="00E43670">
        <w:t>o</w:t>
      </w:r>
      <w:r w:rsidRPr="00E43670">
        <w:t>tion 2004/05:Ub286 (kd, m, fp, c)</w:t>
      </w:r>
      <w:r w:rsidR="00921B21" w:rsidRPr="00E43670">
        <w:t xml:space="preserve"> från allmänna motionstiden</w:t>
      </w:r>
      <w:r w:rsidRPr="00E43670">
        <w:t xml:space="preserve">. </w:t>
      </w:r>
      <w:r w:rsidR="00303CA0" w:rsidRPr="00E43670">
        <w:t>De nuvarande ind</w:t>
      </w:r>
      <w:r w:rsidR="00303CA0" w:rsidRPr="00E43670">
        <w:t>u</w:t>
      </w:r>
      <w:r w:rsidR="00303CA0" w:rsidRPr="00E43670">
        <w:t>striforskningsinstituten är mycket kompetenta, men en samordning krävs för att möta morgondagens behov</w:t>
      </w:r>
      <w:r w:rsidR="00726262" w:rsidRPr="00E43670">
        <w:t>, säger motionärerna</w:t>
      </w:r>
      <w:r w:rsidR="00303CA0" w:rsidRPr="00E43670">
        <w:t>. De</w:t>
      </w:r>
      <w:r w:rsidR="00726262" w:rsidRPr="00E43670">
        <w:t xml:space="preserve"> erinrar om att de</w:t>
      </w:r>
      <w:r w:rsidR="00303CA0" w:rsidRPr="00E43670">
        <w:t>t pågår en omstruktureringsprocess av forskningsinstituten</w:t>
      </w:r>
      <w:r w:rsidR="00726262" w:rsidRPr="00E43670">
        <w:t xml:space="preserve"> och att e</w:t>
      </w:r>
      <w:r w:rsidR="00303CA0" w:rsidRPr="00E43670">
        <w:t>n progra</w:t>
      </w:r>
      <w:r w:rsidR="00303CA0" w:rsidRPr="00E43670">
        <w:t>m</w:t>
      </w:r>
      <w:r w:rsidR="00303CA0" w:rsidRPr="00E43670">
        <w:t>kommitté har pr</w:t>
      </w:r>
      <w:r w:rsidR="00303CA0" w:rsidRPr="00E43670">
        <w:t>e</w:t>
      </w:r>
      <w:r w:rsidR="00303CA0" w:rsidRPr="00E43670">
        <w:t>senterat en fram</w:t>
      </w:r>
      <w:r w:rsidR="00726262" w:rsidRPr="00E43670">
        <w:t>tida</w:t>
      </w:r>
      <w:r w:rsidR="00303CA0" w:rsidRPr="00E43670">
        <w:t xml:space="preserve"> struktur med följande fyra områden: Bio-, miljö- och byggteknik; Fiber- och förpackningsteknik; Informationste</w:t>
      </w:r>
      <w:r w:rsidR="00303CA0" w:rsidRPr="00E43670">
        <w:t>k</w:t>
      </w:r>
      <w:r w:rsidR="00303CA0" w:rsidRPr="00E43670">
        <w:t>nik; Material- och verkstadsteknik. Förslaget om ett brett verkstadstekniskt forskningsinst</w:t>
      </w:r>
      <w:r w:rsidR="00303CA0" w:rsidRPr="00E43670">
        <w:t>i</w:t>
      </w:r>
      <w:r w:rsidR="00303CA0" w:rsidRPr="00E43670">
        <w:t>tut är mycket posi</w:t>
      </w:r>
      <w:r w:rsidR="00726262" w:rsidRPr="00E43670">
        <w:t>tivt</w:t>
      </w:r>
      <w:r w:rsidR="00A74892" w:rsidRPr="00E43670">
        <w:t>,</w:t>
      </w:r>
      <w:r w:rsidR="00726262" w:rsidRPr="00E43670">
        <w:t xml:space="preserve"> och Ireco </w:t>
      </w:r>
      <w:r w:rsidR="00303CA0" w:rsidRPr="00E43670">
        <w:t>bör snarast genomföra de</w:t>
      </w:r>
      <w:r w:rsidR="00726262" w:rsidRPr="00E43670">
        <w:t>tt</w:t>
      </w:r>
      <w:r w:rsidR="00303CA0" w:rsidRPr="00E43670">
        <w:t>a f</w:t>
      </w:r>
      <w:r w:rsidR="00726262" w:rsidRPr="00E43670">
        <w:t>örslag, anser motion</w:t>
      </w:r>
      <w:r w:rsidR="00726262" w:rsidRPr="00E43670">
        <w:t>ä</w:t>
      </w:r>
      <w:r w:rsidR="00726262" w:rsidRPr="00E43670">
        <w:t>rerna</w:t>
      </w:r>
      <w:r w:rsidR="00303CA0" w:rsidRPr="00E43670">
        <w:t xml:space="preserve">. </w:t>
      </w:r>
      <w:r w:rsidR="00726262" w:rsidRPr="00E43670">
        <w:t>Detta i</w:t>
      </w:r>
      <w:r w:rsidR="00303CA0" w:rsidRPr="00E43670">
        <w:t>nstitut måste kunna möta industrins behov av tillämpad forskning och utveckling</w:t>
      </w:r>
      <w:r w:rsidR="00A74892" w:rsidRPr="00E43670">
        <w:t>,</w:t>
      </w:r>
      <w:r w:rsidR="00303CA0" w:rsidRPr="00E43670">
        <w:t xml:space="preserve"> och institutets uppdrag och verksa</w:t>
      </w:r>
      <w:r w:rsidR="00303CA0" w:rsidRPr="00E43670">
        <w:t>m</w:t>
      </w:r>
      <w:r w:rsidR="00303CA0" w:rsidRPr="00E43670">
        <w:t>het måste ty</w:t>
      </w:r>
      <w:r w:rsidR="00303CA0" w:rsidRPr="00E43670">
        <w:t>d</w:t>
      </w:r>
      <w:r w:rsidR="00303CA0" w:rsidRPr="00E43670">
        <w:t>liggöras både utifrån övergripande behov och utifrån efterfrågan i industrin</w:t>
      </w:r>
      <w:r w:rsidR="00726262" w:rsidRPr="00E43670">
        <w:t>, anför motionärerna</w:t>
      </w:r>
      <w:r w:rsidR="00303CA0" w:rsidRPr="00E43670">
        <w:t>. De</w:t>
      </w:r>
      <w:r w:rsidR="00726262" w:rsidRPr="00E43670">
        <w:t xml:space="preserve"> menar att det</w:t>
      </w:r>
      <w:r w:rsidR="00303CA0" w:rsidRPr="00E43670">
        <w:t xml:space="preserve"> är viktigt att </w:t>
      </w:r>
      <w:r w:rsidR="00726262" w:rsidRPr="00E43670">
        <w:t>i</w:t>
      </w:r>
      <w:r w:rsidR="00303CA0" w:rsidRPr="00E43670">
        <w:t>nstitutet får en strategisk</w:t>
      </w:r>
      <w:r w:rsidR="00726262" w:rsidRPr="00E43670">
        <w:t>,</w:t>
      </w:r>
      <w:r w:rsidR="00303CA0" w:rsidRPr="00E43670">
        <w:t xml:space="preserve"> ge</w:t>
      </w:r>
      <w:r w:rsidR="00303CA0" w:rsidRPr="00E43670">
        <w:t>o</w:t>
      </w:r>
      <w:r w:rsidR="00303CA0" w:rsidRPr="00E43670">
        <w:t>gra</w:t>
      </w:r>
      <w:r w:rsidR="00726262" w:rsidRPr="00E43670">
        <w:t>fisk placering och att e</w:t>
      </w:r>
      <w:r w:rsidR="00303CA0" w:rsidRPr="00E43670">
        <w:t>n placering i Jönköping är att förorda av olika skäl – förekomsten av många små och medelstora företag, Ingenjör</w:t>
      </w:r>
      <w:r w:rsidR="00303CA0" w:rsidRPr="00E43670">
        <w:t>s</w:t>
      </w:r>
      <w:r w:rsidR="00303CA0" w:rsidRPr="00E43670">
        <w:t>högsk</w:t>
      </w:r>
      <w:r w:rsidR="00303CA0" w:rsidRPr="00E43670">
        <w:t>o</w:t>
      </w:r>
      <w:r w:rsidR="00303CA0" w:rsidRPr="00E43670">
        <w:t>lan vid Jönköpings tekniska högskola och Internationella högskolan, forskningssamarb</w:t>
      </w:r>
      <w:r w:rsidR="00303CA0" w:rsidRPr="00E43670">
        <w:t>e</w:t>
      </w:r>
      <w:r w:rsidR="00303CA0" w:rsidRPr="00E43670">
        <w:t>te med ett tyskt Fraunhofer-institut, m.m.</w:t>
      </w:r>
    </w:p>
    <w:p w:rsidR="00303CA0" w:rsidRPr="00E43670" w:rsidRDefault="00726262" w:rsidP="00726262">
      <w:pPr>
        <w:pStyle w:val="Normaltindrag"/>
      </w:pPr>
      <w:r w:rsidRPr="00E43670">
        <w:t xml:space="preserve">I motion </w:t>
      </w:r>
      <w:r w:rsidR="00303CA0" w:rsidRPr="00E43670">
        <w:t xml:space="preserve">2004/05:N241 (fp) </w:t>
      </w:r>
      <w:r w:rsidR="00921B21" w:rsidRPr="00E43670">
        <w:t xml:space="preserve">från allmänna motionstiden </w:t>
      </w:r>
      <w:r w:rsidRPr="00E43670">
        <w:t xml:space="preserve">föreslås ett </w:t>
      </w:r>
      <w:r w:rsidR="00303CA0" w:rsidRPr="00E43670">
        <w:t>til</w:t>
      </w:r>
      <w:r w:rsidR="00303CA0" w:rsidRPr="00E43670">
        <w:t>l</w:t>
      </w:r>
      <w:r w:rsidR="00303CA0" w:rsidRPr="00E43670">
        <w:t>kännag</w:t>
      </w:r>
      <w:r w:rsidRPr="00E43670">
        <w:t>ivande</w:t>
      </w:r>
      <w:r w:rsidR="00303CA0" w:rsidRPr="00E43670">
        <w:t xml:space="preserve"> om Södertäljes förutsättningar att fortsatt vara ett viktigt cen</w:t>
      </w:r>
      <w:r w:rsidR="00303CA0" w:rsidRPr="00E43670">
        <w:t>t</w:t>
      </w:r>
      <w:r w:rsidR="00303CA0" w:rsidRPr="00E43670">
        <w:t xml:space="preserve">rum för </w:t>
      </w:r>
      <w:r w:rsidR="00A74892" w:rsidRPr="00E43670">
        <w:t>fordonsmässig</w:t>
      </w:r>
      <w:r w:rsidR="00303CA0" w:rsidRPr="00E43670">
        <w:t xml:space="preserve"> produktion, forskning och utveckling</w:t>
      </w:r>
      <w:r w:rsidRPr="00E43670">
        <w:t xml:space="preserve">. </w:t>
      </w:r>
      <w:r w:rsidR="00303CA0" w:rsidRPr="00E43670">
        <w:t>Sverige måste ligga i framkant vad gäller forskning, utveckling, produktion och marknadsf</w:t>
      </w:r>
      <w:r w:rsidR="00303CA0" w:rsidRPr="00E43670">
        <w:t>ö</w:t>
      </w:r>
      <w:r w:rsidR="00303CA0" w:rsidRPr="00E43670">
        <w:t>ring för att säkerstä</w:t>
      </w:r>
      <w:r w:rsidR="00303CA0" w:rsidRPr="00E43670">
        <w:t>l</w:t>
      </w:r>
      <w:r w:rsidR="00303CA0" w:rsidRPr="00E43670">
        <w:t>la att inte viktiga delar av verksamheten flyttas till andra länder där förhållandena anses ge bättre företagsekonomiska förutsättningar</w:t>
      </w:r>
      <w:r w:rsidRPr="00E43670">
        <w:t>, anför motionärerna</w:t>
      </w:r>
      <w:r w:rsidR="00303CA0" w:rsidRPr="00E43670">
        <w:t xml:space="preserve">. </w:t>
      </w:r>
      <w:r w:rsidRPr="00E43670">
        <w:t>De menar att f</w:t>
      </w:r>
      <w:r w:rsidR="00303CA0" w:rsidRPr="00E43670">
        <w:t>orskningsintensiva företag behöver en kringli</w:t>
      </w:r>
      <w:r w:rsidR="00303CA0" w:rsidRPr="00E43670">
        <w:t>g</w:t>
      </w:r>
      <w:r w:rsidR="00303CA0" w:rsidRPr="00E43670">
        <w:t>gande miljö som stimulerar utbyte av erfarenheter och kunskaper mellan skilda men till sin akademiska inrik</w:t>
      </w:r>
      <w:r w:rsidR="00303CA0" w:rsidRPr="00E43670">
        <w:t>t</w:t>
      </w:r>
      <w:r w:rsidR="00303CA0" w:rsidRPr="00E43670">
        <w:t>ning likartade verksamheter</w:t>
      </w:r>
      <w:r w:rsidRPr="00E43670">
        <w:t>, vilket i</w:t>
      </w:r>
      <w:r w:rsidR="00303CA0" w:rsidRPr="00E43670">
        <w:t xml:space="preserve"> Södertälje kommer till uttryck främst på fordonsområd</w:t>
      </w:r>
      <w:r w:rsidRPr="00E43670">
        <w:t>et</w:t>
      </w:r>
      <w:r w:rsidR="00303CA0" w:rsidRPr="00E43670">
        <w:t>.</w:t>
      </w:r>
    </w:p>
    <w:p w:rsidR="00303CA0" w:rsidRPr="00E43670" w:rsidRDefault="00303CA0" w:rsidP="00726262">
      <w:pPr>
        <w:pStyle w:val="R4"/>
      </w:pPr>
      <w:r w:rsidRPr="00E43670">
        <w:t>Vissa kompletterande uppgifter</w:t>
      </w:r>
    </w:p>
    <w:p w:rsidR="00303CA0" w:rsidRPr="00E43670" w:rsidRDefault="00303CA0" w:rsidP="00303CA0">
      <w:r w:rsidRPr="00E43670">
        <w:t>I propositionen (s. 153) finns, som tidigare redo</w:t>
      </w:r>
      <w:r w:rsidR="00D825EF" w:rsidRPr="00E43670">
        <w:t>visats</w:t>
      </w:r>
      <w:r w:rsidRPr="00E43670">
        <w:t xml:space="preserve"> </w:t>
      </w:r>
      <w:r w:rsidR="00726262" w:rsidRPr="00E43670">
        <w:t>i avsnittet</w:t>
      </w:r>
      <w:r w:rsidR="00D825EF" w:rsidRPr="00E43670">
        <w:t xml:space="preserve"> om FoU</w:t>
      </w:r>
      <w:r w:rsidR="00A74892" w:rsidRPr="00E43670">
        <w:t>-</w:t>
      </w:r>
      <w:r w:rsidRPr="00E43670">
        <w:t>program i samverkan med näringslivet</w:t>
      </w:r>
      <w:r w:rsidR="00D825EF" w:rsidRPr="00E43670">
        <w:t>,</w:t>
      </w:r>
      <w:r w:rsidRPr="00E43670">
        <w:t xml:space="preserve"> ett särskilt avsnitt om forskningspr</w:t>
      </w:r>
      <w:r w:rsidRPr="00E43670">
        <w:t>o</w:t>
      </w:r>
      <w:r w:rsidRPr="00E43670">
        <w:t>gram med koppling till fordonsindustrin. Där redogörs för det arbete rörande fordonsforskningen under programrådet för fordon</w:t>
      </w:r>
      <w:r w:rsidRPr="00E43670">
        <w:t>s</w:t>
      </w:r>
      <w:r w:rsidRPr="00E43670">
        <w:t>forskning som bedrivits sedan år 1994 och vilka medel som skall anvisas arbetet fra</w:t>
      </w:r>
      <w:r w:rsidRPr="00E43670">
        <w:t>m</w:t>
      </w:r>
      <w:r w:rsidRPr="00E43670">
        <w:t xml:space="preserve">över. Vidare </w:t>
      </w:r>
      <w:r w:rsidR="00260AB6" w:rsidRPr="00E43670">
        <w:t>informeras om</w:t>
      </w:r>
      <w:r w:rsidRPr="00E43670">
        <w:t xml:space="preserve"> Vinnovas uppdrag att lämna förslag på FoU-program inom områdena produktionsteknik och fordonstelematik</w:t>
      </w:r>
      <w:r w:rsidR="00260AB6" w:rsidRPr="00E43670">
        <w:t xml:space="preserve"> (fordons-IT)</w:t>
      </w:r>
      <w:r w:rsidRPr="00E43670">
        <w:t xml:space="preserve"> och de medel som rege</w:t>
      </w:r>
      <w:r w:rsidRPr="00E43670">
        <w:t>r</w:t>
      </w:r>
      <w:r w:rsidRPr="00E43670">
        <w:t xml:space="preserve">ingen vill avsätta för dessa ändamål. </w:t>
      </w:r>
    </w:p>
    <w:p w:rsidR="00303CA0" w:rsidRPr="00E43670" w:rsidRDefault="00303CA0" w:rsidP="00726262">
      <w:pPr>
        <w:pStyle w:val="Normaltindrag"/>
      </w:pPr>
      <w:r w:rsidRPr="00E43670">
        <w:t>Vinnova redovisade den 15 mars</w:t>
      </w:r>
      <w:r w:rsidR="007D4084" w:rsidRPr="00E43670">
        <w:t xml:space="preserve"> 2005</w:t>
      </w:r>
      <w:r w:rsidRPr="00E43670">
        <w:t xml:space="preserve"> uppdraget i en rapport (dnr 2004-02841). I förslaget ingår två FoU-program – dels ett inom produktionsteknik med fokus på tillverkningsprocesser, produktionssystem och produktionsu</w:t>
      </w:r>
      <w:r w:rsidRPr="00E43670">
        <w:t>t</w:t>
      </w:r>
      <w:r w:rsidRPr="00E43670">
        <w:t>veckling, dels ett inom fordons-IT med fokus på fordonstelematik och fo</w:t>
      </w:r>
      <w:r w:rsidRPr="00E43670">
        <w:t>r</w:t>
      </w:r>
      <w:r w:rsidRPr="00E43670">
        <w:t>donselektronik. Inom produktionsteknik föreslås gemensamma satsningar på minst 580 milj</w:t>
      </w:r>
      <w:r w:rsidRPr="00E43670">
        <w:t>o</w:t>
      </w:r>
      <w:r w:rsidRPr="00E43670">
        <w:t xml:space="preserve">ner kronor och inom fordons-IT </w:t>
      </w:r>
      <w:r w:rsidR="00260AB6" w:rsidRPr="00E43670">
        <w:t xml:space="preserve">på </w:t>
      </w:r>
      <w:r w:rsidRPr="00E43670">
        <w:t>minst 180 miljoner kronor under perioden 2005–2008. Programmen skall bl.a. möjliggöra en fortsatt konku</w:t>
      </w:r>
      <w:r w:rsidRPr="00E43670">
        <w:t>r</w:t>
      </w:r>
      <w:r w:rsidRPr="00E43670">
        <w:t>renskraftig svensk fordonsindustri, effektivisera nyttiggörandet av forskningsresultat, skapa varaktiga arbetstillfällen i tillverknings- och fo</w:t>
      </w:r>
      <w:r w:rsidRPr="00E43670">
        <w:t>r</w:t>
      </w:r>
      <w:r w:rsidRPr="00E43670">
        <w:t>donsindustrie</w:t>
      </w:r>
      <w:r w:rsidRPr="00E43670">
        <w:t>r</w:t>
      </w:r>
      <w:r w:rsidRPr="00E43670">
        <w:t>na samt få internationella koncerner att satsa på FoU i Sverige. Inom produktionsteknik ingår t.ex. satsningar på integrerad produktionsu</w:t>
      </w:r>
      <w:r w:rsidRPr="00E43670">
        <w:t>t</w:t>
      </w:r>
      <w:r w:rsidRPr="00E43670">
        <w:t>veckling, simulering av tillverkningsprocesser och virtuell produktionsu</w:t>
      </w:r>
      <w:r w:rsidRPr="00E43670">
        <w:t>t</w:t>
      </w:r>
      <w:r w:rsidRPr="00E43670">
        <w:t>veckling. Inom fo</w:t>
      </w:r>
      <w:r w:rsidRPr="00E43670">
        <w:t>r</w:t>
      </w:r>
      <w:r w:rsidRPr="00E43670">
        <w:t>dons-IT ingår t.ex. satsningar på datorarkitektur – hur datorer, sensorer och styrenh</w:t>
      </w:r>
      <w:r w:rsidRPr="00E43670">
        <w:t>e</w:t>
      </w:r>
      <w:r w:rsidRPr="00E43670">
        <w:t xml:space="preserve">ter kommunicerar och fungerar </w:t>
      </w:r>
      <w:r w:rsidR="00A74892" w:rsidRPr="00E43670">
        <w:t>tillsammans – samt hur teknik</w:t>
      </w:r>
      <w:r w:rsidRPr="00E43670">
        <w:t>er från fordons- och telekommunikationsindustrierna kan användas i kommunikationen mellan fordon och infrastruktur. Programförsl</w:t>
      </w:r>
      <w:r w:rsidRPr="00E43670">
        <w:t>a</w:t>
      </w:r>
      <w:r w:rsidRPr="00E43670">
        <w:t>gen skall ta till vara det regionala behovet av kraftsamling kring västsvensk fordonsindustri och det nationella intresset av internationellt konkurrenskra</w:t>
      </w:r>
      <w:r w:rsidRPr="00E43670">
        <w:t>f</w:t>
      </w:r>
      <w:r w:rsidRPr="00E43670">
        <w:t>tiga FoU-miljöer som kan gynna hela den svenska fordonsindustrin och til</w:t>
      </w:r>
      <w:r w:rsidRPr="00E43670">
        <w:t>l</w:t>
      </w:r>
      <w:r w:rsidRPr="00E43670">
        <w:t xml:space="preserve">verkningsindustrin. </w:t>
      </w:r>
    </w:p>
    <w:p w:rsidR="00303CA0" w:rsidRPr="00E43670" w:rsidRDefault="00303CA0" w:rsidP="00726262">
      <w:pPr>
        <w:pStyle w:val="Normaltindrag"/>
      </w:pPr>
      <w:r w:rsidRPr="00E43670">
        <w:t>De båda FoU-programmens övergripande målsättning är att bidra till den svenska fordonsindustrins internationella konkurrenskraft. Programmen syftar till att främja detta genom sådan forskning och utveckling som stärker fo</w:t>
      </w:r>
      <w:r w:rsidRPr="00E43670">
        <w:t>r</w:t>
      </w:r>
      <w:r w:rsidRPr="00E43670">
        <w:t>donsföretagens svenska etableringar och bidrar till att Sverige är attraktivt för framtida nyetableringar. I förslagen ingår en ökad samverkan av regionala och nationella resurser</w:t>
      </w:r>
      <w:r w:rsidR="00A74892" w:rsidRPr="00E43670">
        <w:t>,</w:t>
      </w:r>
      <w:r w:rsidRPr="00E43670">
        <w:t xml:space="preserve"> och därför föreslås en sammanhållen finansiering där statens och regionens medel tillsammans utgör offentliga medel som medf</w:t>
      </w:r>
      <w:r w:rsidRPr="00E43670">
        <w:t>i</w:t>
      </w:r>
      <w:r w:rsidRPr="00E43670">
        <w:t>nansieras av övriga aktörer med minst samma belopp. Fordonsindustrins behov har varit styrande för programutformningen, varför de fyra fordonstil</w:t>
      </w:r>
      <w:r w:rsidRPr="00E43670">
        <w:t>l</w:t>
      </w:r>
      <w:r w:rsidRPr="00E43670">
        <w:t xml:space="preserve">verkarna – Saab Automobile AB, Volvo Personvagnar AB, Volvo AB och Scania AB – är naturliga avtalsparter i programmen. </w:t>
      </w:r>
    </w:p>
    <w:p w:rsidR="00303CA0" w:rsidRPr="00E43670" w:rsidRDefault="00303CA0" w:rsidP="00726262">
      <w:pPr>
        <w:pStyle w:val="Normaltindrag"/>
      </w:pPr>
      <w:r w:rsidRPr="00E43670">
        <w:t>Vinnovas förslag till FoU-program inom områdena produktionsteknik och fordonstelematik bereds för närvarande inom Regeringskansliet. Huruvida projektet Produktion i Väst, som aktualiserats i några motioner, kan komma att få stöd från detta program eller från andra av Vinnovas program är ett beslut som det tillkommer myndigheten att fatta. Ett sådant beslut kan också fattas av myndigheten tillsammans med övriga avtalsparter inom ramen för ett samverkansprogram.</w:t>
      </w:r>
    </w:p>
    <w:p w:rsidR="00303CA0" w:rsidRPr="00E43670" w:rsidRDefault="00303CA0" w:rsidP="00726262">
      <w:pPr>
        <w:pStyle w:val="Normaltindrag"/>
      </w:pPr>
      <w:r w:rsidRPr="00E43670">
        <w:t>Riksdagen avslog – på förslag av näringsutskottet – tidigare under våren 2005 två motionsyrkanden rörande insatser för fordonsindustrin (bet. 2004/05:NU9). Utskottet hänvisade till de satsningar på infrastruktur, fors</w:t>
      </w:r>
      <w:r w:rsidRPr="00E43670">
        <w:t>k</w:t>
      </w:r>
      <w:r w:rsidRPr="00E43670">
        <w:t>ning och utbildning för att stärka Trollhättan och Västsverige som produ</w:t>
      </w:r>
      <w:r w:rsidRPr="00E43670">
        <w:t>k</w:t>
      </w:r>
      <w:r w:rsidRPr="00E43670">
        <w:t>tionsplats för fordonsindustrin som regeringen, Vänsterpartiet och Miljöpart</w:t>
      </w:r>
      <w:r w:rsidRPr="00E43670">
        <w:t>i</w:t>
      </w:r>
      <w:r w:rsidRPr="00E43670">
        <w:t>et enats om. I en reservation (m, fp, kd, c) förordades att regeringen bör uta</w:t>
      </w:r>
      <w:r w:rsidRPr="00E43670">
        <w:t>r</w:t>
      </w:r>
      <w:r w:rsidRPr="00E43670">
        <w:t>beta en offensiv strategi när det gäller fordonsindustrin.  Reservanterna ansåg att statsmakterna tydligt måste ta ansvar för de övergripande nationella stru</w:t>
      </w:r>
      <w:r w:rsidRPr="00E43670">
        <w:t>k</w:t>
      </w:r>
      <w:r w:rsidRPr="00E43670">
        <w:t>turerna, såsom t.ex. forskning, skatter, utbildning och infrastruktur, med syfte att tillse såväl att nuvarande industrijobb behålls som att nya</w:t>
      </w:r>
      <w:r w:rsidR="00260AB6" w:rsidRPr="00E43670">
        <w:t xml:space="preserve"> skapas</w:t>
      </w:r>
      <w:r w:rsidRPr="00E43670">
        <w:t>.</w:t>
      </w:r>
    </w:p>
    <w:p w:rsidR="00FC2706" w:rsidRPr="00E43670" w:rsidRDefault="00FC2706" w:rsidP="00FC2706">
      <w:pPr>
        <w:pStyle w:val="R4"/>
      </w:pPr>
      <w:r w:rsidRPr="00E43670">
        <w:t>Näringsutskottets ställningstagande</w:t>
      </w:r>
    </w:p>
    <w:p w:rsidR="00F35920" w:rsidRPr="00E43670" w:rsidRDefault="00F35920" w:rsidP="00CD673C">
      <w:r w:rsidRPr="00E43670">
        <w:t xml:space="preserve">Verkstadsteknisk forskning, som är föremål för yrkande i de fem här aktuella motionerna 2004/05:N419 (s), 2004/05:Ub439 (s), 2004/05:N418 (fp, m, v, kd, c), 2004/05:Ub286 (kd, m, fp, c) och 2004/05:N241 (fp), är ett mycket viktigt område och av stor betydelse för det svenska näringslivet och dess utveckling. Som redovisats pågår det FoU-program </w:t>
      </w:r>
      <w:r w:rsidR="00ED044D" w:rsidRPr="00E43670">
        <w:t>med denna inriktning</w:t>
      </w:r>
      <w:r w:rsidRPr="00E43670">
        <w:t>. Vid</w:t>
      </w:r>
      <w:r w:rsidRPr="00E43670">
        <w:t>a</w:t>
      </w:r>
      <w:r w:rsidRPr="00E43670">
        <w:t>re planeras ytterligare programinsatser på området, vilket redovisas i propos</w:t>
      </w:r>
      <w:r w:rsidRPr="00E43670">
        <w:t>i</w:t>
      </w:r>
      <w:r w:rsidRPr="00E43670">
        <w:t>tionen. Vinnova har nyligen avrapporterat uppdrag rörande FoU-program inom produktion</w:t>
      </w:r>
      <w:r w:rsidRPr="00E43670">
        <w:t>s</w:t>
      </w:r>
      <w:r w:rsidRPr="00E43670">
        <w:t>teknik och fordonstelematik</w:t>
      </w:r>
      <w:r w:rsidR="00BB5C15" w:rsidRPr="00E43670">
        <w:t>,</w:t>
      </w:r>
      <w:r w:rsidRPr="00E43670">
        <w:t xml:space="preserve"> och myndighetens förslag bereds nu inom Regeringskansliet. Inom kretsen av industrifors</w:t>
      </w:r>
      <w:r w:rsidRPr="00E43670">
        <w:t>k</w:t>
      </w:r>
      <w:r w:rsidRPr="00E43670">
        <w:t xml:space="preserve">ningsinstitut </w:t>
      </w:r>
      <w:r w:rsidR="00CD673C" w:rsidRPr="00E43670">
        <w:t>finns, som tidigare redovisats, en gruppering på de material- och verkstadstekniska o</w:t>
      </w:r>
      <w:r w:rsidR="00CD673C" w:rsidRPr="00E43670">
        <w:t>m</w:t>
      </w:r>
      <w:r w:rsidR="00CD673C" w:rsidRPr="00E43670">
        <w:t xml:space="preserve">rådena. </w:t>
      </w:r>
    </w:p>
    <w:p w:rsidR="00CD673C" w:rsidRPr="00E43670" w:rsidRDefault="00CD673C" w:rsidP="00CD673C">
      <w:pPr>
        <w:pStyle w:val="Normaltindrag"/>
      </w:pPr>
      <w:r w:rsidRPr="00E43670">
        <w:t xml:space="preserve">Med hänvisning till de insatser som redan </w:t>
      </w:r>
      <w:r w:rsidR="006761D4" w:rsidRPr="00E43670">
        <w:t>gör</w:t>
      </w:r>
      <w:r w:rsidRPr="00E43670">
        <w:t>s och de som planeras anser näringsutskottet att det inte finns anledning för riksdagen att agera i frågan om verkstadsteknisk forskning. När det gäller frågan om stöd till enskilda projekt som det här aktuella Produktion i Väst</w:t>
      </w:r>
      <w:r w:rsidR="00A74892" w:rsidRPr="00E43670">
        <w:t>,</w:t>
      </w:r>
      <w:r w:rsidRPr="00E43670">
        <w:t xml:space="preserve"> är det des</w:t>
      </w:r>
      <w:r w:rsidRPr="00E43670">
        <w:t>s</w:t>
      </w:r>
      <w:r w:rsidRPr="00E43670">
        <w:t>utom en typ av beslut som det tillkommer myndigheten eller finansiären att fatta. Utbil</w:t>
      </w:r>
      <w:r w:rsidRPr="00E43670">
        <w:t>d</w:t>
      </w:r>
      <w:r w:rsidRPr="00E43670">
        <w:t xml:space="preserve">ningsutskottet bör således avstyrka de </w:t>
      </w:r>
      <w:r w:rsidR="006761D4" w:rsidRPr="00E43670">
        <w:t xml:space="preserve">fem här </w:t>
      </w:r>
      <w:r w:rsidRPr="00E43670">
        <w:t>aktuella motionerna i b</w:t>
      </w:r>
      <w:r w:rsidRPr="00E43670">
        <w:t>e</w:t>
      </w:r>
      <w:r w:rsidRPr="00E43670">
        <w:t>rörda delar.</w:t>
      </w:r>
    </w:p>
    <w:p w:rsidR="00303CA0" w:rsidRPr="00E43670" w:rsidRDefault="00303CA0" w:rsidP="00824F16">
      <w:pPr>
        <w:pStyle w:val="R3"/>
      </w:pPr>
      <w:r w:rsidRPr="00E43670">
        <w:t>Neutronforskningsanläggningen ESS</w:t>
      </w:r>
    </w:p>
    <w:p w:rsidR="00303CA0" w:rsidRPr="00E43670" w:rsidRDefault="00921B21" w:rsidP="00824F16">
      <w:pPr>
        <w:pStyle w:val="R4"/>
        <w:spacing w:before="125"/>
      </w:pPr>
      <w:r w:rsidRPr="00E43670">
        <w:t>Motionerna</w:t>
      </w:r>
    </w:p>
    <w:p w:rsidR="00303CA0" w:rsidRPr="00E43670" w:rsidRDefault="002E1DF0" w:rsidP="00303CA0">
      <w:r w:rsidRPr="00E43670">
        <w:t xml:space="preserve">I motion </w:t>
      </w:r>
      <w:r w:rsidR="00303CA0" w:rsidRPr="00E43670">
        <w:t>2004/05:N278 (s)</w:t>
      </w:r>
      <w:r w:rsidRPr="00E43670">
        <w:t xml:space="preserve"> </w:t>
      </w:r>
      <w:r w:rsidR="00921B21" w:rsidRPr="00E43670">
        <w:t xml:space="preserve">från allmänna motionstiden </w:t>
      </w:r>
      <w:r w:rsidRPr="00E43670">
        <w:t xml:space="preserve">föreslås ett </w:t>
      </w:r>
      <w:r w:rsidR="00303CA0" w:rsidRPr="00E43670">
        <w:t>tillkänn</w:t>
      </w:r>
      <w:r w:rsidR="00303CA0" w:rsidRPr="00E43670">
        <w:t>a</w:t>
      </w:r>
      <w:r w:rsidR="00303CA0" w:rsidRPr="00E43670">
        <w:t>g</w:t>
      </w:r>
      <w:r w:rsidRPr="00E43670">
        <w:t>ivande</w:t>
      </w:r>
      <w:r w:rsidR="00303CA0" w:rsidRPr="00E43670">
        <w:t xml:space="preserve"> om </w:t>
      </w:r>
      <w:r w:rsidRPr="00E43670">
        <w:t>att ne</w:t>
      </w:r>
      <w:r w:rsidRPr="00E43670">
        <w:t>u</w:t>
      </w:r>
      <w:r w:rsidRPr="00E43670">
        <w:t>tronforsknings</w:t>
      </w:r>
      <w:r w:rsidR="00303CA0" w:rsidRPr="00E43670">
        <w:t xml:space="preserve">anläggningen </w:t>
      </w:r>
      <w:r w:rsidRPr="00E43670">
        <w:t xml:space="preserve">ESS bör lokaliseras </w:t>
      </w:r>
      <w:r w:rsidR="00303CA0" w:rsidRPr="00E43670">
        <w:t>till Lund och Sverige. European Spa</w:t>
      </w:r>
      <w:r w:rsidR="00303CA0" w:rsidRPr="00E43670">
        <w:t>l</w:t>
      </w:r>
      <w:r w:rsidR="00303CA0" w:rsidRPr="00E43670">
        <w:t xml:space="preserve">lation Source (ESS) är en forskningsanläggning som </w:t>
      </w:r>
      <w:r w:rsidRPr="00E43670">
        <w:t xml:space="preserve">enligt </w:t>
      </w:r>
      <w:r w:rsidR="00303CA0" w:rsidRPr="00E43670">
        <w:t>planer</w:t>
      </w:r>
      <w:r w:rsidRPr="00E43670">
        <w:t>n</w:t>
      </w:r>
      <w:r w:rsidR="00303CA0" w:rsidRPr="00E43670">
        <w:t>a</w:t>
      </w:r>
      <w:r w:rsidRPr="00E43670">
        <w:t xml:space="preserve"> skall</w:t>
      </w:r>
      <w:r w:rsidR="00303CA0" w:rsidRPr="00E43670">
        <w:t xml:space="preserve"> byggas i Europa och tas i drift om ett tiotal år. Forskningen vid ESS kommer att innebära att neutroner utnyttjas för att st</w:t>
      </w:r>
      <w:r w:rsidR="00303CA0" w:rsidRPr="00E43670">
        <w:t>u</w:t>
      </w:r>
      <w:r w:rsidR="00303CA0" w:rsidRPr="00E43670">
        <w:t>dera hur ett material är up</w:t>
      </w:r>
      <w:r w:rsidR="00303CA0" w:rsidRPr="00E43670">
        <w:t>p</w:t>
      </w:r>
      <w:r w:rsidR="00303CA0" w:rsidRPr="00E43670">
        <w:t>byggt och fungerar. Anläggningen kommer att få central betydelse för flera strategiska forskningsområden, såsom bio- och nanoteknik, utveckling av läkemedel och biokompatibla implantat, materia</w:t>
      </w:r>
      <w:r w:rsidR="00303CA0" w:rsidRPr="00E43670">
        <w:t>l</w:t>
      </w:r>
      <w:r w:rsidR="00303CA0" w:rsidRPr="00E43670">
        <w:t>teknik, energ</w:t>
      </w:r>
      <w:r w:rsidR="00303CA0" w:rsidRPr="00E43670">
        <w:t>i</w:t>
      </w:r>
      <w:r w:rsidR="00303CA0" w:rsidRPr="00E43670">
        <w:t>teknik och många andra potentiella applikationsområden</w:t>
      </w:r>
      <w:r w:rsidRPr="00E43670">
        <w:t>, anför motionärerna</w:t>
      </w:r>
      <w:r w:rsidR="00303CA0" w:rsidRPr="00E43670">
        <w:t>. ESS-Scandinavia är dels en förening (bildad hösten 2000 av de svenska, danska och norska neutronspridningssällsk</w:t>
      </w:r>
      <w:r w:rsidR="00303CA0" w:rsidRPr="00E43670">
        <w:t>a</w:t>
      </w:r>
      <w:r w:rsidR="00303CA0" w:rsidRPr="00E43670">
        <w:t>pen), dels ett konsortium som driver frågan om att ESS skall byggas i Lunds ko</w:t>
      </w:r>
      <w:r w:rsidR="00303CA0" w:rsidRPr="00E43670">
        <w:t>m</w:t>
      </w:r>
      <w:r w:rsidR="00303CA0" w:rsidRPr="00E43670">
        <w:t>mun. Beslut kan väntas någon gång mellan åren 2005 och 2007 som resultat av förhandlingar på hög nivå mellan inblandade länder. ESS-Scandinavia har varit i kontakt med företräd</w:t>
      </w:r>
      <w:r w:rsidR="00303CA0" w:rsidRPr="00E43670">
        <w:t>a</w:t>
      </w:r>
      <w:r w:rsidR="00303CA0" w:rsidRPr="00E43670">
        <w:t>re för Närings</w:t>
      </w:r>
      <w:r w:rsidR="003D21FA" w:rsidRPr="00E43670">
        <w:t>-</w:t>
      </w:r>
      <w:r w:rsidR="00303CA0" w:rsidRPr="00E43670">
        <w:t xml:space="preserve"> och Utbildningsdepartemente</w:t>
      </w:r>
      <w:r w:rsidR="003D21FA" w:rsidRPr="00E43670">
        <w:t>n</w:t>
      </w:r>
      <w:r w:rsidR="00303CA0" w:rsidRPr="00E43670">
        <w:t xml:space="preserve"> och påpekat vikten av att Sverige </w:t>
      </w:r>
      <w:r w:rsidR="006B4809" w:rsidRPr="00E43670">
        <w:t xml:space="preserve">agerar </w:t>
      </w:r>
      <w:r w:rsidR="00303CA0" w:rsidRPr="00E43670">
        <w:t>för att anläggningen skall lokaliseras till Lund</w:t>
      </w:r>
      <w:r w:rsidRPr="00E43670">
        <w:t>, säger m</w:t>
      </w:r>
      <w:r w:rsidRPr="00E43670">
        <w:t>o</w:t>
      </w:r>
      <w:r w:rsidRPr="00E43670">
        <w:t>tionärerna</w:t>
      </w:r>
      <w:r w:rsidR="00303CA0" w:rsidRPr="00E43670">
        <w:t xml:space="preserve">. </w:t>
      </w:r>
      <w:r w:rsidR="001D0B86" w:rsidRPr="00E43670">
        <w:t>De bedömer att k</w:t>
      </w:r>
      <w:r w:rsidR="00303CA0" w:rsidRPr="00E43670">
        <w:t xml:space="preserve">onkurrensen om anläggningen kan </w:t>
      </w:r>
      <w:r w:rsidR="001D0B86" w:rsidRPr="00E43670">
        <w:t>f</w:t>
      </w:r>
      <w:r w:rsidR="00303CA0" w:rsidRPr="00E43670">
        <w:t>örväntas hår</w:t>
      </w:r>
      <w:r w:rsidR="00303CA0" w:rsidRPr="00E43670">
        <w:t>d</w:t>
      </w:r>
      <w:r w:rsidR="00303CA0" w:rsidRPr="00E43670">
        <w:t>na</w:t>
      </w:r>
      <w:r w:rsidR="00A74892" w:rsidRPr="00E43670">
        <w:t>,</w:t>
      </w:r>
      <w:r w:rsidR="00303CA0" w:rsidRPr="00E43670">
        <w:t xml:space="preserve"> och de</w:t>
      </w:r>
      <w:r w:rsidR="001D0B86" w:rsidRPr="00E43670">
        <w:t xml:space="preserve"> anser att de</w:t>
      </w:r>
      <w:r w:rsidR="00303CA0" w:rsidRPr="00E43670">
        <w:t>t krävs att regeringen ekonomiskt backar upp och i europeiska sa</w:t>
      </w:r>
      <w:r w:rsidR="00303CA0" w:rsidRPr="00E43670">
        <w:t>m</w:t>
      </w:r>
      <w:r w:rsidR="00303CA0" w:rsidRPr="00E43670">
        <w:t>manhang driver kravet på en lokalisering till Lund. Det är positivt att regeringen har gett i uppdrag till en särskild förhan</w:t>
      </w:r>
      <w:r w:rsidR="00303CA0" w:rsidRPr="00E43670">
        <w:t>d</w:t>
      </w:r>
      <w:r w:rsidR="00303CA0" w:rsidRPr="00E43670">
        <w:t>lare att undersöka möjligheten att placera ESS i Sverige</w:t>
      </w:r>
      <w:r w:rsidR="001D0B86" w:rsidRPr="00E43670">
        <w:t>, framhåller motion</w:t>
      </w:r>
      <w:r w:rsidR="001D0B86" w:rsidRPr="00E43670">
        <w:t>ä</w:t>
      </w:r>
      <w:r w:rsidR="001D0B86" w:rsidRPr="00E43670">
        <w:t>rerna</w:t>
      </w:r>
      <w:r w:rsidR="00303CA0" w:rsidRPr="00E43670">
        <w:t xml:space="preserve">. </w:t>
      </w:r>
      <w:r w:rsidR="001D0B86" w:rsidRPr="00E43670">
        <w:t xml:space="preserve">De erinrar om </w:t>
      </w:r>
      <w:r w:rsidR="00ED044D" w:rsidRPr="00E43670">
        <w:t xml:space="preserve">att </w:t>
      </w:r>
      <w:r w:rsidR="00303CA0" w:rsidRPr="00E43670">
        <w:rPr>
          <w:snapToGrid w:val="0"/>
        </w:rPr>
        <w:t>nä</w:t>
      </w:r>
      <w:r w:rsidR="00303CA0" w:rsidRPr="00E43670">
        <w:rPr>
          <w:snapToGrid w:val="0"/>
        </w:rPr>
        <w:t>r</w:t>
      </w:r>
      <w:r w:rsidR="00303CA0" w:rsidRPr="00E43670">
        <w:rPr>
          <w:snapToGrid w:val="0"/>
        </w:rPr>
        <w:t xml:space="preserve">ingsutskottet </w:t>
      </w:r>
      <w:r w:rsidR="006B4809" w:rsidRPr="00E43670">
        <w:rPr>
          <w:snapToGrid w:val="0"/>
        </w:rPr>
        <w:t xml:space="preserve">våren 2004 </w:t>
      </w:r>
      <w:r w:rsidR="00ED044D" w:rsidRPr="00E43670">
        <w:rPr>
          <w:snapToGrid w:val="0"/>
        </w:rPr>
        <w:t>påpekade (</w:t>
      </w:r>
      <w:r w:rsidR="00303CA0" w:rsidRPr="00E43670">
        <w:rPr>
          <w:snapToGrid w:val="0"/>
        </w:rPr>
        <w:t>be</w:t>
      </w:r>
      <w:r w:rsidR="00ED044D" w:rsidRPr="00E43670">
        <w:rPr>
          <w:snapToGrid w:val="0"/>
        </w:rPr>
        <w:t>t.</w:t>
      </w:r>
      <w:r w:rsidR="00303CA0" w:rsidRPr="00E43670">
        <w:rPr>
          <w:snapToGrid w:val="0"/>
        </w:rPr>
        <w:t xml:space="preserve"> 2003/04:NU10</w:t>
      </w:r>
      <w:r w:rsidR="00ED044D" w:rsidRPr="00E43670">
        <w:rPr>
          <w:snapToGrid w:val="0"/>
        </w:rPr>
        <w:t>)</w:t>
      </w:r>
      <w:r w:rsidR="00303CA0" w:rsidRPr="00E43670">
        <w:rPr>
          <w:snapToGrid w:val="0"/>
        </w:rPr>
        <w:t xml:space="preserve"> </w:t>
      </w:r>
      <w:r w:rsidR="001D0B86" w:rsidRPr="00E43670">
        <w:rPr>
          <w:snapToGrid w:val="0"/>
        </w:rPr>
        <w:t>att</w:t>
      </w:r>
      <w:r w:rsidR="00303CA0" w:rsidRPr="00E43670">
        <w:rPr>
          <w:snapToGrid w:val="0"/>
        </w:rPr>
        <w:t xml:space="preserve"> </w:t>
      </w:r>
      <w:r w:rsidR="00A74892" w:rsidRPr="00E43670">
        <w:rPr>
          <w:snapToGrid w:val="0"/>
        </w:rPr>
        <w:t xml:space="preserve">t.ex. natur- och kulturmiljön i Lunds omgivningar bör beaktas </w:t>
      </w:r>
      <w:r w:rsidR="00303CA0" w:rsidRPr="00E43670">
        <w:rPr>
          <w:snapToGrid w:val="0"/>
        </w:rPr>
        <w:t>i en sådan bedöm</w:t>
      </w:r>
      <w:r w:rsidR="00F70D28" w:rsidRPr="00E43670">
        <w:rPr>
          <w:snapToGrid w:val="0"/>
        </w:rPr>
        <w:t>ning</w:t>
      </w:r>
      <w:r w:rsidR="00303CA0" w:rsidRPr="00E43670">
        <w:rPr>
          <w:snapToGrid w:val="0"/>
        </w:rPr>
        <w:t xml:space="preserve">. </w:t>
      </w:r>
      <w:r w:rsidR="001D0B86" w:rsidRPr="00E43670">
        <w:rPr>
          <w:snapToGrid w:val="0"/>
        </w:rPr>
        <w:t xml:space="preserve">Motionärerna </w:t>
      </w:r>
      <w:r w:rsidR="00303CA0" w:rsidRPr="00E43670">
        <w:rPr>
          <w:snapToGrid w:val="0"/>
        </w:rPr>
        <w:t>menar dock att närings- och tillväxtaspekte</w:t>
      </w:r>
      <w:r w:rsidR="00303CA0" w:rsidRPr="00E43670">
        <w:rPr>
          <w:snapToGrid w:val="0"/>
        </w:rPr>
        <w:t>r</w:t>
      </w:r>
      <w:r w:rsidR="00303CA0" w:rsidRPr="00E43670">
        <w:rPr>
          <w:snapToGrid w:val="0"/>
        </w:rPr>
        <w:t>na måste lyftas fram ytterligare vid en bedömning av proje</w:t>
      </w:r>
      <w:r w:rsidR="00303CA0" w:rsidRPr="00E43670">
        <w:rPr>
          <w:snapToGrid w:val="0"/>
        </w:rPr>
        <w:t>k</w:t>
      </w:r>
      <w:r w:rsidR="00303CA0" w:rsidRPr="00E43670">
        <w:rPr>
          <w:snapToGrid w:val="0"/>
        </w:rPr>
        <w:t xml:space="preserve">tet. </w:t>
      </w:r>
    </w:p>
    <w:p w:rsidR="006676E5" w:rsidRPr="00E43670" w:rsidRDefault="001D0B86" w:rsidP="006676E5">
      <w:pPr>
        <w:pStyle w:val="Normaltindrag"/>
      </w:pPr>
      <w:r w:rsidRPr="00E43670">
        <w:t>Även i motion 2</w:t>
      </w:r>
      <w:r w:rsidR="00303CA0" w:rsidRPr="00E43670">
        <w:t>004/05:N403 (fp, m, kd, c)</w:t>
      </w:r>
      <w:r w:rsidRPr="00E43670">
        <w:t xml:space="preserve"> </w:t>
      </w:r>
      <w:r w:rsidR="00921B21" w:rsidRPr="00E43670">
        <w:t xml:space="preserve">från allmänna motionstiden </w:t>
      </w:r>
      <w:r w:rsidRPr="00E43670">
        <w:t>begärs ett</w:t>
      </w:r>
      <w:r w:rsidR="00303CA0" w:rsidRPr="00E43670">
        <w:t xml:space="preserve"> til</w:t>
      </w:r>
      <w:r w:rsidR="00303CA0" w:rsidRPr="00E43670">
        <w:t>l</w:t>
      </w:r>
      <w:r w:rsidR="00303CA0" w:rsidRPr="00E43670">
        <w:t>kännag</w:t>
      </w:r>
      <w:r w:rsidRPr="00E43670">
        <w:t>ivande</w:t>
      </w:r>
      <w:r w:rsidR="00303CA0" w:rsidRPr="00E43670">
        <w:t xml:space="preserve"> om att reger</w:t>
      </w:r>
      <w:r w:rsidRPr="00E43670">
        <w:t>ingen skall</w:t>
      </w:r>
      <w:r w:rsidR="00303CA0" w:rsidRPr="00E43670">
        <w:t xml:space="preserve"> </w:t>
      </w:r>
      <w:r w:rsidR="006B4809" w:rsidRPr="00E43670">
        <w:t xml:space="preserve">engagera sig i arbetet för att </w:t>
      </w:r>
      <w:r w:rsidR="00303CA0" w:rsidRPr="00E43670">
        <w:t xml:space="preserve">ESS </w:t>
      </w:r>
      <w:r w:rsidR="006B4809" w:rsidRPr="00E43670">
        <w:t xml:space="preserve">skall placeras </w:t>
      </w:r>
      <w:r w:rsidR="00303CA0" w:rsidRPr="00E43670">
        <w:t>i Lund.</w:t>
      </w:r>
      <w:r w:rsidRPr="00E43670">
        <w:t xml:space="preserve"> I m</w:t>
      </w:r>
      <w:r w:rsidRPr="00E43670">
        <w:t>o</w:t>
      </w:r>
      <w:r w:rsidRPr="00E43670">
        <w:t xml:space="preserve">tionen påpekas att </w:t>
      </w:r>
      <w:r w:rsidR="00303CA0" w:rsidRPr="00E43670">
        <w:t>ESS är ett projekt som kan ses som ett led i arbetet med att stärka Europas konkurrenskraft. Projektet väntas få stöd från såväl EU som enskilda europe</w:t>
      </w:r>
      <w:r w:rsidR="00DE5688" w:rsidRPr="00E43670">
        <w:t>iska länder, d</w:t>
      </w:r>
      <w:r w:rsidR="00303CA0" w:rsidRPr="00E43670">
        <w:t>en totala kos</w:t>
      </w:r>
      <w:r w:rsidR="00303CA0" w:rsidRPr="00E43670">
        <w:t>t</w:t>
      </w:r>
      <w:r w:rsidR="00303CA0" w:rsidRPr="00E43670">
        <w:t xml:space="preserve">naden </w:t>
      </w:r>
      <w:r w:rsidR="00DE5688" w:rsidRPr="00E43670">
        <w:t>beräknas t</w:t>
      </w:r>
      <w:r w:rsidR="00303CA0" w:rsidRPr="00E43670">
        <w:t>ill ca 1,5 milja</w:t>
      </w:r>
      <w:r w:rsidR="00303CA0" w:rsidRPr="00E43670">
        <w:t>r</w:t>
      </w:r>
      <w:r w:rsidR="00DE5688" w:rsidRPr="00E43670">
        <w:t xml:space="preserve">der euro </w:t>
      </w:r>
      <w:r w:rsidR="00303CA0" w:rsidRPr="00E43670">
        <w:t>och ESS skall tas i bruk år 2013</w:t>
      </w:r>
      <w:r w:rsidR="00DE5688" w:rsidRPr="00E43670">
        <w:t>, säger motionärerna</w:t>
      </w:r>
      <w:r w:rsidR="00303CA0" w:rsidRPr="00E43670">
        <w:t>. Utöver de förväntade 500 fast anställda vid anläggningen b</w:t>
      </w:r>
      <w:r w:rsidR="00303CA0" w:rsidRPr="00E43670">
        <w:t>e</w:t>
      </w:r>
      <w:r w:rsidR="00303CA0" w:rsidRPr="00E43670">
        <w:t xml:space="preserve">räknas årligen mellan 4 000 och 5 000 gästforskare utnyttja anläggningen. </w:t>
      </w:r>
      <w:r w:rsidR="00DE5688" w:rsidRPr="00E43670">
        <w:t xml:space="preserve">Motionärerna </w:t>
      </w:r>
      <w:r w:rsidR="006B4809" w:rsidRPr="00E43670">
        <w:t>erinrar om</w:t>
      </w:r>
      <w:r w:rsidR="00DE5688" w:rsidRPr="00E43670">
        <w:t xml:space="preserve"> </w:t>
      </w:r>
      <w:r w:rsidR="006B4809" w:rsidRPr="00E43670">
        <w:t>d</w:t>
      </w:r>
      <w:r w:rsidR="00DE5688" w:rsidRPr="00E43670">
        <w:t>e</w:t>
      </w:r>
      <w:r w:rsidR="00303CA0" w:rsidRPr="00E43670">
        <w:t>t</w:t>
      </w:r>
      <w:r w:rsidR="006B4809" w:rsidRPr="00E43670">
        <w:t xml:space="preserve"> </w:t>
      </w:r>
      <w:r w:rsidR="00303CA0" w:rsidRPr="00E43670">
        <w:t xml:space="preserve">arbete </w:t>
      </w:r>
      <w:r w:rsidR="006B4809" w:rsidRPr="00E43670">
        <w:t xml:space="preserve">som pågår </w:t>
      </w:r>
      <w:r w:rsidR="00303CA0" w:rsidRPr="00E43670">
        <w:t>för att ESS skall placeras i Öresundsre</w:t>
      </w:r>
      <w:r w:rsidR="00DE5688" w:rsidRPr="00E43670">
        <w:t>gionen</w:t>
      </w:r>
      <w:r w:rsidR="00303CA0" w:rsidRPr="00E43670">
        <w:t xml:space="preserve"> och </w:t>
      </w:r>
      <w:r w:rsidR="00DE5688" w:rsidRPr="00E43670">
        <w:t xml:space="preserve">i </w:t>
      </w:r>
      <w:r w:rsidR="00303CA0" w:rsidRPr="00E43670">
        <w:t>Lund. Det finns starkt stöd inom skånsk politik, nä</w:t>
      </w:r>
      <w:r w:rsidR="00303CA0" w:rsidRPr="00E43670">
        <w:t>r</w:t>
      </w:r>
      <w:r w:rsidR="00303CA0" w:rsidRPr="00E43670">
        <w:t xml:space="preserve">ingsliv och forskarvärld för en </w:t>
      </w:r>
      <w:r w:rsidR="006B4809" w:rsidRPr="00E43670">
        <w:t xml:space="preserve">sådan </w:t>
      </w:r>
      <w:r w:rsidR="00303CA0" w:rsidRPr="00E43670">
        <w:t>pl</w:t>
      </w:r>
      <w:r w:rsidR="00303CA0" w:rsidRPr="00E43670">
        <w:t>a</w:t>
      </w:r>
      <w:r w:rsidR="00303CA0" w:rsidRPr="00E43670">
        <w:t>cering</w:t>
      </w:r>
      <w:r w:rsidR="00DE5688" w:rsidRPr="00E43670">
        <w:t>, säger motionärerna</w:t>
      </w:r>
      <w:r w:rsidR="00303CA0" w:rsidRPr="00E43670">
        <w:t>. De</w:t>
      </w:r>
      <w:r w:rsidR="00DE5688" w:rsidRPr="00E43670">
        <w:t xml:space="preserve"> anser att de</w:t>
      </w:r>
      <w:r w:rsidR="00303CA0" w:rsidRPr="00E43670">
        <w:t>n förhandlare som regerin</w:t>
      </w:r>
      <w:r w:rsidR="00303CA0" w:rsidRPr="00E43670">
        <w:t>g</w:t>
      </w:r>
      <w:r w:rsidR="00303CA0" w:rsidRPr="00E43670">
        <w:t>en tillsatt bör få ett tydligare uppdrag, med målsättning att ESS skall placeras i Lund. Hittills har den tänkta finansierin</w:t>
      </w:r>
      <w:r w:rsidR="00303CA0" w:rsidRPr="00E43670">
        <w:t>g</w:t>
      </w:r>
      <w:r w:rsidR="00303CA0" w:rsidRPr="00E43670">
        <w:t>en av ESS utgått från att olika länder bidrar via sina respektive forskning</w:t>
      </w:r>
      <w:r w:rsidR="00303CA0" w:rsidRPr="00E43670">
        <w:t>s</w:t>
      </w:r>
      <w:r w:rsidR="00303CA0" w:rsidRPr="00E43670">
        <w:t>budgetar</w:t>
      </w:r>
      <w:r w:rsidR="00DE5688" w:rsidRPr="00E43670">
        <w:t>, men motionärerna</w:t>
      </w:r>
      <w:r w:rsidR="00303CA0" w:rsidRPr="00E43670">
        <w:t xml:space="preserve"> m</w:t>
      </w:r>
      <w:r w:rsidR="00303CA0" w:rsidRPr="00E43670">
        <w:t>e</w:t>
      </w:r>
      <w:r w:rsidR="00303CA0" w:rsidRPr="00E43670">
        <w:t>nar att finansieringen bör lyftas upp till EU-nivå. Regeringen bör därför</w:t>
      </w:r>
      <w:r w:rsidR="006B4809" w:rsidRPr="00E43670">
        <w:t>,</w:t>
      </w:r>
      <w:r w:rsidR="00303CA0" w:rsidRPr="00E43670">
        <w:t xml:space="preserve"> tillsammans med andra länder</w:t>
      </w:r>
      <w:r w:rsidR="006B4809" w:rsidRPr="00E43670">
        <w:t>,</w:t>
      </w:r>
      <w:r w:rsidR="00303CA0" w:rsidRPr="00E43670">
        <w:t xml:space="preserve"> driva frågan om att en stor del av f</w:t>
      </w:r>
      <w:r w:rsidR="00303CA0" w:rsidRPr="00E43670">
        <w:t>i</w:t>
      </w:r>
      <w:r w:rsidR="00303CA0" w:rsidRPr="00E43670">
        <w:t>nansieringen av ESS skall ske med EU:s forskningsmedel</w:t>
      </w:r>
      <w:r w:rsidR="00DE5688" w:rsidRPr="00E43670">
        <w:t>, anför motionäre</w:t>
      </w:r>
      <w:r w:rsidR="00DE5688" w:rsidRPr="00E43670">
        <w:t>r</w:t>
      </w:r>
      <w:r w:rsidR="00DE5688" w:rsidRPr="00E43670">
        <w:t>na</w:t>
      </w:r>
      <w:r w:rsidR="00921B21" w:rsidRPr="00E43670">
        <w:t>.</w:t>
      </w:r>
    </w:p>
    <w:p w:rsidR="00303CA0" w:rsidRPr="00E43670" w:rsidRDefault="006B4809" w:rsidP="006676E5">
      <w:pPr>
        <w:pStyle w:val="Normaltindrag"/>
        <w:rPr>
          <w:color w:val="000000"/>
        </w:rPr>
      </w:pPr>
      <w:r w:rsidRPr="00E43670">
        <w:rPr>
          <w:rStyle w:val="NormaltindragChar"/>
        </w:rPr>
        <w:t>I</w:t>
      </w:r>
      <w:r w:rsidR="00DE5688" w:rsidRPr="00E43670">
        <w:rPr>
          <w:rStyle w:val="NormaltindragChar"/>
        </w:rPr>
        <w:t xml:space="preserve"> en motion som väckts med anledning av forskningspropositionen –</w:t>
      </w:r>
      <w:r w:rsidR="00DE5688" w:rsidRPr="00E43670">
        <w:t xml:space="preserve"> 2004/05:Ub9 </w:t>
      </w:r>
      <w:r w:rsidR="00303CA0" w:rsidRPr="00E43670">
        <w:t>(fp)</w:t>
      </w:r>
      <w:r w:rsidR="00DE5688" w:rsidRPr="00E43670">
        <w:t xml:space="preserve"> – föreslås </w:t>
      </w:r>
      <w:r w:rsidRPr="00E43670">
        <w:t xml:space="preserve">också </w:t>
      </w:r>
      <w:r w:rsidR="00DE5688" w:rsidRPr="00E43670">
        <w:t>ett</w:t>
      </w:r>
      <w:r w:rsidR="00303CA0" w:rsidRPr="00E43670">
        <w:t xml:space="preserve"> tillkännag</w:t>
      </w:r>
      <w:r w:rsidR="00DE5688" w:rsidRPr="00E43670">
        <w:t>ivande</w:t>
      </w:r>
      <w:r w:rsidR="00303CA0" w:rsidRPr="00E43670">
        <w:t xml:space="preserve"> om ESS.</w:t>
      </w:r>
      <w:r w:rsidR="00303CA0" w:rsidRPr="00E43670">
        <w:rPr>
          <w:color w:val="000000"/>
        </w:rPr>
        <w:t xml:space="preserve"> Rege</w:t>
      </w:r>
      <w:r w:rsidR="00303CA0" w:rsidRPr="00E43670">
        <w:rPr>
          <w:color w:val="000000"/>
        </w:rPr>
        <w:t>r</w:t>
      </w:r>
      <w:r w:rsidR="00303CA0" w:rsidRPr="00E43670">
        <w:rPr>
          <w:color w:val="000000"/>
        </w:rPr>
        <w:t xml:space="preserve">ingen bör verka för att </w:t>
      </w:r>
      <w:r w:rsidR="00DE5688" w:rsidRPr="00E43670">
        <w:rPr>
          <w:color w:val="000000"/>
        </w:rPr>
        <w:t>den planerade ESS-anläggningen, som utgör en av världens mest kraf</w:t>
      </w:r>
      <w:r w:rsidR="00DE5688" w:rsidRPr="00E43670">
        <w:rPr>
          <w:color w:val="000000"/>
        </w:rPr>
        <w:t>t</w:t>
      </w:r>
      <w:r w:rsidR="00DE5688" w:rsidRPr="00E43670">
        <w:rPr>
          <w:color w:val="000000"/>
        </w:rPr>
        <w:t>fulla neutronkällor,</w:t>
      </w:r>
      <w:r w:rsidR="00303CA0" w:rsidRPr="00E43670">
        <w:rPr>
          <w:color w:val="000000"/>
        </w:rPr>
        <w:t xml:space="preserve"> får starkt stöd och direkt finansiering från EU</w:t>
      </w:r>
      <w:r w:rsidR="00ED044D" w:rsidRPr="00E43670">
        <w:rPr>
          <w:color w:val="000000"/>
        </w:rPr>
        <w:t>. M</w:t>
      </w:r>
      <w:r w:rsidR="00DE5688" w:rsidRPr="00E43670">
        <w:rPr>
          <w:color w:val="000000"/>
        </w:rPr>
        <w:t>otionärerna anser att de</w:t>
      </w:r>
      <w:r w:rsidR="00303CA0" w:rsidRPr="00E43670">
        <w:rPr>
          <w:color w:val="000000"/>
        </w:rPr>
        <w:t>tta är ett exempel på den typ av större vete</w:t>
      </w:r>
      <w:r w:rsidR="00303CA0" w:rsidRPr="00E43670">
        <w:rPr>
          <w:color w:val="000000"/>
        </w:rPr>
        <w:t>n</w:t>
      </w:r>
      <w:r w:rsidR="00303CA0" w:rsidRPr="00E43670">
        <w:rPr>
          <w:color w:val="000000"/>
        </w:rPr>
        <w:t xml:space="preserve">skapliga satsningar som lämpar sig för EU-nivån. </w:t>
      </w:r>
      <w:r w:rsidRPr="00E43670">
        <w:rPr>
          <w:color w:val="000000"/>
        </w:rPr>
        <w:t xml:space="preserve">Även </w:t>
      </w:r>
      <w:r w:rsidR="00DE5688" w:rsidRPr="00E43670">
        <w:rPr>
          <w:color w:val="000000"/>
        </w:rPr>
        <w:t>i denna motion eri</w:t>
      </w:r>
      <w:r w:rsidR="00DE5688" w:rsidRPr="00E43670">
        <w:rPr>
          <w:color w:val="000000"/>
        </w:rPr>
        <w:t>n</w:t>
      </w:r>
      <w:r w:rsidR="00DE5688" w:rsidRPr="00E43670">
        <w:rPr>
          <w:color w:val="000000"/>
        </w:rPr>
        <w:t>ras om det</w:t>
      </w:r>
      <w:r w:rsidR="00303CA0" w:rsidRPr="00E43670">
        <w:rPr>
          <w:color w:val="000000"/>
        </w:rPr>
        <w:t xml:space="preserve"> arbete </w:t>
      </w:r>
      <w:r w:rsidR="00DE5688" w:rsidRPr="00E43670">
        <w:rPr>
          <w:color w:val="000000"/>
        </w:rPr>
        <w:t xml:space="preserve">som </w:t>
      </w:r>
      <w:r w:rsidR="00303CA0" w:rsidRPr="00E43670">
        <w:rPr>
          <w:color w:val="000000"/>
        </w:rPr>
        <w:t>har inletts för att ESS skall placeras i Öresundsregi</w:t>
      </w:r>
      <w:r w:rsidR="00303CA0" w:rsidRPr="00E43670">
        <w:rPr>
          <w:color w:val="000000"/>
        </w:rPr>
        <w:t>o</w:t>
      </w:r>
      <w:r w:rsidR="00DE5688" w:rsidRPr="00E43670">
        <w:rPr>
          <w:color w:val="000000"/>
        </w:rPr>
        <w:t>nen och det</w:t>
      </w:r>
      <w:r w:rsidR="00303CA0" w:rsidRPr="00E43670">
        <w:rPr>
          <w:color w:val="000000"/>
        </w:rPr>
        <w:t xml:space="preserve"> stöd</w:t>
      </w:r>
      <w:r w:rsidR="00DE5688" w:rsidRPr="00E43670">
        <w:rPr>
          <w:color w:val="000000"/>
        </w:rPr>
        <w:t xml:space="preserve"> som finns</w:t>
      </w:r>
      <w:r w:rsidR="00303CA0" w:rsidRPr="00E43670">
        <w:rPr>
          <w:color w:val="000000"/>
        </w:rPr>
        <w:t xml:space="preserve"> för en placering av ESS i Lund. Det är vi</w:t>
      </w:r>
      <w:r w:rsidR="00303CA0" w:rsidRPr="00E43670">
        <w:rPr>
          <w:color w:val="000000"/>
        </w:rPr>
        <w:t>k</w:t>
      </w:r>
      <w:r w:rsidR="00303CA0" w:rsidRPr="00E43670">
        <w:rPr>
          <w:color w:val="000000"/>
        </w:rPr>
        <w:t>tigt med ett brett nationellt stöd, och riksdagen bör därför</w:t>
      </w:r>
      <w:r w:rsidR="00ED044D" w:rsidRPr="00E43670">
        <w:rPr>
          <w:color w:val="000000"/>
        </w:rPr>
        <w:t>, enligt motionärerna,</w:t>
      </w:r>
      <w:r w:rsidR="00303CA0" w:rsidRPr="00E43670">
        <w:rPr>
          <w:color w:val="000000"/>
        </w:rPr>
        <w:t xml:space="preserve"> uttala att rege</w:t>
      </w:r>
      <w:r w:rsidR="00303CA0" w:rsidRPr="00E43670">
        <w:rPr>
          <w:color w:val="000000"/>
        </w:rPr>
        <w:t>r</w:t>
      </w:r>
      <w:r w:rsidR="00303CA0" w:rsidRPr="00E43670">
        <w:rPr>
          <w:color w:val="000000"/>
        </w:rPr>
        <w:t>ingen aktivt skall arbeta för att placeringen av ESS skall ske i Sverige och Lund</w:t>
      </w:r>
      <w:r w:rsidR="00ED044D" w:rsidRPr="00E43670">
        <w:rPr>
          <w:color w:val="000000"/>
        </w:rPr>
        <w:t>.</w:t>
      </w:r>
    </w:p>
    <w:p w:rsidR="00303CA0" w:rsidRPr="00E43670" w:rsidRDefault="00303CA0" w:rsidP="00A738DF">
      <w:pPr>
        <w:pStyle w:val="R4"/>
      </w:pPr>
      <w:r w:rsidRPr="00E43670">
        <w:t>Vissa kompletterande uppgifter</w:t>
      </w:r>
    </w:p>
    <w:p w:rsidR="00303CA0" w:rsidRPr="00E43670" w:rsidRDefault="00303CA0" w:rsidP="00303CA0">
      <w:r w:rsidRPr="00E43670">
        <w:t>Riksdagen avslog våren 2004 motioner om en lokalisering av ESS till Lund, liknande de här aktuella (bet. 2003/04:NU10). Näringsutskottet redovisade arbetsläget och hänvisade till att frågan lämpligen borde behandlas i anslu</w:t>
      </w:r>
      <w:r w:rsidRPr="00E43670">
        <w:t>t</w:t>
      </w:r>
      <w:r w:rsidRPr="00E43670">
        <w:t xml:space="preserve">ning till riksdagens ställningstagande till den nu aktuella forskningspolitiska propositionen. </w:t>
      </w:r>
    </w:p>
    <w:p w:rsidR="00303CA0" w:rsidRPr="00E43670" w:rsidRDefault="00303CA0" w:rsidP="00A738DF">
      <w:pPr>
        <w:pStyle w:val="Normaltindrag"/>
      </w:pPr>
      <w:r w:rsidRPr="00E43670">
        <w:t>I budgetpropositionen för år 2005 (prop. 2004/05:1 utg.omr. 16) lämnades en redovisning av arbetsläget hösten 2004. Där sades (s. 250) följande beträ</w:t>
      </w:r>
      <w:r w:rsidRPr="00E43670">
        <w:t>f</w:t>
      </w:r>
      <w:r w:rsidRPr="00E43670">
        <w:t xml:space="preserve">fande </w:t>
      </w:r>
      <w:r w:rsidR="00ED044D" w:rsidRPr="00E43670">
        <w:t xml:space="preserve">uppdraget för </w:t>
      </w:r>
      <w:r w:rsidRPr="00E43670">
        <w:t>den av regeringen tillsatta förhandlaren för ESS (f.d. statsrådet Allan Lar</w:t>
      </w:r>
      <w:r w:rsidRPr="00E43670">
        <w:t>s</w:t>
      </w:r>
      <w:r w:rsidRPr="00E43670">
        <w:t>son):</w:t>
      </w:r>
    </w:p>
    <w:p w:rsidR="00A738DF" w:rsidRPr="00E43670" w:rsidRDefault="00A738DF" w:rsidP="00A738DF">
      <w:pPr>
        <w:pStyle w:val="Citat"/>
      </w:pPr>
    </w:p>
    <w:p w:rsidR="00303CA0" w:rsidRPr="00E43670" w:rsidRDefault="00303CA0" w:rsidP="00A738DF">
      <w:pPr>
        <w:pStyle w:val="Citat"/>
      </w:pPr>
      <w:r w:rsidRPr="00E43670">
        <w:t>ESS-Council inbjöd 2001–2002 de europeiska länderna att ange förslag om värdskap för en stor europeisk neutronforskningsanläggning, ESS. En sammanslutning av nordiska forskare har lämnat ett förslag att placera ESS i Lund. Förutom detta finns även förslag från Tyskland och Storbr</w:t>
      </w:r>
      <w:r w:rsidRPr="00E43670">
        <w:t>i</w:t>
      </w:r>
      <w:r w:rsidRPr="00E43670">
        <w:t>tannien att vara värd för ESS. Ytterligare några länder kan vara intress</w:t>
      </w:r>
      <w:r w:rsidRPr="00E43670">
        <w:t>e</w:t>
      </w:r>
      <w:r w:rsidRPr="00E43670">
        <w:t xml:space="preserve">rade av att ge bud på att vara värdnation för ESS. Med anledning av det nordiska förslaget att vara värd för ESS med en placering i Lund, beslöt regeringen vid sammanträde den 8 juli 2004 att undersöka möjligheterna till en eventuell placering av ESS i Sverige genom att utse en särskild förhandlare. I förhandlarens uppdrag ingår att klargöra intresset för ESS i forskarsamhället, näringslivet, i andra europeiska länder och hos EG-kommissionen. Dessutom skall förhandlaren analysera de långsiktiga tillväxteffekterna för samhället, undersöka möjliga regionala, nordiska och europeiska finansiärers intresse för medverkan i byggandet av ett ESS i Sverige. </w:t>
      </w:r>
    </w:p>
    <w:p w:rsidR="00A738DF" w:rsidRPr="00E43670" w:rsidRDefault="00A738DF" w:rsidP="00303CA0">
      <w:pPr>
        <w:pStyle w:val="RKnormal"/>
      </w:pPr>
    </w:p>
    <w:p w:rsidR="00303CA0" w:rsidRPr="00E43670" w:rsidRDefault="00ED044D" w:rsidP="00A738DF">
      <w:r w:rsidRPr="00E43670">
        <w:t>Vid sidan av uppdraget att</w:t>
      </w:r>
      <w:r w:rsidR="00303CA0" w:rsidRPr="00E43670">
        <w:t xml:space="preserve"> klargöra intresset från forskarsamhället och nä</w:t>
      </w:r>
      <w:r w:rsidR="00303CA0" w:rsidRPr="00E43670">
        <w:t>r</w:t>
      </w:r>
      <w:r w:rsidR="00303CA0" w:rsidRPr="00E43670">
        <w:t>ingslivet samt analysera de långsiktiga t</w:t>
      </w:r>
      <w:r w:rsidRPr="00E43670">
        <w:t>illväxteffekterna för samhället skall utredaren, med utgångspunkt i denna analys, studera</w:t>
      </w:r>
      <w:r w:rsidR="00303CA0" w:rsidRPr="00E43670">
        <w:t xml:space="preserve"> vilka möjligheterna är för näringsl</w:t>
      </w:r>
      <w:r w:rsidR="00303CA0" w:rsidRPr="00E43670">
        <w:t>i</w:t>
      </w:r>
      <w:r w:rsidR="00303CA0" w:rsidRPr="00E43670">
        <w:t>vets finansiella medverkan. Förhandlaren skall även undersöka möjliga regionala, nordiska och europeiska finansiärers intresse för medve</w:t>
      </w:r>
      <w:r w:rsidR="00303CA0" w:rsidRPr="00E43670">
        <w:t>r</w:t>
      </w:r>
      <w:r w:rsidR="00303CA0" w:rsidRPr="00E43670">
        <w:t>kan. Andra europei</w:t>
      </w:r>
      <w:r w:rsidR="00303CA0" w:rsidRPr="00E43670">
        <w:t>s</w:t>
      </w:r>
      <w:r w:rsidR="00303CA0" w:rsidRPr="00E43670">
        <w:t>ka länders och EG-kommissionens inställning skall också klargöras. Vetenskapsrådet skall bistå förhandlaren i vetenskapliga bedö</w:t>
      </w:r>
      <w:r w:rsidR="00303CA0" w:rsidRPr="00E43670">
        <w:t>m</w:t>
      </w:r>
      <w:r w:rsidR="00303CA0" w:rsidRPr="00E43670">
        <w:t>ningar av projektet och i initiala kontakter med näringslivet. Vidare bör b</w:t>
      </w:r>
      <w:r w:rsidR="00303CA0" w:rsidRPr="00E43670">
        <w:t>e</w:t>
      </w:r>
      <w:r w:rsidR="00303CA0" w:rsidRPr="00E43670">
        <w:t>rörda svenska ambassader bistå i förhan</w:t>
      </w:r>
      <w:r w:rsidR="00303CA0" w:rsidRPr="00E43670">
        <w:t>d</w:t>
      </w:r>
      <w:r w:rsidR="00303CA0" w:rsidRPr="00E43670">
        <w:t>lingsuppdraget. Uppdraget skall</w:t>
      </w:r>
      <w:r w:rsidRPr="00E43670">
        <w:t xml:space="preserve"> </w:t>
      </w:r>
      <w:r w:rsidR="00303CA0" w:rsidRPr="00E43670">
        <w:t>redovisas senast den 1 juli 2005. Regeringen kommer sen</w:t>
      </w:r>
      <w:r w:rsidR="00303CA0" w:rsidRPr="00E43670">
        <w:t>a</w:t>
      </w:r>
      <w:r w:rsidR="00303CA0" w:rsidRPr="00E43670">
        <w:t>re att ta ställning till frågan om ett eventuellt svenskt värdskap. I detta ingår en b</w:t>
      </w:r>
      <w:r w:rsidR="00303CA0" w:rsidRPr="00E43670">
        <w:t>e</w:t>
      </w:r>
      <w:r w:rsidR="00303CA0" w:rsidRPr="00E43670">
        <w:t>dömning av intresset, kostnadsberäkningar och finansieringsmöjligheter samt möjlighete</w:t>
      </w:r>
      <w:r w:rsidR="00303CA0" w:rsidRPr="00E43670">
        <w:t>r</w:t>
      </w:r>
      <w:r w:rsidR="00303CA0" w:rsidRPr="00E43670">
        <w:t>na till utländsk medfinansiering av proje</w:t>
      </w:r>
      <w:r w:rsidR="00303CA0" w:rsidRPr="00E43670">
        <w:t>k</w:t>
      </w:r>
      <w:r w:rsidR="00303CA0" w:rsidRPr="00E43670">
        <w:t>tet.</w:t>
      </w:r>
    </w:p>
    <w:p w:rsidR="00303CA0" w:rsidRPr="00E43670" w:rsidRDefault="00ED044D" w:rsidP="00A738DF">
      <w:pPr>
        <w:pStyle w:val="Normaltindrag"/>
      </w:pPr>
      <w:r w:rsidRPr="00E43670">
        <w:t xml:space="preserve">Förhandlaren </w:t>
      </w:r>
      <w:r w:rsidR="00303CA0" w:rsidRPr="00E43670">
        <w:t>Allan Larsson har, enligt uppgift från Utbildningsdepart</w:t>
      </w:r>
      <w:r w:rsidR="00303CA0" w:rsidRPr="00E43670">
        <w:t>e</w:t>
      </w:r>
      <w:r w:rsidR="00303CA0" w:rsidRPr="00E43670">
        <w:t xml:space="preserve">mentet, i sitt </w:t>
      </w:r>
      <w:r w:rsidR="002900C8" w:rsidRPr="00E43670">
        <w:t>hittillsvarande</w:t>
      </w:r>
      <w:r w:rsidR="00303CA0" w:rsidRPr="00E43670">
        <w:t xml:space="preserve"> arbete genomfört diskussioner med de nordiska länderna, Baltikum, Polen och Tyskland. Han har även diskuterat med No</w:t>
      </w:r>
      <w:r w:rsidR="00303CA0" w:rsidRPr="00E43670">
        <w:t>r</w:t>
      </w:r>
      <w:r w:rsidR="00303CA0" w:rsidRPr="00E43670">
        <w:t>diska inv</w:t>
      </w:r>
      <w:r w:rsidR="00303CA0" w:rsidRPr="00E43670">
        <w:t>e</w:t>
      </w:r>
      <w:r w:rsidR="00303CA0" w:rsidRPr="00E43670">
        <w:t xml:space="preserve">steringsbanken och med EG-kommissionen om deras möjligheter att delta i investeringen. Hur dessa diskussioner utfallit </w:t>
      </w:r>
      <w:r w:rsidRPr="00E43670">
        <w:t>saknar</w:t>
      </w:r>
      <w:r w:rsidR="00303CA0" w:rsidRPr="00E43670">
        <w:t xml:space="preserve"> Utbildningsd</w:t>
      </w:r>
      <w:r w:rsidR="00303CA0" w:rsidRPr="00E43670">
        <w:t>e</w:t>
      </w:r>
      <w:r w:rsidR="00303CA0" w:rsidRPr="00E43670">
        <w:t xml:space="preserve">partementet uppgift om, men det </w:t>
      </w:r>
      <w:r w:rsidR="00E94D14" w:rsidRPr="00E43670">
        <w:t>påpekas</w:t>
      </w:r>
      <w:r w:rsidR="00303CA0" w:rsidRPr="00E43670">
        <w:t xml:space="preserve"> att kommissionen </w:t>
      </w:r>
      <w:r w:rsidR="00E94D14" w:rsidRPr="00E43670">
        <w:t xml:space="preserve">generellt </w:t>
      </w:r>
      <w:r w:rsidR="002900C8" w:rsidRPr="00E43670">
        <w:t xml:space="preserve">betalar </w:t>
      </w:r>
      <w:r w:rsidR="00303CA0" w:rsidRPr="00E43670">
        <w:t>maximalt 10 % av budgeten. Detta har dock sagts i samband med mindre pr</w:t>
      </w:r>
      <w:r w:rsidR="00303CA0" w:rsidRPr="00E43670">
        <w:t>o</w:t>
      </w:r>
      <w:r w:rsidR="00303CA0" w:rsidRPr="00E43670">
        <w:t>jekt</w:t>
      </w:r>
      <w:r w:rsidR="00A74892" w:rsidRPr="00E43670">
        <w:t>,</w:t>
      </w:r>
      <w:r w:rsidR="00303CA0" w:rsidRPr="00E43670">
        <w:t xml:space="preserve"> och hur kommissionen ställer sig till en så stor investering som ESS finns ingen up</w:t>
      </w:r>
      <w:r w:rsidR="00303CA0" w:rsidRPr="00E43670">
        <w:t>p</w:t>
      </w:r>
      <w:r w:rsidR="00303CA0" w:rsidRPr="00E43670">
        <w:t xml:space="preserve">gift om. </w:t>
      </w:r>
    </w:p>
    <w:p w:rsidR="00303CA0" w:rsidRPr="00E43670" w:rsidRDefault="00303CA0" w:rsidP="00A738DF">
      <w:pPr>
        <w:pStyle w:val="Normaltindrag"/>
      </w:pPr>
      <w:r w:rsidRPr="00E43670">
        <w:t>ESS finns inte omnämnt i forskningspropositionen. Neutronfaciliteter b</w:t>
      </w:r>
      <w:r w:rsidRPr="00E43670">
        <w:t>e</w:t>
      </w:r>
      <w:r w:rsidRPr="00E43670">
        <w:t>rörs dock i propositionen i avsnitt 6.2 om forskningsinfrastruk</w:t>
      </w:r>
      <w:r w:rsidR="00A74892" w:rsidRPr="00E43670">
        <w:t>t</w:t>
      </w:r>
      <w:r w:rsidRPr="00E43670">
        <w:t>ur (s. 99). Där sägs att staten, via Vetenskapsrådet, finansierar svenskt deltagande vid spall</w:t>
      </w:r>
      <w:r w:rsidRPr="00E43670">
        <w:t>a</w:t>
      </w:r>
      <w:r w:rsidRPr="00E43670">
        <w:t>tionskällan ISIS i England och vid kärnreaktorn ILL i Grenoble. Vetenskap</w:t>
      </w:r>
      <w:r w:rsidRPr="00E43670">
        <w:t>s</w:t>
      </w:r>
      <w:r w:rsidRPr="00E43670">
        <w:t>rådet bedömer att det finns ett behov av att långsiktigt öka det svenska eng</w:t>
      </w:r>
      <w:r w:rsidRPr="00E43670">
        <w:t>a</w:t>
      </w:r>
      <w:r w:rsidRPr="00E43670">
        <w:t>gemanget vid dessa neutronfaciliteter. Myndigheten avser med hänvisning till detta behov att utarbeta en långsiktig plan för svensk användning av neutro</w:t>
      </w:r>
      <w:r w:rsidRPr="00E43670">
        <w:t>n</w:t>
      </w:r>
      <w:r w:rsidRPr="00E43670">
        <w:t xml:space="preserve">spridningsteknik. Den brittiska regeringen </w:t>
      </w:r>
      <w:r w:rsidR="006676E5" w:rsidRPr="00E43670">
        <w:t>ämnar</w:t>
      </w:r>
      <w:r w:rsidRPr="00E43670">
        <w:t>, enligt Utbildningsdepart</w:t>
      </w:r>
      <w:r w:rsidRPr="00E43670">
        <w:t>e</w:t>
      </w:r>
      <w:r w:rsidR="00A74892" w:rsidRPr="00E43670">
        <w:t>mentet,</w:t>
      </w:r>
      <w:r w:rsidRPr="00E43670">
        <w:t xml:space="preserve"> bygga ut ISIS till högre effekt. Dess storlek blir ca 20–25 % av ett ESS.</w:t>
      </w:r>
    </w:p>
    <w:p w:rsidR="00CD673C" w:rsidRPr="00E43670" w:rsidRDefault="00CD673C" w:rsidP="00CD673C">
      <w:pPr>
        <w:pStyle w:val="R4"/>
      </w:pPr>
      <w:r w:rsidRPr="00E43670">
        <w:t>Näringsutskottets ställningstagande</w:t>
      </w:r>
    </w:p>
    <w:p w:rsidR="00F62CB3" w:rsidRPr="00E43670" w:rsidRDefault="00BC0CEE" w:rsidP="00BC0CEE">
      <w:r w:rsidRPr="00E43670">
        <w:t xml:space="preserve">Den planerade ESS-anläggningen </w:t>
      </w:r>
      <w:r w:rsidR="00F62CB3" w:rsidRPr="00E43670">
        <w:t>bedöms bli en viktig</w:t>
      </w:r>
      <w:r w:rsidRPr="00E43670">
        <w:t xml:space="preserve"> </w:t>
      </w:r>
      <w:r w:rsidR="00F62CB3" w:rsidRPr="00E43670">
        <w:t>del i Europas infr</w:t>
      </w:r>
      <w:r w:rsidR="00F62CB3" w:rsidRPr="00E43670">
        <w:t>a</w:t>
      </w:r>
      <w:r w:rsidRPr="00E43670">
        <w:t xml:space="preserve">struktur för forskning </w:t>
      </w:r>
      <w:r w:rsidR="00F62CB3" w:rsidRPr="00E43670">
        <w:t>och</w:t>
      </w:r>
      <w:r w:rsidRPr="00E43670">
        <w:t xml:space="preserve"> </w:t>
      </w:r>
      <w:r w:rsidR="00F62CB3" w:rsidRPr="00E43670">
        <w:t xml:space="preserve">teknisk utveckling inom flera strategiskt </w:t>
      </w:r>
      <w:r w:rsidR="00E94D14" w:rsidRPr="00E43670">
        <w:t>betydels</w:t>
      </w:r>
      <w:r w:rsidR="00E94D14" w:rsidRPr="00E43670">
        <w:t>e</w:t>
      </w:r>
      <w:r w:rsidR="00E94D14" w:rsidRPr="00E43670">
        <w:t xml:space="preserve">fulla </w:t>
      </w:r>
      <w:r w:rsidR="00F62CB3" w:rsidRPr="00E43670">
        <w:t xml:space="preserve">områden. </w:t>
      </w:r>
      <w:r w:rsidRPr="00E43670">
        <w:t>M</w:t>
      </w:r>
      <w:r w:rsidR="00F62CB3" w:rsidRPr="00E43670">
        <w:t>ot</w:t>
      </w:r>
      <w:r w:rsidRPr="00E43670">
        <w:t xml:space="preserve"> </w:t>
      </w:r>
      <w:r w:rsidR="00F62CB3" w:rsidRPr="00E43670">
        <w:t>den</w:t>
      </w:r>
      <w:r w:rsidRPr="00E43670">
        <w:t>na</w:t>
      </w:r>
      <w:r w:rsidR="00F62CB3" w:rsidRPr="00E43670">
        <w:t xml:space="preserve"> bakgrund </w:t>
      </w:r>
      <w:r w:rsidRPr="00E43670">
        <w:t>vore det av värde om</w:t>
      </w:r>
      <w:r w:rsidR="00F62CB3" w:rsidRPr="00E43670">
        <w:t xml:space="preserve"> Sverige </w:t>
      </w:r>
      <w:r w:rsidRPr="00E43670">
        <w:t xml:space="preserve">skulle </w:t>
      </w:r>
      <w:r w:rsidR="00F62CB3" w:rsidRPr="00E43670">
        <w:t>stå som</w:t>
      </w:r>
      <w:r w:rsidRPr="00E43670">
        <w:t xml:space="preserve"> </w:t>
      </w:r>
      <w:r w:rsidR="00F62CB3" w:rsidRPr="00E43670">
        <w:t>vär</w:t>
      </w:r>
      <w:r w:rsidR="00F62CB3" w:rsidRPr="00E43670">
        <w:t>d</w:t>
      </w:r>
      <w:r w:rsidR="00F62CB3" w:rsidRPr="00E43670">
        <w:t>land för anläggning</w:t>
      </w:r>
      <w:r w:rsidRPr="00E43670">
        <w:t>en</w:t>
      </w:r>
      <w:r w:rsidR="00F62CB3" w:rsidRPr="00E43670">
        <w:t>.</w:t>
      </w:r>
    </w:p>
    <w:p w:rsidR="007B7D2B" w:rsidRPr="00E43670" w:rsidRDefault="00BC0CEE" w:rsidP="00B87AE3">
      <w:pPr>
        <w:pStyle w:val="Normaltindrag"/>
      </w:pPr>
      <w:r w:rsidRPr="00E43670">
        <w:t>Som redovisats har regeringen tillkallat en särskild förhandlare, f.d. stat</w:t>
      </w:r>
      <w:r w:rsidRPr="00E43670">
        <w:t>s</w:t>
      </w:r>
      <w:r w:rsidRPr="00E43670">
        <w:t>rådet Allan Larsson, med uppdrag att undersöka möjligheterna att event</w:t>
      </w:r>
      <w:r w:rsidRPr="00E43670">
        <w:t>u</w:t>
      </w:r>
      <w:r w:rsidRPr="00E43670">
        <w:t>ellt placera ESS i Sverige. Uppdraget skall redovisas den 1 juli 2005. Med hä</w:t>
      </w:r>
      <w:r w:rsidRPr="00E43670">
        <w:t>n</w:t>
      </w:r>
      <w:r w:rsidRPr="00E43670">
        <w:t xml:space="preserve">visning härtill kan näringsutskottet inte se någon anledning för riksdagen att nu uttala sig i frågan. </w:t>
      </w:r>
      <w:r w:rsidR="007B7D2B" w:rsidRPr="00E43670">
        <w:t>Utbildningsutskottet bör alltså avstyrka de tre här akt</w:t>
      </w:r>
      <w:r w:rsidR="007B7D2B" w:rsidRPr="00E43670">
        <w:t>u</w:t>
      </w:r>
      <w:r w:rsidR="007B7D2B" w:rsidRPr="00E43670">
        <w:t>ella motione</w:t>
      </w:r>
      <w:r w:rsidR="007B7D2B" w:rsidRPr="00E43670">
        <w:t>r</w:t>
      </w:r>
      <w:r w:rsidR="007B7D2B" w:rsidRPr="00E43670">
        <w:t xml:space="preserve">na i berörda delar. </w:t>
      </w:r>
    </w:p>
    <w:p w:rsidR="00CD673C" w:rsidRPr="00E43670" w:rsidRDefault="00BC0CEE" w:rsidP="00B87AE3">
      <w:pPr>
        <w:pStyle w:val="Normaltindrag"/>
      </w:pPr>
      <w:r w:rsidRPr="00E43670">
        <w:t>När det gäller lokalisering till Lund, som förordas i motionerna, vill nä</w:t>
      </w:r>
      <w:r w:rsidRPr="00E43670">
        <w:t>r</w:t>
      </w:r>
      <w:r w:rsidRPr="00E43670">
        <w:t>ingsutskottet erinra om vad utskottet anförde våren 2004, då likartade m</w:t>
      </w:r>
      <w:r w:rsidRPr="00E43670">
        <w:t>o</w:t>
      </w:r>
      <w:r w:rsidRPr="00E43670">
        <w:t>tionsyrkanden behandlades.</w:t>
      </w:r>
      <w:r w:rsidR="00F62CB3" w:rsidRPr="00E43670">
        <w:t xml:space="preserve"> </w:t>
      </w:r>
      <w:r w:rsidRPr="00E43670">
        <w:t>Näringsutskottet framhöll då (bet. 2003/04:</w:t>
      </w:r>
      <w:r w:rsidR="00BB5C15" w:rsidRPr="00E43670">
        <w:t xml:space="preserve"> </w:t>
      </w:r>
      <w:r w:rsidRPr="00E43670">
        <w:t xml:space="preserve">NU10) att </w:t>
      </w:r>
      <w:r w:rsidR="00B84693" w:rsidRPr="00E43670">
        <w:t>olika positiva nyttoeffe</w:t>
      </w:r>
      <w:r w:rsidR="00B84693" w:rsidRPr="00E43670">
        <w:t>k</w:t>
      </w:r>
      <w:r w:rsidR="00B84693" w:rsidRPr="00E43670">
        <w:t xml:space="preserve">ter </w:t>
      </w:r>
      <w:r w:rsidRPr="00E43670">
        <w:t xml:space="preserve">vid en helhetsbedömning </w:t>
      </w:r>
      <w:r w:rsidR="00F62CB3" w:rsidRPr="00E43670">
        <w:t>måste vägas</w:t>
      </w:r>
      <w:r w:rsidRPr="00E43670">
        <w:t xml:space="preserve"> </w:t>
      </w:r>
      <w:r w:rsidR="00F62CB3" w:rsidRPr="00E43670">
        <w:t xml:space="preserve">mot </w:t>
      </w:r>
      <w:r w:rsidRPr="00E43670">
        <w:t>t.</w:t>
      </w:r>
      <w:r w:rsidR="00F62CB3" w:rsidRPr="00E43670">
        <w:t>ex</w:t>
      </w:r>
      <w:r w:rsidRPr="00E43670">
        <w:t>.</w:t>
      </w:r>
      <w:r w:rsidR="00F62CB3" w:rsidRPr="00E43670">
        <w:t xml:space="preserve"> värdet av att bevara natur- och</w:t>
      </w:r>
      <w:r w:rsidRPr="00E43670">
        <w:t xml:space="preserve"> </w:t>
      </w:r>
      <w:r w:rsidR="00F62CB3" w:rsidRPr="00E43670">
        <w:t>kulturmiljön i Lunds omgivningar. Vidare måste olika</w:t>
      </w:r>
      <w:r w:rsidRPr="00E43670">
        <w:t xml:space="preserve"> </w:t>
      </w:r>
      <w:r w:rsidR="00F62CB3" w:rsidRPr="00E43670">
        <w:t>risker bea</w:t>
      </w:r>
      <w:r w:rsidR="00F62CB3" w:rsidRPr="00E43670">
        <w:t>k</w:t>
      </w:r>
      <w:r w:rsidR="00F62CB3" w:rsidRPr="00E43670">
        <w:t>tas</w:t>
      </w:r>
      <w:r w:rsidR="00B84693" w:rsidRPr="00E43670">
        <w:t>,</w:t>
      </w:r>
      <w:r w:rsidR="00F62CB3" w:rsidRPr="00E43670">
        <w:t xml:space="preserve"> som exempelvis hanteringen av</w:t>
      </w:r>
      <w:r w:rsidR="00B87AE3" w:rsidRPr="00E43670">
        <w:t xml:space="preserve"> </w:t>
      </w:r>
      <w:r w:rsidR="00F62CB3" w:rsidRPr="00E43670">
        <w:t>miljöfarligt avfall samt att eleffektbala</w:t>
      </w:r>
      <w:r w:rsidR="00F62CB3" w:rsidRPr="00E43670">
        <w:t>n</w:t>
      </w:r>
      <w:r w:rsidR="00F62CB3" w:rsidRPr="00E43670">
        <w:t>sen i</w:t>
      </w:r>
      <w:r w:rsidR="00B87AE3" w:rsidRPr="00E43670">
        <w:t xml:space="preserve"> </w:t>
      </w:r>
      <w:r w:rsidR="00F62CB3" w:rsidRPr="00E43670">
        <w:t xml:space="preserve">södra Sverige kan </w:t>
      </w:r>
      <w:r w:rsidR="00B87AE3" w:rsidRPr="00E43670">
        <w:t xml:space="preserve">påverkas </w:t>
      </w:r>
      <w:r w:rsidR="00F62CB3" w:rsidRPr="00E43670">
        <w:t>negativt</w:t>
      </w:r>
      <w:r w:rsidR="00B84693" w:rsidRPr="00E43670">
        <w:t>.</w:t>
      </w:r>
    </w:p>
    <w:p w:rsidR="00303CA0" w:rsidRPr="00E43670" w:rsidRDefault="00303CA0" w:rsidP="00A738DF">
      <w:pPr>
        <w:pStyle w:val="R3"/>
      </w:pPr>
      <w:r w:rsidRPr="00E43670">
        <w:t>Nanoteknisk forskning</w:t>
      </w:r>
    </w:p>
    <w:p w:rsidR="009A0C01" w:rsidRPr="00E43670" w:rsidRDefault="009A0C01" w:rsidP="009A0C01">
      <w:pPr>
        <w:pStyle w:val="R4"/>
        <w:spacing w:before="125"/>
      </w:pPr>
      <w:r w:rsidRPr="00E43670">
        <w:t>Motion</w:t>
      </w:r>
      <w:r w:rsidR="006676E5" w:rsidRPr="00E43670">
        <w:t>en</w:t>
      </w:r>
      <w:r w:rsidRPr="00E43670">
        <w:t xml:space="preserve"> </w:t>
      </w:r>
    </w:p>
    <w:p w:rsidR="00303CA0" w:rsidRPr="00E43670" w:rsidRDefault="009A0C01" w:rsidP="00303CA0">
      <w:r w:rsidRPr="00E43670">
        <w:t xml:space="preserve">I motion </w:t>
      </w:r>
      <w:r w:rsidR="00303CA0" w:rsidRPr="00E43670">
        <w:t>2004/05:N282 (kd)</w:t>
      </w:r>
      <w:r w:rsidRPr="00E43670">
        <w:t xml:space="preserve"> </w:t>
      </w:r>
      <w:r w:rsidR="006676E5" w:rsidRPr="00E43670">
        <w:t xml:space="preserve">från allmänna motionstiden </w:t>
      </w:r>
      <w:r w:rsidRPr="00E43670">
        <w:t xml:space="preserve">begärs två </w:t>
      </w:r>
      <w:r w:rsidR="00303CA0" w:rsidRPr="00E43670">
        <w:rPr>
          <w:snapToGrid w:val="0"/>
        </w:rPr>
        <w:t>tillkänn</w:t>
      </w:r>
      <w:r w:rsidR="00303CA0" w:rsidRPr="00E43670">
        <w:rPr>
          <w:snapToGrid w:val="0"/>
        </w:rPr>
        <w:t>a</w:t>
      </w:r>
      <w:r w:rsidR="00303CA0" w:rsidRPr="00E43670">
        <w:rPr>
          <w:snapToGrid w:val="0"/>
        </w:rPr>
        <w:t>g</w:t>
      </w:r>
      <w:r w:rsidRPr="00E43670">
        <w:rPr>
          <w:snapToGrid w:val="0"/>
        </w:rPr>
        <w:t xml:space="preserve">ivanden rörande nanoteknik, nämligen </w:t>
      </w:r>
      <w:r w:rsidR="00303CA0" w:rsidRPr="00E43670">
        <w:rPr>
          <w:snapToGrid w:val="0"/>
        </w:rPr>
        <w:t>om en nationell satsning på nanote</w:t>
      </w:r>
      <w:r w:rsidR="00303CA0" w:rsidRPr="00E43670">
        <w:rPr>
          <w:snapToGrid w:val="0"/>
        </w:rPr>
        <w:t>k</w:t>
      </w:r>
      <w:r w:rsidR="00303CA0" w:rsidRPr="00E43670">
        <w:rPr>
          <w:snapToGrid w:val="0"/>
        </w:rPr>
        <w:t>nisk forskning och utveckling med målet att Sverige skall vara ledande inom området</w:t>
      </w:r>
      <w:r w:rsidRPr="00E43670">
        <w:rPr>
          <w:snapToGrid w:val="0"/>
        </w:rPr>
        <w:t xml:space="preserve"> och om att</w:t>
      </w:r>
      <w:r w:rsidR="00303CA0" w:rsidRPr="00E43670">
        <w:rPr>
          <w:snapToGrid w:val="0"/>
        </w:rPr>
        <w:t xml:space="preserve"> ett nordiskt nanocentrum </w:t>
      </w:r>
      <w:r w:rsidRPr="00E43670">
        <w:rPr>
          <w:snapToGrid w:val="0"/>
        </w:rPr>
        <w:t xml:space="preserve">bör startas </w:t>
      </w:r>
      <w:r w:rsidR="00303CA0" w:rsidRPr="00E43670">
        <w:rPr>
          <w:snapToGrid w:val="0"/>
        </w:rPr>
        <w:t>i Sverige.</w:t>
      </w:r>
      <w:r w:rsidRPr="00E43670">
        <w:rPr>
          <w:snapToGrid w:val="0"/>
        </w:rPr>
        <w:t xml:space="preserve"> </w:t>
      </w:r>
      <w:r w:rsidR="00303CA0" w:rsidRPr="00E43670">
        <w:rPr>
          <w:snapToGrid w:val="0"/>
        </w:rPr>
        <w:t>Studien Teknisk framsyn år 2000 pekade ut nanotekniken som ett viktigt och strat</w:t>
      </w:r>
      <w:r w:rsidR="00303CA0" w:rsidRPr="00E43670">
        <w:rPr>
          <w:snapToGrid w:val="0"/>
        </w:rPr>
        <w:t>e</w:t>
      </w:r>
      <w:r w:rsidR="00303CA0" w:rsidRPr="00E43670">
        <w:rPr>
          <w:snapToGrid w:val="0"/>
        </w:rPr>
        <w:t>giskt forskningsområ</w:t>
      </w:r>
      <w:r w:rsidR="000A69A3" w:rsidRPr="00E43670">
        <w:rPr>
          <w:snapToGrid w:val="0"/>
        </w:rPr>
        <w:t>de, men</w:t>
      </w:r>
      <w:r w:rsidR="00303CA0" w:rsidRPr="00E43670">
        <w:rPr>
          <w:snapToGrid w:val="0"/>
        </w:rPr>
        <w:t xml:space="preserve"> Sverige har ännu inte gjort någon samlad sat</w:t>
      </w:r>
      <w:r w:rsidR="00303CA0" w:rsidRPr="00E43670">
        <w:rPr>
          <w:snapToGrid w:val="0"/>
        </w:rPr>
        <w:t>s</w:t>
      </w:r>
      <w:r w:rsidR="00303CA0" w:rsidRPr="00E43670">
        <w:rPr>
          <w:snapToGrid w:val="0"/>
        </w:rPr>
        <w:t>ning på nanoforskning</w:t>
      </w:r>
      <w:r w:rsidR="000A69A3" w:rsidRPr="00E43670">
        <w:rPr>
          <w:snapToGrid w:val="0"/>
        </w:rPr>
        <w:t>, säger motionären</w:t>
      </w:r>
      <w:r w:rsidR="00303CA0" w:rsidRPr="00E43670">
        <w:rPr>
          <w:snapToGrid w:val="0"/>
        </w:rPr>
        <w:t xml:space="preserve">. </w:t>
      </w:r>
      <w:r w:rsidR="000A69A3" w:rsidRPr="00E43670">
        <w:rPr>
          <w:snapToGrid w:val="0"/>
        </w:rPr>
        <w:t xml:space="preserve">Hon hänvisar vidare till att </w:t>
      </w:r>
      <w:r w:rsidR="00303CA0" w:rsidRPr="00E43670">
        <w:rPr>
          <w:snapToGrid w:val="0"/>
        </w:rPr>
        <w:t>Fra</w:t>
      </w:r>
      <w:r w:rsidR="00303CA0" w:rsidRPr="00E43670">
        <w:rPr>
          <w:snapToGrid w:val="0"/>
        </w:rPr>
        <w:t>m</w:t>
      </w:r>
      <w:r w:rsidR="00303CA0" w:rsidRPr="00E43670">
        <w:rPr>
          <w:snapToGrid w:val="0"/>
        </w:rPr>
        <w:t>tidsgru</w:t>
      </w:r>
      <w:r w:rsidR="00303CA0" w:rsidRPr="00E43670">
        <w:rPr>
          <w:snapToGrid w:val="0"/>
        </w:rPr>
        <w:t>p</w:t>
      </w:r>
      <w:r w:rsidR="00303CA0" w:rsidRPr="00E43670">
        <w:rPr>
          <w:snapToGrid w:val="0"/>
        </w:rPr>
        <w:t xml:space="preserve">pen för svensk industri, ledd av </w:t>
      </w:r>
      <w:r w:rsidR="00A506FB" w:rsidRPr="00E43670">
        <w:rPr>
          <w:snapToGrid w:val="0"/>
        </w:rPr>
        <w:t xml:space="preserve">verkställande direktör </w:t>
      </w:r>
      <w:r w:rsidR="00303CA0" w:rsidRPr="00E43670">
        <w:rPr>
          <w:snapToGrid w:val="0"/>
        </w:rPr>
        <w:t xml:space="preserve">Carl Bennett och </w:t>
      </w:r>
      <w:r w:rsidR="00A506FB" w:rsidRPr="00E43670">
        <w:rPr>
          <w:snapToGrid w:val="0"/>
        </w:rPr>
        <w:t>fö</w:t>
      </w:r>
      <w:r w:rsidR="00A506FB" w:rsidRPr="00E43670">
        <w:rPr>
          <w:snapToGrid w:val="0"/>
        </w:rPr>
        <w:t>r</w:t>
      </w:r>
      <w:r w:rsidR="00A506FB" w:rsidRPr="00E43670">
        <w:rPr>
          <w:snapToGrid w:val="0"/>
        </w:rPr>
        <w:t xml:space="preserve">bundsordförande </w:t>
      </w:r>
      <w:r w:rsidR="00303CA0" w:rsidRPr="00E43670">
        <w:rPr>
          <w:snapToGrid w:val="0"/>
        </w:rPr>
        <w:t xml:space="preserve">Göran Johnsson, </w:t>
      </w:r>
      <w:r w:rsidR="000A69A3" w:rsidRPr="00E43670">
        <w:rPr>
          <w:snapToGrid w:val="0"/>
        </w:rPr>
        <w:t xml:space="preserve">i maj 2002 </w:t>
      </w:r>
      <w:r w:rsidR="00303CA0" w:rsidRPr="00E43670">
        <w:rPr>
          <w:snapToGrid w:val="0"/>
        </w:rPr>
        <w:t>föreslog en satsning på ytterl</w:t>
      </w:r>
      <w:r w:rsidR="00303CA0" w:rsidRPr="00E43670">
        <w:rPr>
          <w:snapToGrid w:val="0"/>
        </w:rPr>
        <w:t>i</w:t>
      </w:r>
      <w:r w:rsidR="00303CA0" w:rsidRPr="00E43670">
        <w:rPr>
          <w:snapToGrid w:val="0"/>
        </w:rPr>
        <w:t>gare 55 miljoner kronor per år för att förstärka svensk na</w:t>
      </w:r>
      <w:r w:rsidR="00B84693" w:rsidRPr="00E43670">
        <w:rPr>
          <w:snapToGrid w:val="0"/>
        </w:rPr>
        <w:t xml:space="preserve">noforskning </w:t>
      </w:r>
      <w:r w:rsidR="003F793D" w:rsidRPr="00E43670">
        <w:rPr>
          <w:snapToGrid w:val="0"/>
        </w:rPr>
        <w:t>med tonvikt på Lund-Malmö-regionen</w:t>
      </w:r>
      <w:r w:rsidR="00303CA0" w:rsidRPr="00E43670">
        <w:rPr>
          <w:snapToGrid w:val="0"/>
        </w:rPr>
        <w:t xml:space="preserve">. Sommaren 2002 startades </w:t>
      </w:r>
      <w:r w:rsidR="00E94D14" w:rsidRPr="00E43670">
        <w:rPr>
          <w:snapToGrid w:val="0"/>
        </w:rPr>
        <w:t>en ver</w:t>
      </w:r>
      <w:r w:rsidR="00E94D14" w:rsidRPr="00E43670">
        <w:rPr>
          <w:snapToGrid w:val="0"/>
        </w:rPr>
        <w:t>k</w:t>
      </w:r>
      <w:r w:rsidR="00E94D14" w:rsidRPr="00E43670">
        <w:rPr>
          <w:snapToGrid w:val="0"/>
        </w:rPr>
        <w:t xml:space="preserve">samhet, </w:t>
      </w:r>
      <w:r w:rsidR="00303CA0" w:rsidRPr="00E43670">
        <w:rPr>
          <w:snapToGrid w:val="0"/>
        </w:rPr>
        <w:t>Pronano</w:t>
      </w:r>
      <w:r w:rsidR="00E94D14" w:rsidRPr="00E43670">
        <w:rPr>
          <w:snapToGrid w:val="0"/>
        </w:rPr>
        <w:t>,</w:t>
      </w:r>
      <w:r w:rsidR="00303CA0" w:rsidRPr="00E43670">
        <w:rPr>
          <w:snapToGrid w:val="0"/>
        </w:rPr>
        <w:t xml:space="preserve"> av Lunds universitet, med syfte att koppla samman svensk industri med nanoteknisk forskning</w:t>
      </w:r>
      <w:r w:rsidR="000A69A3" w:rsidRPr="00E43670">
        <w:rPr>
          <w:snapToGrid w:val="0"/>
        </w:rPr>
        <w:t>, säger motionären</w:t>
      </w:r>
      <w:r w:rsidR="00303CA0" w:rsidRPr="00E43670">
        <w:rPr>
          <w:snapToGrid w:val="0"/>
        </w:rPr>
        <w:t xml:space="preserve">. Pronano </w:t>
      </w:r>
      <w:r w:rsidR="00E94D14" w:rsidRPr="00E43670">
        <w:rPr>
          <w:snapToGrid w:val="0"/>
        </w:rPr>
        <w:t xml:space="preserve">har </w:t>
      </w:r>
      <w:r w:rsidR="00303CA0" w:rsidRPr="00E43670">
        <w:rPr>
          <w:snapToGrid w:val="0"/>
        </w:rPr>
        <w:t>t.o.m. år 2004</w:t>
      </w:r>
      <w:r w:rsidR="00E94D14" w:rsidRPr="00E43670">
        <w:rPr>
          <w:snapToGrid w:val="0"/>
        </w:rPr>
        <w:t xml:space="preserve"> finansierats</w:t>
      </w:r>
      <w:r w:rsidR="00303CA0" w:rsidRPr="00E43670">
        <w:rPr>
          <w:snapToGrid w:val="0"/>
        </w:rPr>
        <w:t xml:space="preserve"> av Region Skåne och Malmö stad, varefter finansieringen är oklar. Att inrätta ett nationellt forskningsinstitut för nan</w:t>
      </w:r>
      <w:r w:rsidR="00303CA0" w:rsidRPr="00E43670">
        <w:rPr>
          <w:snapToGrid w:val="0"/>
        </w:rPr>
        <w:t>o</w:t>
      </w:r>
      <w:r w:rsidR="00303CA0" w:rsidRPr="00E43670">
        <w:rPr>
          <w:snapToGrid w:val="0"/>
        </w:rPr>
        <w:t xml:space="preserve">teknik med starka kopplingar till svenska universitet och högskolor och med goda resurser att hjälpa svensk industri </w:t>
      </w:r>
      <w:r w:rsidR="004239BB" w:rsidRPr="00E43670">
        <w:rPr>
          <w:snapToGrid w:val="0"/>
        </w:rPr>
        <w:t>skulle innebära en</w:t>
      </w:r>
      <w:r w:rsidR="00303CA0" w:rsidRPr="00E43670">
        <w:rPr>
          <w:snapToGrid w:val="0"/>
        </w:rPr>
        <w:t xml:space="preserve"> sats</w:t>
      </w:r>
      <w:r w:rsidR="004239BB" w:rsidRPr="00E43670">
        <w:rPr>
          <w:snapToGrid w:val="0"/>
        </w:rPr>
        <w:t>ning</w:t>
      </w:r>
      <w:r w:rsidR="00303CA0" w:rsidRPr="00E43670">
        <w:rPr>
          <w:snapToGrid w:val="0"/>
        </w:rPr>
        <w:t xml:space="preserve"> på framti</w:t>
      </w:r>
      <w:r w:rsidR="004239BB" w:rsidRPr="00E43670">
        <w:rPr>
          <w:snapToGrid w:val="0"/>
        </w:rPr>
        <w:t>den, så att</w:t>
      </w:r>
      <w:r w:rsidR="00303CA0" w:rsidRPr="00E43670">
        <w:rPr>
          <w:snapToGrid w:val="0"/>
        </w:rPr>
        <w:t xml:space="preserve"> Sverige </w:t>
      </w:r>
      <w:r w:rsidR="004239BB" w:rsidRPr="00E43670">
        <w:rPr>
          <w:snapToGrid w:val="0"/>
        </w:rPr>
        <w:t xml:space="preserve">kan </w:t>
      </w:r>
      <w:r w:rsidR="00303CA0" w:rsidRPr="00E43670">
        <w:rPr>
          <w:snapToGrid w:val="0"/>
        </w:rPr>
        <w:t>vara spjutspets när den nya industriella revolutionen kommer</w:t>
      </w:r>
      <w:r w:rsidR="000A69A3" w:rsidRPr="00E43670">
        <w:rPr>
          <w:snapToGrid w:val="0"/>
        </w:rPr>
        <w:t>, anför m</w:t>
      </w:r>
      <w:r w:rsidR="000A69A3" w:rsidRPr="00E43670">
        <w:rPr>
          <w:snapToGrid w:val="0"/>
        </w:rPr>
        <w:t>o</w:t>
      </w:r>
      <w:r w:rsidR="000A69A3" w:rsidRPr="00E43670">
        <w:rPr>
          <w:snapToGrid w:val="0"/>
        </w:rPr>
        <w:t>tionären</w:t>
      </w:r>
      <w:r w:rsidR="00303CA0" w:rsidRPr="00E43670">
        <w:rPr>
          <w:snapToGrid w:val="0"/>
        </w:rPr>
        <w:t xml:space="preserve">. </w:t>
      </w:r>
    </w:p>
    <w:p w:rsidR="00303CA0" w:rsidRPr="00E43670" w:rsidRDefault="00303CA0" w:rsidP="000A69A3">
      <w:pPr>
        <w:pStyle w:val="R4"/>
      </w:pPr>
      <w:r w:rsidRPr="00E43670">
        <w:t>Vissa kompletterande uppgifter</w:t>
      </w:r>
    </w:p>
    <w:p w:rsidR="00303CA0" w:rsidRPr="00E43670" w:rsidRDefault="00303CA0" w:rsidP="00303CA0">
      <w:r w:rsidRPr="00E43670">
        <w:t xml:space="preserve">I propositionen finns under avsnittet om ett av de prioriterade områdena, teknisk forskning, ett särskilt avsnitt om materialteknik och nanovetenskap (s. 78). Där sägs bl.a. att det inom materialvetenskapen pågår en utveckling mot studier av mindre strukturer med inriktning </w:t>
      </w:r>
      <w:r w:rsidR="00E94D14" w:rsidRPr="00E43670">
        <w:t>på</w:t>
      </w:r>
      <w:r w:rsidRPr="00E43670">
        <w:t xml:space="preserve"> mikro- och nanoskalan. Nan</w:t>
      </w:r>
      <w:r w:rsidRPr="00E43670">
        <w:t>o</w:t>
      </w:r>
      <w:r w:rsidRPr="00E43670">
        <w:t>vetenskap och nanoteknik har en stor industriell potential inom bl.a. materia</w:t>
      </w:r>
      <w:r w:rsidRPr="00E43670">
        <w:t>l</w:t>
      </w:r>
      <w:r w:rsidRPr="00E43670">
        <w:t>industrin och elektronikindustrin. Dessa industrier är omfattande i Sverige och behovet av kompetens inom nanoområdet, inklusive kunskap om event</w:t>
      </w:r>
      <w:r w:rsidRPr="00E43670">
        <w:t>u</w:t>
      </w:r>
      <w:r w:rsidR="00E94D14" w:rsidRPr="00E43670">
        <w:t xml:space="preserve">ella risker med tekniken, är därmed stort. </w:t>
      </w:r>
      <w:r w:rsidRPr="00E43670">
        <w:t>Flera högkvalitativa forskningspr</w:t>
      </w:r>
      <w:r w:rsidRPr="00E43670">
        <w:t>o</w:t>
      </w:r>
      <w:r w:rsidRPr="00E43670">
        <w:t>gram inom materialområdet har börjat riktas mot nanovetenskap, sägs det i propos</w:t>
      </w:r>
      <w:r w:rsidRPr="00E43670">
        <w:t>i</w:t>
      </w:r>
      <w:r w:rsidRPr="00E43670">
        <w:t xml:space="preserve">tionen. Området nanovetenskap finansieras för närvarande med ca </w:t>
      </w:r>
      <w:r w:rsidR="00BD160C" w:rsidRPr="00E43670">
        <w:t xml:space="preserve">   </w:t>
      </w:r>
      <w:r w:rsidRPr="00E43670">
        <w:t>50 mi</w:t>
      </w:r>
      <w:r w:rsidRPr="00E43670">
        <w:t>l</w:t>
      </w:r>
      <w:r w:rsidRPr="00E43670">
        <w:t>joner kronor per år från Vetenskapsrådet och olika stiftelser. Det finns ingen sa</w:t>
      </w:r>
      <w:r w:rsidRPr="00E43670">
        <w:t>m</w:t>
      </w:r>
      <w:r w:rsidRPr="00E43670">
        <w:t>manhållen bild av forskningen inom nanovetenskap i Sverige, konstaterar regeringen. Övergripande uppgifter om näringslivets ekonomiska engag</w:t>
      </w:r>
      <w:r w:rsidRPr="00E43670">
        <w:t>e</w:t>
      </w:r>
      <w:r w:rsidRPr="00E43670">
        <w:t>mang och FoU-insatser inom nanoområdet är också knapphändiga, vilket kan tala för behovet av en kartläggning av området. Enligt uppgift från Näring</w:t>
      </w:r>
      <w:r w:rsidRPr="00E43670">
        <w:t>s</w:t>
      </w:r>
      <w:r w:rsidRPr="00E43670">
        <w:t xml:space="preserve">departementet är något beslut om </w:t>
      </w:r>
      <w:r w:rsidR="0071002F" w:rsidRPr="00E43670">
        <w:t xml:space="preserve">en sådan </w:t>
      </w:r>
      <w:r w:rsidRPr="00E43670">
        <w:t>kartläggning ännu inte fattat. I sammanhanget kan nämnas att Ingenjörsvetenskapsakad</w:t>
      </w:r>
      <w:r w:rsidRPr="00E43670">
        <w:t>e</w:t>
      </w:r>
      <w:r w:rsidR="00454B3F" w:rsidRPr="00E43670">
        <w:t>mien</w:t>
      </w:r>
      <w:r w:rsidRPr="00E43670">
        <w:t xml:space="preserve"> har initierat ett projekt som syftar till bl.a. att utveckla en s.k. nanostr</w:t>
      </w:r>
      <w:r w:rsidRPr="00E43670">
        <w:t>a</w:t>
      </w:r>
      <w:r w:rsidRPr="00E43670">
        <w:t xml:space="preserve">tegi. </w:t>
      </w:r>
    </w:p>
    <w:p w:rsidR="00303CA0" w:rsidRPr="00E43670" w:rsidRDefault="00303CA0" w:rsidP="00047726">
      <w:pPr>
        <w:pStyle w:val="Normaltindrag"/>
      </w:pPr>
      <w:r w:rsidRPr="00E43670">
        <w:t>Nanovetenskap och nanoteknik är av strategisk vikt på längre sikt, heter det vidare i propositionen. Området är horisontellt eftersom det kan genoms</w:t>
      </w:r>
      <w:r w:rsidRPr="00E43670">
        <w:t>y</w:t>
      </w:r>
      <w:r w:rsidRPr="00E43670">
        <w:t>ra i stort sett alla tekniksektorer, föra samman olika vetenskapsområden och bygga på ett tvärvetenskapligt tillvägagångssätt. Materialvetenskapens u</w:t>
      </w:r>
      <w:r w:rsidRPr="00E43670">
        <w:t>t</w:t>
      </w:r>
      <w:r w:rsidRPr="00E43670">
        <w:t>veckling mot nanovetenskap tillsammans med tillverkning i nanoskala är grunden för potentiella tillämpningar av nanovetenskapen inom en mängd områden, t.ex. informationsteknik, medicin, energi och miljö. Svensk nan</w:t>
      </w:r>
      <w:r w:rsidRPr="00E43670">
        <w:t>o</w:t>
      </w:r>
      <w:r w:rsidRPr="00E43670">
        <w:t>forskning hävdar sig väl vid en internationell jämförelse. Starka forskargru</w:t>
      </w:r>
      <w:r w:rsidRPr="00E43670">
        <w:t>p</w:t>
      </w:r>
      <w:r w:rsidRPr="00E43670">
        <w:t>per finns inom samtliga de områden som nanovetenskapen kan delas in i – material, elektronik, bioteknik, mekanik och verktyg. EG-kommissionen konstaterar också i en rapport att Sverige har en infrastruktur och vetenska</w:t>
      </w:r>
      <w:r w:rsidRPr="00E43670">
        <w:t>p</w:t>
      </w:r>
      <w:r w:rsidRPr="00E43670">
        <w:t>lig position som möjliggör vetenskapliga applikationer inom nanoområdet. Det är emellertid viktigt att satsningar genomförs som också möjliggör att kommersiella produkter kan utvecklas, sägs det i propositionen.</w:t>
      </w:r>
    </w:p>
    <w:p w:rsidR="00303CA0" w:rsidRPr="00E43670" w:rsidRDefault="00303CA0" w:rsidP="00047726">
      <w:pPr>
        <w:pStyle w:val="Normaltindrag"/>
      </w:pPr>
      <w:r w:rsidRPr="00E43670">
        <w:t xml:space="preserve">EG-kommissionen framhöll i </w:t>
      </w:r>
      <w:r w:rsidR="006676E5" w:rsidRPr="00E43670">
        <w:t xml:space="preserve">maj 2004 (i </w:t>
      </w:r>
      <w:r w:rsidRPr="00E43670">
        <w:t>meddelandet Towards a Europ</w:t>
      </w:r>
      <w:r w:rsidRPr="00E43670">
        <w:t>e</w:t>
      </w:r>
      <w:r w:rsidRPr="00E43670">
        <w:t>an Strategy</w:t>
      </w:r>
      <w:r w:rsidR="00047726" w:rsidRPr="00E43670">
        <w:t xml:space="preserve"> </w:t>
      </w:r>
      <w:r w:rsidRPr="00E43670">
        <w:t>for Nanotechnology</w:t>
      </w:r>
      <w:r w:rsidR="006676E5" w:rsidRPr="00E43670">
        <w:t xml:space="preserve">) </w:t>
      </w:r>
      <w:r w:rsidRPr="00E43670">
        <w:t>vikten av att stärka nanovetenskap och nanoteknik. Områden som behandlades i medd</w:t>
      </w:r>
      <w:r w:rsidRPr="00E43670">
        <w:t>e</w:t>
      </w:r>
      <w:r w:rsidRPr="00E43670">
        <w:t>landet är bl.a. förbättrat stöd till forskning och innovation, inriktningen av stödet samt förbättrade villkor för privata forskningsinvesteringar. Konku</w:t>
      </w:r>
      <w:r w:rsidRPr="00E43670">
        <w:t>r</w:t>
      </w:r>
      <w:r w:rsidRPr="00E43670">
        <w:t>renskraftsrådet har i allt väsentligt ställt sig bakom innehållet i meddelandet, bl.a. välkomn</w:t>
      </w:r>
      <w:r w:rsidRPr="00E43670">
        <w:t>a</w:t>
      </w:r>
      <w:r w:rsidRPr="00E43670">
        <w:t>des kommissionens initiativ att under första kvartalet 2005 utarbeta en handlingsplan för nanote</w:t>
      </w:r>
      <w:r w:rsidRPr="00E43670">
        <w:t>k</w:t>
      </w:r>
      <w:r w:rsidRPr="00E43670">
        <w:t>nik. Kommissionen har dock ännu inte presenterat någon sådan handling</w:t>
      </w:r>
      <w:r w:rsidRPr="00E43670">
        <w:t>s</w:t>
      </w:r>
      <w:r w:rsidRPr="00E43670">
        <w:t>plan, men kommer, enligt uppgift från Näringsdepartementet, förmodligen att göra det senare under våren 2005. Kommissionen har vidare föreslagit två teknikplattformar med nanoinrik</w:t>
      </w:r>
      <w:r w:rsidRPr="00E43670">
        <w:t>t</w:t>
      </w:r>
      <w:r w:rsidRPr="00E43670">
        <w:t>ning, nämligen nanoelektronik (European Nanoelectronics Initiative Advisory Group) och nanomedicin (European Nanomedicine Technology Platform Nanobiotechnologies for Medical Appl</w:t>
      </w:r>
      <w:r w:rsidRPr="00E43670">
        <w:t>i</w:t>
      </w:r>
      <w:r w:rsidRPr="00E43670">
        <w:t>cations). Området är också prioriterat inom ramen för EU:s pågående sjätte ramprogram för forskning där 1,3 mi</w:t>
      </w:r>
      <w:r w:rsidRPr="00E43670">
        <w:t>l</w:t>
      </w:r>
      <w:r w:rsidRPr="00E43670">
        <w:t xml:space="preserve">jarder euro har avsatts för åren 2002–2006. </w:t>
      </w:r>
    </w:p>
    <w:p w:rsidR="00E660FB" w:rsidRPr="00E43670" w:rsidRDefault="00E660FB" w:rsidP="00E660FB">
      <w:pPr>
        <w:pStyle w:val="R4"/>
      </w:pPr>
      <w:r w:rsidRPr="00E43670">
        <w:t>Näringsutskottets ställningstagande</w:t>
      </w:r>
    </w:p>
    <w:p w:rsidR="00BB4F89" w:rsidRPr="00E43670" w:rsidRDefault="00BA662C" w:rsidP="00E660FB">
      <w:r w:rsidRPr="00E43670">
        <w:t xml:space="preserve">Nanoteknik </w:t>
      </w:r>
      <w:r w:rsidR="0094526D" w:rsidRPr="00E43670">
        <w:t>har ett stort potentiellt tillämpningsområde, inom t.ex. inform</w:t>
      </w:r>
      <w:r w:rsidR="0094526D" w:rsidRPr="00E43670">
        <w:t>a</w:t>
      </w:r>
      <w:r w:rsidR="0094526D" w:rsidRPr="00E43670">
        <w:t>tionsteknik, medicin, energi och miljö. Den svenska nanoforskningen ligger väl framme internationellt sett. Det finns starka forskargrupper inom de b</w:t>
      </w:r>
      <w:r w:rsidR="0094526D" w:rsidRPr="00E43670">
        <w:t>e</w:t>
      </w:r>
      <w:r w:rsidR="0094526D" w:rsidRPr="00E43670">
        <w:t xml:space="preserve">rörda områdena – material, elektronik, bioteknik, mekanik och verktyg. </w:t>
      </w:r>
      <w:r w:rsidR="00BB4F89" w:rsidRPr="00E43670">
        <w:t>Nä</w:t>
      </w:r>
      <w:r w:rsidR="00BB4F89" w:rsidRPr="00E43670">
        <w:t>r</w:t>
      </w:r>
      <w:r w:rsidR="00BB4F89" w:rsidRPr="00E43670">
        <w:t xml:space="preserve">ingsutskottet delar de synpunkter som förs fram i motion 2004/05:N282 (kd) om att det är angeläget med satsningar på nanoteknik, bl.a. för att ta till vara de möjligheter till kommersialisering av forskningsresultat och industriell utveckling som finns på området. </w:t>
      </w:r>
    </w:p>
    <w:p w:rsidR="00E660FB" w:rsidRPr="00E43670" w:rsidRDefault="00E94D14" w:rsidP="00BB4F89">
      <w:pPr>
        <w:pStyle w:val="Normaltindrag"/>
      </w:pPr>
      <w:r w:rsidRPr="00E43670">
        <w:t>Som redovisats uppmärksammas i</w:t>
      </w:r>
      <w:r w:rsidR="00BB4F89" w:rsidRPr="00E43670">
        <w:t xml:space="preserve"> propositionen o</w:t>
      </w:r>
      <w:r w:rsidR="00BB4F89" w:rsidRPr="00E43670">
        <w:t>m</w:t>
      </w:r>
      <w:r w:rsidR="00BB4F89" w:rsidRPr="00E43670">
        <w:t>rådet materialteknik och nanovetenskap som ett strategiskt område inom ramen för det prior</w:t>
      </w:r>
      <w:r w:rsidR="00BB4F89" w:rsidRPr="00E43670">
        <w:t>i</w:t>
      </w:r>
      <w:r w:rsidR="00BB4F89" w:rsidRPr="00E43670">
        <w:t xml:space="preserve">terade området teknisk forskning. Med hänvisning till detta anser </w:t>
      </w:r>
      <w:r w:rsidR="00BB5C15" w:rsidRPr="00E43670">
        <w:t>näringsu</w:t>
      </w:r>
      <w:r w:rsidR="00BB5C15" w:rsidRPr="00E43670">
        <w:t>t</w:t>
      </w:r>
      <w:r w:rsidR="00BB5C15" w:rsidRPr="00E43670">
        <w:t>skottet</w:t>
      </w:r>
      <w:r w:rsidR="00BB4F89" w:rsidRPr="00E43670">
        <w:t xml:space="preserve"> att det </w:t>
      </w:r>
      <w:r w:rsidR="00BB5C15" w:rsidRPr="00E43670">
        <w:t xml:space="preserve">inte </w:t>
      </w:r>
      <w:r w:rsidR="00BB4F89" w:rsidRPr="00E43670">
        <w:t>finns anledning för riksdagen att nu göra ett särskilt utt</w:t>
      </w:r>
      <w:r w:rsidR="00BB4F89" w:rsidRPr="00E43670">
        <w:t>a</w:t>
      </w:r>
      <w:r w:rsidR="00BB4F89" w:rsidRPr="00E43670">
        <w:t>lande om nanoteknisk forskning. Motionen bör alltså avstyrkas av utbil</w:t>
      </w:r>
      <w:r w:rsidR="00BB4F89" w:rsidRPr="00E43670">
        <w:t>d</w:t>
      </w:r>
      <w:r w:rsidR="00BB4F89" w:rsidRPr="00E43670">
        <w:t>ningsutskottet.</w:t>
      </w:r>
    </w:p>
    <w:p w:rsidR="00303CA0" w:rsidRPr="00E43670" w:rsidRDefault="00303CA0" w:rsidP="00047726">
      <w:pPr>
        <w:pStyle w:val="Rubrik3"/>
        <w:rPr>
          <w:noProof w:val="0"/>
        </w:rPr>
      </w:pPr>
      <w:bookmarkStart w:id="5" w:name="_Toc101927279"/>
      <w:r w:rsidRPr="00E43670">
        <w:rPr>
          <w:noProof w:val="0"/>
        </w:rPr>
        <w:t>M</w:t>
      </w:r>
      <w:r w:rsidR="00047726" w:rsidRPr="00E43670">
        <w:rPr>
          <w:noProof w:val="0"/>
        </w:rPr>
        <w:t>edicin</w:t>
      </w:r>
      <w:r w:rsidR="002900C8" w:rsidRPr="00E43670">
        <w:rPr>
          <w:noProof w:val="0"/>
        </w:rPr>
        <w:t>sk-</w:t>
      </w:r>
      <w:r w:rsidR="00047726" w:rsidRPr="00E43670">
        <w:rPr>
          <w:noProof w:val="0"/>
        </w:rPr>
        <w:t>teknisk forskning</w:t>
      </w:r>
      <w:bookmarkEnd w:id="5"/>
    </w:p>
    <w:p w:rsidR="00047726" w:rsidRPr="00E43670" w:rsidRDefault="006676E5" w:rsidP="00047726">
      <w:pPr>
        <w:pStyle w:val="R4"/>
        <w:spacing w:before="125"/>
      </w:pPr>
      <w:r w:rsidRPr="00E43670">
        <w:t>Motionen</w:t>
      </w:r>
    </w:p>
    <w:p w:rsidR="00303CA0" w:rsidRPr="00E43670" w:rsidRDefault="00047726" w:rsidP="00303CA0">
      <w:r w:rsidRPr="00E43670">
        <w:t xml:space="preserve">I motion </w:t>
      </w:r>
      <w:r w:rsidR="00303CA0" w:rsidRPr="00E43670">
        <w:t>2004/05:N241 (fp)</w:t>
      </w:r>
      <w:r w:rsidRPr="00E43670">
        <w:t xml:space="preserve"> </w:t>
      </w:r>
      <w:r w:rsidR="006676E5" w:rsidRPr="00E43670">
        <w:t xml:space="preserve">från allmänna motionstiden </w:t>
      </w:r>
      <w:r w:rsidRPr="00E43670">
        <w:t>begärs ett</w:t>
      </w:r>
      <w:r w:rsidR="00303CA0" w:rsidRPr="00E43670">
        <w:t xml:space="preserve"> tillkänn</w:t>
      </w:r>
      <w:r w:rsidR="00303CA0" w:rsidRPr="00E43670">
        <w:t>a</w:t>
      </w:r>
      <w:r w:rsidR="00303CA0" w:rsidRPr="00E43670">
        <w:t>g</w:t>
      </w:r>
      <w:r w:rsidRPr="00E43670">
        <w:t>ivande</w:t>
      </w:r>
      <w:r w:rsidR="00303CA0" w:rsidRPr="00E43670">
        <w:t xml:space="preserve"> om Södertäljes förutsättningar att fortsatt vara ett viktigt centrum för svensk medicin</w:t>
      </w:r>
      <w:r w:rsidR="002900C8" w:rsidRPr="00E43670">
        <w:t>sk-</w:t>
      </w:r>
      <w:r w:rsidR="00303CA0" w:rsidRPr="00E43670">
        <w:t>teknisk forskning.</w:t>
      </w:r>
      <w:r w:rsidRPr="00E43670">
        <w:t xml:space="preserve"> </w:t>
      </w:r>
      <w:r w:rsidR="00303CA0" w:rsidRPr="00E43670">
        <w:t xml:space="preserve">I motionen erinras om Astra Zenecas betydelse för tillväxten och för välfärden. </w:t>
      </w:r>
      <w:r w:rsidR="002900C8" w:rsidRPr="00E43670">
        <w:t>Den medicinsk-tekniska industrin utgör</w:t>
      </w:r>
      <w:r w:rsidR="00303CA0" w:rsidRPr="00E43670">
        <w:t xml:space="preserve"> en viktig grund för det svenska välståndet – det skapas arbetstillfällen och forskning för miljarder kronor</w:t>
      </w:r>
      <w:r w:rsidRPr="00E43670">
        <w:t>, framhåller motionärerna</w:t>
      </w:r>
      <w:r w:rsidR="00303CA0" w:rsidRPr="00E43670">
        <w:t xml:space="preserve">. </w:t>
      </w:r>
      <w:r w:rsidRPr="00E43670">
        <w:t xml:space="preserve">De påpekar att </w:t>
      </w:r>
      <w:r w:rsidR="00A27E32" w:rsidRPr="00E43670">
        <w:t>Sveriges vä</w:t>
      </w:r>
      <w:r w:rsidR="00A27E32" w:rsidRPr="00E43670">
        <w:t>l</w:t>
      </w:r>
      <w:r w:rsidR="00A27E32" w:rsidRPr="00E43670">
        <w:t xml:space="preserve">färd kommer att påverkas negativt </w:t>
      </w:r>
      <w:r w:rsidRPr="00E43670">
        <w:t>u</w:t>
      </w:r>
      <w:r w:rsidR="00303CA0" w:rsidRPr="00E43670">
        <w:t>tan fortsatt tillväxt, grundad på goda forsknings- och produktion</w:t>
      </w:r>
      <w:r w:rsidR="00303CA0" w:rsidRPr="00E43670">
        <w:t>s</w:t>
      </w:r>
      <w:r w:rsidR="00303CA0" w:rsidRPr="00E43670">
        <w:t>förutsättningar i bl.a. Södertäljeregion</w:t>
      </w:r>
      <w:r w:rsidR="00A27E32" w:rsidRPr="00E43670">
        <w:t>en</w:t>
      </w:r>
      <w:r w:rsidR="00303CA0" w:rsidRPr="00E43670">
        <w:t xml:space="preserve">. </w:t>
      </w:r>
    </w:p>
    <w:p w:rsidR="00303CA0" w:rsidRPr="00E43670" w:rsidRDefault="00303CA0" w:rsidP="00047726">
      <w:pPr>
        <w:pStyle w:val="Rubrik4"/>
        <w:rPr>
          <w:noProof w:val="0"/>
        </w:rPr>
      </w:pPr>
      <w:bookmarkStart w:id="6" w:name="_Toc101927280"/>
      <w:r w:rsidRPr="00E43670">
        <w:rPr>
          <w:noProof w:val="0"/>
        </w:rPr>
        <w:t>Vissa kompletterande uppgifter</w:t>
      </w:r>
      <w:bookmarkEnd w:id="6"/>
    </w:p>
    <w:p w:rsidR="00303CA0" w:rsidRPr="00E43670" w:rsidRDefault="00303CA0" w:rsidP="00303CA0">
      <w:r w:rsidRPr="00E43670">
        <w:t>I propositionen finns under avsnittet om ett av de prioriterade områdena, teknisk forskning, ett särskilt avsnitt om biovetenskap och bioteknik (s. 79). Där sägs bl.a. att det finns en stor potential för tillväxt inom bioteknikomr</w:t>
      </w:r>
      <w:r w:rsidRPr="00E43670">
        <w:t>å</w:t>
      </w:r>
      <w:r w:rsidRPr="00E43670">
        <w:t xml:space="preserve">det, vilket lyfts fram i forskningsstrategierna. Det gäller </w:t>
      </w:r>
      <w:r w:rsidR="00E94D14" w:rsidRPr="00E43670">
        <w:t xml:space="preserve">dels </w:t>
      </w:r>
      <w:r w:rsidRPr="00E43670">
        <w:t xml:space="preserve">avknoppningar från etablerade företag </w:t>
      </w:r>
      <w:r w:rsidR="00325BB9" w:rsidRPr="00E43670">
        <w:t xml:space="preserve">och </w:t>
      </w:r>
      <w:r w:rsidRPr="00E43670">
        <w:t>fr</w:t>
      </w:r>
      <w:r w:rsidR="00E94D14" w:rsidRPr="00E43670">
        <w:t xml:space="preserve">ån offentliga forskningsmiljöer, dels </w:t>
      </w:r>
      <w:r w:rsidRPr="00E43670">
        <w:t>etablerade företags expansion. En stor drivkraft för tillväxt inom läkemedels</w:t>
      </w:r>
      <w:r w:rsidR="00325BB9" w:rsidRPr="00E43670">
        <w:t>området</w:t>
      </w:r>
      <w:r w:rsidRPr="00E43670">
        <w:t xml:space="preserve"> i framtiden är de landvinningar som för närvarande görs inom molekylärmed</w:t>
      </w:r>
      <w:r w:rsidRPr="00E43670">
        <w:t>i</w:t>
      </w:r>
      <w:r w:rsidRPr="00E43670">
        <w:t>cinsk forskning, sägs det. En viktig utvecklingspote</w:t>
      </w:r>
      <w:r w:rsidRPr="00E43670">
        <w:t>n</w:t>
      </w:r>
      <w:r w:rsidRPr="00E43670">
        <w:t>tial för Sverige ligger i att ta fram teknik, metoder och verktyg inom biotekn</w:t>
      </w:r>
      <w:r w:rsidRPr="00E43670">
        <w:t>i</w:t>
      </w:r>
      <w:r w:rsidRPr="00E43670">
        <w:t>ken där teknikkunnande kopplas till en tillämpning i samverkan med de for</w:t>
      </w:r>
      <w:r w:rsidRPr="00E43670">
        <w:t>s</w:t>
      </w:r>
      <w:r w:rsidRPr="00E43670">
        <w:t>kare som skall använda de nya verktygen, framhåller regeringen.</w:t>
      </w:r>
    </w:p>
    <w:p w:rsidR="00032748" w:rsidRPr="00E43670" w:rsidRDefault="00032748" w:rsidP="00032748">
      <w:pPr>
        <w:pStyle w:val="R4"/>
      </w:pPr>
      <w:r w:rsidRPr="00E43670">
        <w:t>Näringsutskottets ställningstagande</w:t>
      </w:r>
    </w:p>
    <w:p w:rsidR="00032748" w:rsidRPr="00E43670" w:rsidRDefault="00032748" w:rsidP="00032748">
      <w:r w:rsidRPr="00E43670">
        <w:t xml:space="preserve">Näringsutskottet delar </w:t>
      </w:r>
      <w:r w:rsidR="001315FF" w:rsidRPr="00E43670">
        <w:t>den bedömning</w:t>
      </w:r>
      <w:r w:rsidR="006676E5" w:rsidRPr="00E43670">
        <w:t xml:space="preserve"> som görs i motion 2004/05:N241 (fp)</w:t>
      </w:r>
      <w:r w:rsidR="001315FF" w:rsidRPr="00E43670">
        <w:t xml:space="preserve"> avseende vikten av den medicin</w:t>
      </w:r>
      <w:r w:rsidR="00325BB9" w:rsidRPr="00E43670">
        <w:t>s</w:t>
      </w:r>
      <w:r w:rsidR="00B740D7" w:rsidRPr="00E43670">
        <w:t>k-</w:t>
      </w:r>
      <w:r w:rsidR="001315FF" w:rsidRPr="00E43670">
        <w:t>tekniska forskningen. Denna typ av fors</w:t>
      </w:r>
      <w:r w:rsidR="001315FF" w:rsidRPr="00E43670">
        <w:t>k</w:t>
      </w:r>
      <w:r w:rsidR="001315FF" w:rsidRPr="00E43670">
        <w:t>ning lyfts också fram i propositionen under avsnittet om det prioriterade o</w:t>
      </w:r>
      <w:r w:rsidR="001315FF" w:rsidRPr="00E43670">
        <w:t>m</w:t>
      </w:r>
      <w:r w:rsidR="001315FF" w:rsidRPr="00E43670">
        <w:t xml:space="preserve">rådet teknisk forskning. </w:t>
      </w:r>
      <w:r w:rsidRPr="00E43670">
        <w:t>Där sägs bl.a. att det finns en stor potential för tillväxt inom bioteknikområ</w:t>
      </w:r>
      <w:r w:rsidR="001315FF" w:rsidRPr="00E43670">
        <w:t>det – d</w:t>
      </w:r>
      <w:r w:rsidRPr="00E43670">
        <w:t xml:space="preserve">et gäller </w:t>
      </w:r>
      <w:r w:rsidR="00325BB9" w:rsidRPr="00E43670">
        <w:t xml:space="preserve">dels </w:t>
      </w:r>
      <w:r w:rsidRPr="00E43670">
        <w:t>avknoppningar från etablerade för</w:t>
      </w:r>
      <w:r w:rsidRPr="00E43670">
        <w:t>e</w:t>
      </w:r>
      <w:r w:rsidRPr="00E43670">
        <w:t>tag</w:t>
      </w:r>
      <w:r w:rsidR="00B740D7" w:rsidRPr="00E43670">
        <w:t xml:space="preserve"> och</w:t>
      </w:r>
      <w:r w:rsidRPr="00E43670">
        <w:t xml:space="preserve"> från offentliga forskningsmiljöer</w:t>
      </w:r>
      <w:r w:rsidR="00B740D7" w:rsidRPr="00E43670">
        <w:t>,</w:t>
      </w:r>
      <w:r w:rsidRPr="00E43670">
        <w:t xml:space="preserve"> </w:t>
      </w:r>
      <w:r w:rsidR="00325BB9" w:rsidRPr="00E43670">
        <w:t>dels</w:t>
      </w:r>
      <w:r w:rsidRPr="00E43670">
        <w:t xml:space="preserve"> etablerade företags expa</w:t>
      </w:r>
      <w:r w:rsidRPr="00E43670">
        <w:t>n</w:t>
      </w:r>
      <w:r w:rsidRPr="00E43670">
        <w:t>sion.</w:t>
      </w:r>
    </w:p>
    <w:p w:rsidR="001315FF" w:rsidRPr="00E43670" w:rsidRDefault="00777E4C" w:rsidP="001315FF">
      <w:pPr>
        <w:pStyle w:val="Normaltindrag"/>
      </w:pPr>
      <w:r w:rsidRPr="00E43670">
        <w:t>Något skäl för</w:t>
      </w:r>
      <w:r w:rsidR="001315FF" w:rsidRPr="00E43670">
        <w:t xml:space="preserve"> riksdagen </w:t>
      </w:r>
      <w:r w:rsidRPr="00E43670">
        <w:t xml:space="preserve">att </w:t>
      </w:r>
      <w:r w:rsidR="001315FF" w:rsidRPr="00E43670">
        <w:t>genom ett tillkännagivande särskilt ly</w:t>
      </w:r>
      <w:r w:rsidR="001315FF" w:rsidRPr="00E43670">
        <w:t>f</w:t>
      </w:r>
      <w:r w:rsidR="001315FF" w:rsidRPr="00E43670">
        <w:t>ta fram Södertäljes förutsättningar på det medicin</w:t>
      </w:r>
      <w:r w:rsidR="00325BB9" w:rsidRPr="00E43670">
        <w:t>s</w:t>
      </w:r>
      <w:r w:rsidR="00B740D7" w:rsidRPr="00E43670">
        <w:t>k-</w:t>
      </w:r>
      <w:r w:rsidR="001315FF" w:rsidRPr="00E43670">
        <w:t>tekniska området – vilket för</w:t>
      </w:r>
      <w:r w:rsidR="001315FF" w:rsidRPr="00E43670">
        <w:t>e</w:t>
      </w:r>
      <w:r w:rsidR="001315FF" w:rsidRPr="00E43670">
        <w:t>slås i motionen – kan näringsutskottet dock inte se. Utbildningsutskottet bör sål</w:t>
      </w:r>
      <w:r w:rsidR="001315FF" w:rsidRPr="00E43670">
        <w:t>e</w:t>
      </w:r>
      <w:r w:rsidR="001315FF" w:rsidRPr="00E43670">
        <w:t xml:space="preserve">des </w:t>
      </w:r>
      <w:r w:rsidRPr="00E43670">
        <w:t>avstyrka motionen i berörd del.</w:t>
      </w:r>
    </w:p>
    <w:p w:rsidR="00303CA0" w:rsidRPr="00E43670" w:rsidRDefault="00303CA0" w:rsidP="00105907">
      <w:pPr>
        <w:pStyle w:val="R3"/>
      </w:pPr>
      <w:r w:rsidRPr="00E43670">
        <w:t>Träforskning</w:t>
      </w:r>
    </w:p>
    <w:p w:rsidR="00047726" w:rsidRPr="00E43670" w:rsidRDefault="00725765" w:rsidP="00047726">
      <w:pPr>
        <w:pStyle w:val="R4"/>
        <w:spacing w:before="125"/>
      </w:pPr>
      <w:r w:rsidRPr="00E43670">
        <w:t>Motionen</w:t>
      </w:r>
    </w:p>
    <w:p w:rsidR="00303CA0" w:rsidRPr="00E43670" w:rsidRDefault="00EE0A63" w:rsidP="00303CA0">
      <w:r w:rsidRPr="00E43670">
        <w:t>Forskning kring trä och träanvän</w:t>
      </w:r>
      <w:r w:rsidRPr="00E43670">
        <w:t>d</w:t>
      </w:r>
      <w:r w:rsidRPr="00E43670">
        <w:t xml:space="preserve">ning bör prioriteras, anförs det i motion </w:t>
      </w:r>
      <w:r w:rsidR="00303CA0" w:rsidRPr="00E43670">
        <w:t>2004/05:MJ504 (kd)</w:t>
      </w:r>
      <w:r w:rsidR="00725765" w:rsidRPr="00E43670">
        <w:t xml:space="preserve"> från allmänna motionstiden</w:t>
      </w:r>
      <w:r w:rsidRPr="00E43670">
        <w:t xml:space="preserve">. </w:t>
      </w:r>
      <w:r w:rsidR="00303CA0" w:rsidRPr="00E43670">
        <w:t>Vetenskapsrådet har stor bet</w:t>
      </w:r>
      <w:r w:rsidR="00303CA0" w:rsidRPr="00E43670">
        <w:t>y</w:t>
      </w:r>
      <w:r w:rsidR="00303CA0" w:rsidRPr="00E43670">
        <w:t>delse för svensk forsk</w:t>
      </w:r>
      <w:r w:rsidRPr="00E43670">
        <w:t>ning, var</w:t>
      </w:r>
      <w:r w:rsidR="00303CA0" w:rsidRPr="00E43670">
        <w:t xml:space="preserve">för </w:t>
      </w:r>
      <w:r w:rsidRPr="00E43670">
        <w:t xml:space="preserve">det är </w:t>
      </w:r>
      <w:r w:rsidR="00303CA0" w:rsidRPr="00E43670">
        <w:t>viktigt att rådet harmoniserar den grundläggande fors</w:t>
      </w:r>
      <w:r w:rsidR="00303CA0" w:rsidRPr="00E43670">
        <w:t>k</w:t>
      </w:r>
      <w:r w:rsidR="00303CA0" w:rsidRPr="00E43670">
        <w:t>ningen och tillämpade innovationer</w:t>
      </w:r>
      <w:r w:rsidRPr="00E43670">
        <w:t>, säger motionärerna</w:t>
      </w:r>
      <w:r w:rsidR="00303CA0" w:rsidRPr="00E43670">
        <w:t xml:space="preserve">. </w:t>
      </w:r>
      <w:r w:rsidRPr="00E43670">
        <w:t>De anser att i</w:t>
      </w:r>
      <w:r w:rsidR="00303CA0" w:rsidRPr="00E43670">
        <w:t>ndustriforskningsinstitutens statliga grundfinansiering är en föru</w:t>
      </w:r>
      <w:r w:rsidR="00303CA0" w:rsidRPr="00E43670">
        <w:t>t</w:t>
      </w:r>
      <w:r w:rsidR="00303CA0" w:rsidRPr="00E43670">
        <w:t>sättning för långsiktig forskningsverksamhet där näringen tillskjuter huvudd</w:t>
      </w:r>
      <w:r w:rsidR="00303CA0" w:rsidRPr="00E43670">
        <w:t>e</w:t>
      </w:r>
      <w:r w:rsidR="00303CA0" w:rsidRPr="00E43670">
        <w:t>len av medlen. Regeringen måste tillse att utrymmet för den skogliga forskningen inte kry</w:t>
      </w:r>
      <w:r w:rsidR="00303CA0" w:rsidRPr="00E43670">
        <w:t>m</w:t>
      </w:r>
      <w:r w:rsidR="00303CA0" w:rsidRPr="00E43670">
        <w:t>per</w:t>
      </w:r>
      <w:r w:rsidRPr="00E43670">
        <w:t>, kräver motionärerna</w:t>
      </w:r>
      <w:r w:rsidR="00303CA0" w:rsidRPr="00E43670">
        <w:t>.</w:t>
      </w:r>
    </w:p>
    <w:p w:rsidR="00303CA0" w:rsidRPr="00E43670" w:rsidRDefault="00303CA0" w:rsidP="00105907">
      <w:pPr>
        <w:pStyle w:val="R4"/>
      </w:pPr>
      <w:r w:rsidRPr="00E43670">
        <w:t>Vissa kompletterande uppgifter</w:t>
      </w:r>
    </w:p>
    <w:p w:rsidR="00303CA0" w:rsidRPr="00E43670" w:rsidRDefault="00105907" w:rsidP="00303CA0">
      <w:r w:rsidRPr="00E43670">
        <w:t xml:space="preserve">I </w:t>
      </w:r>
      <w:r w:rsidR="00303CA0" w:rsidRPr="00E43670">
        <w:t>propositionen finns i avsnitt 9.12 ett särskilt avsnitt om skogsforskning och skog</w:t>
      </w:r>
      <w:r w:rsidR="00325BB9" w:rsidRPr="00E43670">
        <w:t>sindustriell forskning (s. 228), som näringsutskottet tidigare redovisat delar av i avsnittet om forskning till stöd för andra politikområden.</w:t>
      </w:r>
      <w:r w:rsidR="00303CA0" w:rsidRPr="00E43670">
        <w:t xml:space="preserve"> Där sägs bl.a. att </w:t>
      </w:r>
      <w:r w:rsidR="00A27E32" w:rsidRPr="00E43670">
        <w:t xml:space="preserve">det </w:t>
      </w:r>
      <w:r w:rsidR="00303CA0" w:rsidRPr="00E43670">
        <w:t>för att upprätthålla den svenska skogsnäringens konkurrenskraft krävs god kunskapsfö</w:t>
      </w:r>
      <w:r w:rsidR="00303CA0" w:rsidRPr="00E43670">
        <w:t>r</w:t>
      </w:r>
      <w:r w:rsidR="00303CA0" w:rsidRPr="00E43670">
        <w:t>sörjning och gott innovationsklimat. Sverige har en god ställning inom skog</w:t>
      </w:r>
      <w:r w:rsidR="00303CA0" w:rsidRPr="00E43670">
        <w:t>s</w:t>
      </w:r>
      <w:r w:rsidR="00303CA0" w:rsidRPr="00E43670">
        <w:t>forskning och skogsindustriell forskning. Det nationella skogs- och skogsindustriella klustret och innov</w:t>
      </w:r>
      <w:r w:rsidR="00303CA0" w:rsidRPr="00E43670">
        <w:t>a</w:t>
      </w:r>
      <w:r w:rsidR="00303CA0" w:rsidRPr="00E43670">
        <w:t>tionssystemet används ofta som exempel på system som har lett till en rad framgångsrika, internationellt ko</w:t>
      </w:r>
      <w:r w:rsidR="00303CA0" w:rsidRPr="00E43670">
        <w:t>n</w:t>
      </w:r>
      <w:r w:rsidR="00303CA0" w:rsidRPr="00E43670">
        <w:t>kurrenskraftiga företag genom hela förädlings- och leverantörskedjan. Grun</w:t>
      </w:r>
      <w:r w:rsidR="00303CA0" w:rsidRPr="00E43670">
        <w:t>d</w:t>
      </w:r>
      <w:r w:rsidR="00303CA0" w:rsidRPr="00E43670">
        <w:t>läggande skogsindustriell forskning bedrivs huvudsakligen vid tekniska universitet och högskolor. Skogsnäringen har dessutom egen forskning och finansierar tillsammans med staten fors</w:t>
      </w:r>
      <w:r w:rsidR="00303CA0" w:rsidRPr="00E43670">
        <w:t>k</w:t>
      </w:r>
      <w:r w:rsidR="00303CA0" w:rsidRPr="00E43670">
        <w:t>ning vid branschforskningsinstitut med inriktning mot skogsbruk – Skogsbr</w:t>
      </w:r>
      <w:r w:rsidR="00303CA0" w:rsidRPr="00E43670">
        <w:t>u</w:t>
      </w:r>
      <w:r w:rsidR="00303CA0" w:rsidRPr="00E43670">
        <w:t>kets forskningsinstitut (SkogForsk), institut med inriktning mot träbearbetningsindustri – SP-Trätek, bildat efter sammansla</w:t>
      </w:r>
      <w:r w:rsidR="00303CA0" w:rsidRPr="00E43670">
        <w:t>g</w:t>
      </w:r>
      <w:r w:rsidR="00303CA0" w:rsidRPr="00E43670">
        <w:t>ning av Institutet för träteknisk forskning (Trätek) och Sveriges Provningsinstitut (SP)</w:t>
      </w:r>
      <w:r w:rsidR="00830CCE" w:rsidRPr="00E43670">
        <w:t>,</w:t>
      </w:r>
      <w:r w:rsidR="00303CA0" w:rsidRPr="00E43670">
        <w:t xml:space="preserve"> samt institut med inriktning mot pappers- och mass</w:t>
      </w:r>
      <w:r w:rsidR="00303CA0" w:rsidRPr="00E43670">
        <w:t>a</w:t>
      </w:r>
      <w:r w:rsidR="00303CA0" w:rsidRPr="00E43670">
        <w:t>industrin – STFI-Packforsk, bildat efter sammanslagning av Skogsind</w:t>
      </w:r>
      <w:r w:rsidR="00303CA0" w:rsidRPr="00E43670">
        <w:t>u</w:t>
      </w:r>
      <w:r w:rsidR="00303CA0" w:rsidRPr="00E43670">
        <w:t>strins tekniska forskningsinstitut (STFI) och Institutet för förpackning och distrib</w:t>
      </w:r>
      <w:r w:rsidR="00303CA0" w:rsidRPr="00E43670">
        <w:t>u</w:t>
      </w:r>
      <w:r w:rsidR="00303CA0" w:rsidRPr="00E43670">
        <w:t>tion (Packforsk).</w:t>
      </w:r>
    </w:p>
    <w:p w:rsidR="00303CA0" w:rsidRPr="00E43670" w:rsidRDefault="00303CA0" w:rsidP="00105907">
      <w:pPr>
        <w:pStyle w:val="Normaltindrag"/>
      </w:pPr>
      <w:r w:rsidRPr="00E43670">
        <w:t>Regeringen har på riksdagens uppmaning (bet. 2001/02:NU12) utsett en särskild förhandlare, ställföreträdande generaldirektör Fredrik von Platen, att utarbeta en strategi för att främja träanvändningen i byggandet. Arbetet pr</w:t>
      </w:r>
      <w:r w:rsidRPr="00E43670">
        <w:t>e</w:t>
      </w:r>
      <w:r w:rsidRPr="00E43670">
        <w:t>senterades våren 2004 i departementspromemorian Mer trä i byggandet, u</w:t>
      </w:r>
      <w:r w:rsidRPr="00E43670">
        <w:t>n</w:t>
      </w:r>
      <w:r w:rsidRPr="00E43670">
        <w:t>derlag för en nationell strategi att främja användning av trä i byggande (Ds 2004:1). För att utveckla Sverige till en ledande nation inom området träby</w:t>
      </w:r>
      <w:r w:rsidRPr="00E43670">
        <w:t>g</w:t>
      </w:r>
      <w:r w:rsidRPr="00E43670">
        <w:t>gande föreslås i strategin ett åtgärdsprogram för forskning inriktat mot u</w:t>
      </w:r>
      <w:r w:rsidRPr="00E43670">
        <w:t>t</w:t>
      </w:r>
      <w:r w:rsidRPr="00E43670">
        <w:t>veckling av träbyggsystem och trä i samverkan med andra material. Strategin inriktas på områden där trä har stor innovationspotential, framför allt i större och högre byggnadsverk och där forskning kom i gång på allvar först när byggreglerna ändrades år 1995. Träbyggande är att betrakta som en industriell produktionsprocess och faller därför delvis under insatsområdet Trämanufa</w:t>
      </w:r>
      <w:r w:rsidRPr="00E43670">
        <w:t>k</w:t>
      </w:r>
      <w:r w:rsidRPr="00E43670">
        <w:t xml:space="preserve">tur som Vinnova utarbetat en strategi för, Nya material och produkter från förnybara råvaror (Vinnova rapport 2004:01).  </w:t>
      </w:r>
    </w:p>
    <w:p w:rsidR="00303CA0" w:rsidRPr="00E43670" w:rsidRDefault="00303CA0" w:rsidP="00105907">
      <w:pPr>
        <w:pStyle w:val="Normaltindrag"/>
      </w:pPr>
      <w:r w:rsidRPr="00E43670">
        <w:t>Bland åtgärderna i strategin föreslogs att regeringen skulle utse en ordf</w:t>
      </w:r>
      <w:r w:rsidRPr="00E43670">
        <w:t>ö</w:t>
      </w:r>
      <w:r w:rsidRPr="00E43670">
        <w:t>rande för den grupp av intressenter som skall genomföra strategin. I oktober 2004 utsåg regeringen riksdagsledamoten Kenth Högström (s) till ordförande för samordningen av träbyggnadsstrategin med uppdraget att verka för att å</w:t>
      </w:r>
      <w:r w:rsidRPr="00E43670">
        <w:t>t</w:t>
      </w:r>
      <w:r w:rsidRPr="00E43670">
        <w:t>gärdsförslagen i strategin genomförs. I arbetet skall berörda företrädare från skogsnäringen, byggsektorn och myndigheter delta. Ordföranden skall sa</w:t>
      </w:r>
      <w:r w:rsidRPr="00E43670">
        <w:t>m</w:t>
      </w:r>
      <w:r w:rsidRPr="00E43670">
        <w:t xml:space="preserve">verka med en bred krets av företrädare med intresse i byggfrågor och tillse att åtgärderna i linje med strategin </w:t>
      </w:r>
      <w:r w:rsidR="00830CCE" w:rsidRPr="00E43670">
        <w:t xml:space="preserve">och utifrån objektiva grunder </w:t>
      </w:r>
      <w:r w:rsidRPr="00E43670">
        <w:t>främjar utvec</w:t>
      </w:r>
      <w:r w:rsidRPr="00E43670">
        <w:t>k</w:t>
      </w:r>
      <w:r w:rsidRPr="00E43670">
        <w:t>lingen inom byggsektorn vad gäller utbudet av fler och bättre långsiktigt hållbara alterna</w:t>
      </w:r>
      <w:r w:rsidR="00830CCE" w:rsidRPr="00E43670">
        <w:t>tiv</w:t>
      </w:r>
      <w:r w:rsidRPr="00E43670">
        <w:t>. Ordföranden skall, enligt regeringsbesl</w:t>
      </w:r>
      <w:r w:rsidRPr="00E43670">
        <w:t>u</w:t>
      </w:r>
      <w:r w:rsidRPr="00E43670">
        <w:t>tet, beakta det konkurrensrättsliga regelverket och verka för en förbättrad konku</w:t>
      </w:r>
      <w:r w:rsidRPr="00E43670">
        <w:t>r</w:t>
      </w:r>
      <w:r w:rsidRPr="00E43670">
        <w:t>rens på området. Vidare skall han söka samverkan med den särskilde byggsamordn</w:t>
      </w:r>
      <w:r w:rsidRPr="00E43670">
        <w:t>a</w:t>
      </w:r>
      <w:r w:rsidRPr="00E43670">
        <w:t>re som fått i uppdrag att bygga upp och samordna ett utveckling</w:t>
      </w:r>
      <w:r w:rsidRPr="00E43670">
        <w:t>s</w:t>
      </w:r>
      <w:r w:rsidRPr="00E43670">
        <w:t>program för bygg-, fastighets- och anläggningssektorn (dir. 2004:138). Ordföranden skall årligen rapportera till regeringen hur det öve</w:t>
      </w:r>
      <w:r w:rsidRPr="00E43670">
        <w:t>r</w:t>
      </w:r>
      <w:r w:rsidRPr="00E43670">
        <w:t>gripande arbetet med strategin går, och uppdraget skall avslutas med en red</w:t>
      </w:r>
      <w:r w:rsidRPr="00E43670">
        <w:t>o</w:t>
      </w:r>
      <w:r w:rsidRPr="00E43670">
        <w:t>görelse för vad som uppnåtts senast den 31 december 2006.</w:t>
      </w:r>
    </w:p>
    <w:p w:rsidR="00777E4C" w:rsidRPr="00E43670" w:rsidRDefault="00777E4C" w:rsidP="00777E4C">
      <w:pPr>
        <w:pStyle w:val="R4"/>
      </w:pPr>
      <w:r w:rsidRPr="00E43670">
        <w:t>Näringsutskottets ställningstagande</w:t>
      </w:r>
    </w:p>
    <w:p w:rsidR="001B66A6" w:rsidRPr="00E43670" w:rsidRDefault="001B66A6" w:rsidP="001B66A6">
      <w:r w:rsidRPr="00E43670">
        <w:t>Skogsindustrin har en stor betydelse för den ekonomiska utvecklingen i Sv</w:t>
      </w:r>
      <w:r w:rsidRPr="00E43670">
        <w:t>e</w:t>
      </w:r>
      <w:r w:rsidRPr="00E43670">
        <w:t>rige och svarar för en betydande del av det svenska exportnettot. I de delar av landet där skogsindustrin är etablerad spelar den en väsentlig roll för sysse</w:t>
      </w:r>
      <w:r w:rsidRPr="00E43670">
        <w:t>l</w:t>
      </w:r>
      <w:r w:rsidRPr="00E43670">
        <w:t>sättningen på de berörda orterna.</w:t>
      </w:r>
    </w:p>
    <w:p w:rsidR="001B66A6" w:rsidRPr="00E43670" w:rsidRDefault="001B66A6" w:rsidP="00235DC1">
      <w:pPr>
        <w:pStyle w:val="Normaltindrag"/>
      </w:pPr>
      <w:r w:rsidRPr="00E43670">
        <w:t>I den här aktuella motionen</w:t>
      </w:r>
      <w:r w:rsidR="00A27E32" w:rsidRPr="00E43670">
        <w:t>,</w:t>
      </w:r>
      <w:r w:rsidRPr="00E43670">
        <w:t xml:space="preserve"> 2004/05:MJ504 (kd)</w:t>
      </w:r>
      <w:r w:rsidR="00A27E32" w:rsidRPr="00E43670">
        <w:t>,</w:t>
      </w:r>
      <w:r w:rsidR="00235DC1" w:rsidRPr="00E43670">
        <w:t xml:space="preserve"> betonas vikten av fors</w:t>
      </w:r>
      <w:r w:rsidR="00235DC1" w:rsidRPr="00E43670">
        <w:t>k</w:t>
      </w:r>
      <w:r w:rsidR="00235DC1" w:rsidRPr="00E43670">
        <w:t>ning kring trä och träanvändning. Näringsutskottet har vid återkommande tillfällen – i anslutning till behandling</w:t>
      </w:r>
      <w:r w:rsidR="00830CCE" w:rsidRPr="00E43670">
        <w:t>en</w:t>
      </w:r>
      <w:r w:rsidR="00235DC1" w:rsidRPr="00E43670">
        <w:t xml:space="preserve"> av motioner rörande skogs- och träi</w:t>
      </w:r>
      <w:r w:rsidR="00235DC1" w:rsidRPr="00E43670">
        <w:t>n</w:t>
      </w:r>
      <w:r w:rsidR="00235DC1" w:rsidRPr="00E43670">
        <w:t>dustrin – betonat att</w:t>
      </w:r>
      <w:r w:rsidR="00A27E32" w:rsidRPr="00E43670">
        <w:t xml:space="preserve"> det,</w:t>
      </w:r>
      <w:r w:rsidR="00235DC1" w:rsidRPr="00E43670">
        <w:t xml:space="preserve"> för att skogsindustrin även framöver skall kunna bidra till att upprätthålla välståndet</w:t>
      </w:r>
      <w:r w:rsidR="00A27E32" w:rsidRPr="00E43670">
        <w:t>, är</w:t>
      </w:r>
      <w:r w:rsidR="00235DC1" w:rsidRPr="00E43670">
        <w:t xml:space="preserve"> viktigt att ko</w:t>
      </w:r>
      <w:r w:rsidR="00B62A7D" w:rsidRPr="00E43670">
        <w:t xml:space="preserve">nkurrenskraften inom denna </w:t>
      </w:r>
      <w:r w:rsidR="00235DC1" w:rsidRPr="00E43670">
        <w:t xml:space="preserve">industri kan utvecklas. En viktig faktor är härvid insatser </w:t>
      </w:r>
      <w:r w:rsidR="00A27E32" w:rsidRPr="00E43670">
        <w:t xml:space="preserve">avseende </w:t>
      </w:r>
      <w:r w:rsidR="00235DC1" w:rsidRPr="00E43670">
        <w:t>forskning och utveckling. I propositionen redovisas, som nämnts, vilka insa</w:t>
      </w:r>
      <w:r w:rsidR="00235DC1" w:rsidRPr="00E43670">
        <w:t>t</w:t>
      </w:r>
      <w:r w:rsidR="00235DC1" w:rsidRPr="00E43670">
        <w:t>ser som görs när det gäller skogsforskning och skogsindustriell forskning. Det rör sig om forskning vid tekniska universitet och högskolor samt vid industr</w:t>
      </w:r>
      <w:r w:rsidR="00235DC1" w:rsidRPr="00E43670">
        <w:t>i</w:t>
      </w:r>
      <w:r w:rsidR="00235DC1" w:rsidRPr="00E43670">
        <w:t>forskningsinstitut. Något behov av ett riksdagsuttalande i frågan kan näring</w:t>
      </w:r>
      <w:r w:rsidR="00235DC1" w:rsidRPr="00E43670">
        <w:t>s</w:t>
      </w:r>
      <w:r w:rsidR="00235DC1" w:rsidRPr="00E43670">
        <w:t>utskottet, med hänvisning härtill, inte se. Utbildningsutskottet bör alltså a</w:t>
      </w:r>
      <w:r w:rsidR="00235DC1" w:rsidRPr="00E43670">
        <w:t>v</w:t>
      </w:r>
      <w:r w:rsidR="00235DC1" w:rsidRPr="00E43670">
        <w:t xml:space="preserve">styrka den nyssnämnda motionen i berörd del. </w:t>
      </w:r>
    </w:p>
    <w:p w:rsidR="00777E4C" w:rsidRPr="00E43670" w:rsidRDefault="00777E4C" w:rsidP="00777E4C">
      <w:pPr>
        <w:pStyle w:val="Rubrik3"/>
        <w:rPr>
          <w:noProof w:val="0"/>
        </w:rPr>
      </w:pPr>
      <w:bookmarkStart w:id="7" w:name="_Toc101927281"/>
      <w:r w:rsidRPr="00E43670">
        <w:rPr>
          <w:noProof w:val="0"/>
        </w:rPr>
        <w:t>Forskning om energetiska material</w:t>
      </w:r>
      <w:bookmarkEnd w:id="7"/>
    </w:p>
    <w:p w:rsidR="00777E4C" w:rsidRPr="00E43670" w:rsidRDefault="00725765" w:rsidP="00777E4C">
      <w:pPr>
        <w:pStyle w:val="R4"/>
        <w:spacing w:before="125"/>
      </w:pPr>
      <w:r w:rsidRPr="00E43670">
        <w:t>Motionen</w:t>
      </w:r>
    </w:p>
    <w:p w:rsidR="00777E4C" w:rsidRPr="00E43670" w:rsidRDefault="00777E4C" w:rsidP="00777E4C">
      <w:r w:rsidRPr="00E43670">
        <w:t xml:space="preserve">Det bör utvecklas ett industriforskningsinstitut </w:t>
      </w:r>
      <w:r w:rsidR="00725765" w:rsidRPr="00E43670">
        <w:t>för s.k.</w:t>
      </w:r>
      <w:r w:rsidRPr="00E43670">
        <w:t xml:space="preserve"> energetiska material,</w:t>
      </w:r>
      <w:r w:rsidR="00725765" w:rsidRPr="00E43670">
        <w:t xml:space="preserve"> </w:t>
      </w:r>
      <w:r w:rsidRPr="00E43670">
        <w:t>anförs det i 2004/05:N234 (s)</w:t>
      </w:r>
      <w:r w:rsidR="00725765" w:rsidRPr="00E43670">
        <w:t xml:space="preserve"> från allmänna motionstiden</w:t>
      </w:r>
      <w:r w:rsidRPr="00E43670">
        <w:t>.</w:t>
      </w:r>
      <w:r w:rsidR="00725765" w:rsidRPr="00E43670">
        <w:t xml:space="preserve"> (Med energetiska material avses produkter som kan sönderfall</w:t>
      </w:r>
      <w:r w:rsidR="00FD5A97" w:rsidRPr="00E43670">
        <w:t>a</w:t>
      </w:r>
      <w:r w:rsidR="00725765" w:rsidRPr="00E43670">
        <w:t xml:space="preserve"> utan hjälp av luftens syre, men även andra energirika produkter.)</w:t>
      </w:r>
      <w:r w:rsidRPr="00E43670">
        <w:t xml:space="preserve"> Sverige besitter en internationellt erkänd hög ko</w:t>
      </w:r>
      <w:r w:rsidRPr="00E43670">
        <w:t>m</w:t>
      </w:r>
      <w:r w:rsidRPr="00E43670">
        <w:t xml:space="preserve">petensnivå inom området energetiska material, säger motionären. Han anser att forskning och utveckling </w:t>
      </w:r>
      <w:r w:rsidR="00725765" w:rsidRPr="00E43670">
        <w:t>i fråga om</w:t>
      </w:r>
      <w:r w:rsidRPr="00E43670">
        <w:t xml:space="preserve"> avveckling av expl</w:t>
      </w:r>
      <w:r w:rsidRPr="00E43670">
        <w:t>o</w:t>
      </w:r>
      <w:r w:rsidRPr="00E43670">
        <w:t>siva varor är en förutsättning för att Sveriges ledande position inom denna ind</w:t>
      </w:r>
      <w:r w:rsidRPr="00E43670">
        <w:t>u</w:t>
      </w:r>
      <w:r w:rsidRPr="00E43670">
        <w:t>strisektor skall kunna bevaras och vidareutvecklas. Det är nödvändigt att det utvecklas processer och metoder för avveckling på ett säkert och ekol</w:t>
      </w:r>
      <w:r w:rsidRPr="00E43670">
        <w:t>o</w:t>
      </w:r>
      <w:r w:rsidRPr="00E43670">
        <w:t>giskt hållbart sätt, anför motionären. Därför menar han att ett FoU-centrum behöver byggas upp. Det finns redan utvecklad verksamhet vid Vingåkersverken</w:t>
      </w:r>
      <w:r w:rsidR="00A27E32" w:rsidRPr="00E43670">
        <w:t>,</w:t>
      </w:r>
      <w:r w:rsidRPr="00E43670">
        <w:t xml:space="preserve"> och till denna verksamhet knyts i allt högre grad forskning, framhåller motion</w:t>
      </w:r>
      <w:r w:rsidRPr="00E43670">
        <w:t>ä</w:t>
      </w:r>
      <w:r w:rsidRPr="00E43670">
        <w:t xml:space="preserve">ren. Han hänvisar </w:t>
      </w:r>
      <w:r w:rsidR="00B62A7D" w:rsidRPr="00E43670">
        <w:t xml:space="preserve">till </w:t>
      </w:r>
      <w:r w:rsidRPr="00E43670">
        <w:t>att det i Mälardalsområdet finns många universitet, högskolor och fors</w:t>
      </w:r>
      <w:r w:rsidRPr="00E43670">
        <w:t>k</w:t>
      </w:r>
      <w:r w:rsidRPr="00E43670">
        <w:t>ningsinstitut som kan samverka kring nyttjandet av de resurser som finns på Vingåkersverken för tillämpad forskning och utveckling inom omr</w:t>
      </w:r>
      <w:r w:rsidRPr="00E43670">
        <w:t>å</w:t>
      </w:r>
      <w:r w:rsidRPr="00E43670">
        <w:t xml:space="preserve">det. </w:t>
      </w:r>
    </w:p>
    <w:p w:rsidR="00777E4C" w:rsidRPr="00E43670" w:rsidRDefault="00777E4C" w:rsidP="00777E4C">
      <w:pPr>
        <w:pStyle w:val="R4"/>
      </w:pPr>
      <w:r w:rsidRPr="00E43670">
        <w:t>Näringsutskottets ställningstagande</w:t>
      </w:r>
    </w:p>
    <w:p w:rsidR="004E58AF" w:rsidRPr="00E43670" w:rsidRDefault="004E58AF" w:rsidP="004E58AF">
      <w:r w:rsidRPr="00E43670">
        <w:t xml:space="preserve">Enligt näringsutskottets bedömning finns det inte anledning för riksdagen att ta något initiativ när det gäller inrättandet av ett industriforskningsinstitut </w:t>
      </w:r>
      <w:r w:rsidR="00725765" w:rsidRPr="00E43670">
        <w:t>rörande s.k.</w:t>
      </w:r>
      <w:r w:rsidRPr="00E43670">
        <w:t xml:space="preserve"> energetiska material – vilket föreslås i motion 2004/05:N234 (s). Den berörda industrisektorn har, på motsvarande sätt som gäller för andra industr</w:t>
      </w:r>
      <w:r w:rsidRPr="00E43670">
        <w:t>i</w:t>
      </w:r>
      <w:r w:rsidRPr="00E43670">
        <w:t>sektorer</w:t>
      </w:r>
      <w:r w:rsidR="00A07D6F" w:rsidRPr="00E43670">
        <w:t>,</w:t>
      </w:r>
      <w:r w:rsidRPr="00E43670">
        <w:t xml:space="preserve"> möjlighet </w:t>
      </w:r>
      <w:r w:rsidR="00A07D6F" w:rsidRPr="00E43670">
        <w:t xml:space="preserve">att </w:t>
      </w:r>
      <w:r w:rsidRPr="00E43670">
        <w:t>söka ta del av den verksamhet som Vinnova och industrifors</w:t>
      </w:r>
      <w:r w:rsidRPr="00E43670">
        <w:t>k</w:t>
      </w:r>
      <w:r w:rsidRPr="00E43670">
        <w:t>ningsinstituten bedriver.</w:t>
      </w:r>
      <w:r w:rsidR="00725765" w:rsidRPr="00E43670">
        <w:t xml:space="preserve"> Det kan vidare noteras att det finns en ideell förening, Kompetenscentrum för energetiska </w:t>
      </w:r>
      <w:r w:rsidR="007245F7" w:rsidRPr="00E43670">
        <w:t xml:space="preserve">material (KCEM) med säte i Karlskoga, med uppgift att främja och stödja utbildning och forskning på området energetiska material. </w:t>
      </w:r>
    </w:p>
    <w:p w:rsidR="00A07D6F" w:rsidRPr="00E43670" w:rsidRDefault="00A07D6F" w:rsidP="00A07D6F">
      <w:pPr>
        <w:pStyle w:val="Normaltindrag"/>
      </w:pPr>
      <w:r w:rsidRPr="00E43670">
        <w:t>Med hänvisning till det anförda anser näringsutskottet att utbildningsu</w:t>
      </w:r>
      <w:r w:rsidRPr="00E43670">
        <w:t>t</w:t>
      </w:r>
      <w:r w:rsidRPr="00E43670">
        <w:t>skottet bör avstyrka den nämnda motionen.</w:t>
      </w:r>
    </w:p>
    <w:p w:rsidR="00303CA0" w:rsidRPr="00E43670" w:rsidRDefault="00303CA0" w:rsidP="00A07D6F">
      <w:pPr>
        <w:pStyle w:val="R3"/>
      </w:pPr>
      <w:r w:rsidRPr="00E43670">
        <w:t>Forskning om inköp</w:t>
      </w:r>
    </w:p>
    <w:p w:rsidR="00047726" w:rsidRPr="00E43670" w:rsidRDefault="00725765" w:rsidP="00047726">
      <w:pPr>
        <w:pStyle w:val="R4"/>
        <w:spacing w:before="125"/>
      </w:pPr>
      <w:r w:rsidRPr="00E43670">
        <w:t>Motionen</w:t>
      </w:r>
    </w:p>
    <w:p w:rsidR="00303CA0" w:rsidRPr="00E43670" w:rsidRDefault="00EE0A63" w:rsidP="00303CA0">
      <w:r w:rsidRPr="00E43670">
        <w:t xml:space="preserve">Ett </w:t>
      </w:r>
      <w:r w:rsidR="00303CA0" w:rsidRPr="00E43670">
        <w:t>tillkännag</w:t>
      </w:r>
      <w:r w:rsidRPr="00E43670">
        <w:t>ivande</w:t>
      </w:r>
      <w:r w:rsidR="00303CA0" w:rsidRPr="00E43670">
        <w:t xml:space="preserve"> om behovet av forskning inom området i</w:t>
      </w:r>
      <w:r w:rsidR="00303CA0" w:rsidRPr="00E43670">
        <w:t>n</w:t>
      </w:r>
      <w:r w:rsidRPr="00E43670">
        <w:t>köp, föreslås i motion 2004/05:N318 (s)</w:t>
      </w:r>
      <w:r w:rsidR="00725765" w:rsidRPr="00E43670">
        <w:t xml:space="preserve"> från allmänna motionstiden</w:t>
      </w:r>
      <w:r w:rsidRPr="00E43670">
        <w:t xml:space="preserve">. </w:t>
      </w:r>
      <w:r w:rsidR="00303CA0" w:rsidRPr="00E43670">
        <w:t>Sverige är ett mycket utrikeshandelsberoende land</w:t>
      </w:r>
      <w:r w:rsidR="001145C6" w:rsidRPr="00E43670">
        <w:t>, konstaterar motionären</w:t>
      </w:r>
      <w:r w:rsidR="00303CA0" w:rsidRPr="00E43670">
        <w:t xml:space="preserve">. </w:t>
      </w:r>
      <w:r w:rsidR="001145C6" w:rsidRPr="00E43670">
        <w:t>U</w:t>
      </w:r>
      <w:r w:rsidR="00303CA0" w:rsidRPr="00E43670">
        <w:t>tbildning och fors</w:t>
      </w:r>
      <w:r w:rsidR="00303CA0" w:rsidRPr="00E43670">
        <w:t>k</w:t>
      </w:r>
      <w:r w:rsidR="00303CA0" w:rsidRPr="00E43670">
        <w:t>ning inom handelsområ</w:t>
      </w:r>
      <w:r w:rsidR="001145C6" w:rsidRPr="00E43670">
        <w:t>det har</w:t>
      </w:r>
      <w:r w:rsidR="00303CA0" w:rsidRPr="00E43670">
        <w:t xml:space="preserve"> varit högt prioritera</w:t>
      </w:r>
      <w:r w:rsidR="001145C6" w:rsidRPr="00E43670">
        <w:t>de</w:t>
      </w:r>
      <w:r w:rsidR="00303CA0" w:rsidRPr="00E43670">
        <w:t>, men hittills har resu</w:t>
      </w:r>
      <w:r w:rsidR="00303CA0" w:rsidRPr="00E43670">
        <w:t>r</w:t>
      </w:r>
      <w:r w:rsidR="00303CA0" w:rsidRPr="00E43670">
        <w:t>serna främst koncentrerats på dem som skall sälja svenska produkter, medan inköpssidan har varit eftersatt</w:t>
      </w:r>
      <w:r w:rsidR="001145C6" w:rsidRPr="00E43670">
        <w:t>, säger motionären</w:t>
      </w:r>
      <w:r w:rsidR="00303CA0" w:rsidRPr="00E43670">
        <w:t xml:space="preserve">. </w:t>
      </w:r>
      <w:r w:rsidR="001145C6" w:rsidRPr="00E43670">
        <w:t>Hon framhåller att d</w:t>
      </w:r>
      <w:r w:rsidR="00303CA0" w:rsidRPr="00E43670">
        <w:t>e sven</w:t>
      </w:r>
      <w:r w:rsidR="00303CA0" w:rsidRPr="00E43670">
        <w:t>s</w:t>
      </w:r>
      <w:r w:rsidR="00303CA0" w:rsidRPr="00E43670">
        <w:t>ka expor</w:t>
      </w:r>
      <w:r w:rsidR="00303CA0" w:rsidRPr="00E43670">
        <w:t>t</w:t>
      </w:r>
      <w:r w:rsidR="00303CA0" w:rsidRPr="00E43670">
        <w:t xml:space="preserve">produkterna innehåller en ökande andel importerade delar och </w:t>
      </w:r>
      <w:r w:rsidR="001145C6" w:rsidRPr="00E43670">
        <w:t xml:space="preserve">att </w:t>
      </w:r>
      <w:r w:rsidR="00303CA0" w:rsidRPr="00E43670">
        <w:t xml:space="preserve">den offentliga sektorn </w:t>
      </w:r>
      <w:r w:rsidR="001145C6" w:rsidRPr="00E43670">
        <w:t xml:space="preserve">också </w:t>
      </w:r>
      <w:r w:rsidR="00303CA0" w:rsidRPr="00E43670">
        <w:t>a</w:t>
      </w:r>
      <w:r w:rsidR="00303CA0" w:rsidRPr="00E43670">
        <w:t>n</w:t>
      </w:r>
      <w:r w:rsidR="00303CA0" w:rsidRPr="00E43670">
        <w:t>vänder mer produkter som är importerade. För framför allt små och medelst</w:t>
      </w:r>
      <w:r w:rsidR="00303CA0" w:rsidRPr="00E43670">
        <w:t>o</w:t>
      </w:r>
      <w:r w:rsidR="00303CA0" w:rsidRPr="00E43670">
        <w:t>ra företag behövs mer utbildning och forskning kring hur inköp kan optimeras för att bibehålla svensk konkurrenskraft</w:t>
      </w:r>
      <w:r w:rsidR="001145C6" w:rsidRPr="00E43670">
        <w:t>, anser motionären</w:t>
      </w:r>
      <w:r w:rsidR="00303CA0" w:rsidRPr="00E43670">
        <w:t xml:space="preserve">. </w:t>
      </w:r>
      <w:r w:rsidR="001145C6" w:rsidRPr="00E43670">
        <w:t>Hon säger att det f</w:t>
      </w:r>
      <w:r w:rsidR="00303CA0" w:rsidRPr="00E43670">
        <w:t>ör närvaran</w:t>
      </w:r>
      <w:r w:rsidR="001145C6" w:rsidRPr="00E43670">
        <w:t>de</w:t>
      </w:r>
      <w:r w:rsidR="00303CA0" w:rsidRPr="00E43670">
        <w:t xml:space="preserve"> i princip in</w:t>
      </w:r>
      <w:r w:rsidR="001145C6" w:rsidRPr="00E43670">
        <w:t>te bedrivs någon</w:t>
      </w:r>
      <w:r w:rsidR="00303CA0" w:rsidRPr="00E43670">
        <w:t xml:space="preserve"> forskning inom i</w:t>
      </w:r>
      <w:r w:rsidR="00303CA0" w:rsidRPr="00E43670">
        <w:t>n</w:t>
      </w:r>
      <w:r w:rsidR="00303CA0" w:rsidRPr="00E43670">
        <w:t>köpsområdet, vare sig för privat eller offentlig upp</w:t>
      </w:r>
      <w:r w:rsidR="001145C6" w:rsidRPr="00E43670">
        <w:t xml:space="preserve">handling. </w:t>
      </w:r>
    </w:p>
    <w:p w:rsidR="00303CA0" w:rsidRPr="00E43670" w:rsidRDefault="00303CA0" w:rsidP="00105907">
      <w:pPr>
        <w:pStyle w:val="R4"/>
      </w:pPr>
      <w:r w:rsidRPr="00E43670">
        <w:t>Vissa kompletterande uppgifter</w:t>
      </w:r>
    </w:p>
    <w:p w:rsidR="00303CA0" w:rsidRPr="00E43670" w:rsidRDefault="00303CA0" w:rsidP="00303CA0">
      <w:r w:rsidRPr="00E43670">
        <w:t>Den typ av forskning som efterfrågas i motionen kan inrymmas t.ex. i konku</w:t>
      </w:r>
      <w:r w:rsidRPr="00E43670">
        <w:t>r</w:t>
      </w:r>
      <w:r w:rsidRPr="00E43670">
        <w:t>rensforskning (prop. s. 233) och entreprenörskapsforskning (prop. s. 234) som omnämns i propositionens avsnitt 9 och där det redovisas insatser på olika områden. Det kan också förekomma forskning inom områdena företagsek</w:t>
      </w:r>
      <w:r w:rsidRPr="00E43670">
        <w:t>o</w:t>
      </w:r>
      <w:r w:rsidRPr="00E43670">
        <w:t xml:space="preserve">nomi och nationalekonomi som kan beröra den typ av frågeställningar som tas upp i motionen. </w:t>
      </w:r>
    </w:p>
    <w:p w:rsidR="00777E4C" w:rsidRPr="00E43670" w:rsidRDefault="00777E4C" w:rsidP="00777E4C">
      <w:pPr>
        <w:pStyle w:val="R4"/>
      </w:pPr>
      <w:r w:rsidRPr="00E43670">
        <w:t>Näringsutskottets ställningstagande</w:t>
      </w:r>
    </w:p>
    <w:p w:rsidR="00004E67" w:rsidRPr="00E43670" w:rsidRDefault="00A07D6F">
      <w:r w:rsidRPr="00E43670">
        <w:t>Den fråga som tas upp i motion 2004/05:N318 (s) och som rör optimering av inköp kan ha stor betydelse för berörda små och medelstora företags konku</w:t>
      </w:r>
      <w:r w:rsidRPr="00E43670">
        <w:t>r</w:t>
      </w:r>
      <w:r w:rsidR="00B62A7D" w:rsidRPr="00E43670">
        <w:t>renskraft. Forskning avseende</w:t>
      </w:r>
      <w:r w:rsidRPr="00E43670">
        <w:t xml:space="preserve"> inköpsområdet kan, som nyss redovisats, b</w:t>
      </w:r>
      <w:r w:rsidRPr="00E43670">
        <w:t>e</w:t>
      </w:r>
      <w:r w:rsidRPr="00E43670">
        <w:t>drivas inom befintliga forskningsdiscipliner</w:t>
      </w:r>
      <w:r w:rsidR="0000558B" w:rsidRPr="00E43670">
        <w:t>. Något behov av ett särskilt rik</w:t>
      </w:r>
      <w:r w:rsidR="0000558B" w:rsidRPr="00E43670">
        <w:t>s</w:t>
      </w:r>
      <w:r w:rsidR="0000558B" w:rsidRPr="00E43670">
        <w:t>dagsu</w:t>
      </w:r>
      <w:r w:rsidR="0000558B" w:rsidRPr="00E43670">
        <w:t>t</w:t>
      </w:r>
      <w:r w:rsidR="0000558B" w:rsidRPr="00E43670">
        <w:t>talande i frågan kan näringsutskottet inte se, varför utbildningsutskottet bör avstyrka motionen.</w:t>
      </w:r>
      <w:r w:rsidRPr="00E43670">
        <w:t xml:space="preserve"> </w:t>
      </w:r>
    </w:p>
    <w:p w:rsidR="00A07D6F" w:rsidRPr="00E43670" w:rsidRDefault="00A07D6F" w:rsidP="00A07D6F">
      <w:pPr>
        <w:pStyle w:val="Normaltindrag"/>
      </w:pPr>
    </w:p>
    <w:p w:rsidR="00A837C6" w:rsidRPr="00E43670" w:rsidRDefault="00A837C6" w:rsidP="00A837C6">
      <w:pPr>
        <w:pStyle w:val="Utskriftsdatum"/>
      </w:pPr>
      <w:r w:rsidRPr="00E43670">
        <w:t>Stockholm den 28 april 2005</w:t>
      </w:r>
    </w:p>
    <w:p w:rsidR="00004E67" w:rsidRPr="00E43670" w:rsidRDefault="00004E67" w:rsidP="00A837C6">
      <w:pPr>
        <w:pStyle w:val="Pxx-utskottetsvgnar"/>
      </w:pPr>
      <w:r w:rsidRPr="00E43670">
        <w:t>På näringsutskottets vägnar</w:t>
      </w:r>
    </w:p>
    <w:p w:rsidR="00004E67" w:rsidRPr="00E43670" w:rsidRDefault="008A791D" w:rsidP="008A791D">
      <w:pPr>
        <w:pStyle w:val="Ordfranden"/>
        <w:rPr>
          <w:noProof w:val="0"/>
        </w:rPr>
      </w:pPr>
      <w:bookmarkStart w:id="8" w:name="Ordförande"/>
      <w:bookmarkEnd w:id="8"/>
      <w:r w:rsidRPr="00E43670">
        <w:rPr>
          <w:noProof w:val="0"/>
        </w:rPr>
        <w:t xml:space="preserve">Marie Granlund </w:t>
      </w:r>
    </w:p>
    <w:p w:rsidR="009E783D" w:rsidRPr="00E43670" w:rsidRDefault="008A791D" w:rsidP="008A791D">
      <w:pPr>
        <w:pStyle w:val="Deltagare"/>
        <w:rPr>
          <w:noProof w:val="0"/>
        </w:rPr>
      </w:pPr>
      <w:bookmarkStart w:id="9" w:name="_Toc101927284"/>
      <w:bookmarkStart w:id="10" w:name="Deltagare"/>
      <w:bookmarkEnd w:id="10"/>
      <w:r w:rsidRPr="00E43670">
        <w:rPr>
          <w:noProof w:val="0"/>
        </w:rPr>
        <w:t>Följande ledamöter har deltagit i beslutet: Marie Granlund (s), Per Bill (m), Ingegerd Saarinen (mp), Nils-Göran Holmqvist (s), Eva Flyborg (fp), Berit Högman (s), Lennart Beijer (v), Karl Gustav Abramsson (s), Ulla Löfgren (m), Anne Ludvigsson (s), Anne-Marie Pålsson (m), Lars Johansson (s), Nyamko Sabuni (fp), Håkan Larsson (c), Ann-Kristine Johansson (s) och Lars Lindén (kd).</w:t>
      </w:r>
    </w:p>
    <w:p w:rsidR="009E783D" w:rsidRPr="00E43670" w:rsidRDefault="009E783D" w:rsidP="009E783D">
      <w:pPr>
        <w:sectPr w:rsidR="009E783D" w:rsidRPr="00E43670" w:rsidSect="00085DD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A6746D" w:rsidRPr="00E43670" w:rsidRDefault="009E783D" w:rsidP="009E783D">
      <w:pPr>
        <w:pStyle w:val="R1"/>
      </w:pPr>
      <w:r w:rsidRPr="00E43670">
        <w:t>Avvikande mening</w:t>
      </w:r>
    </w:p>
    <w:p w:rsidR="000F43F2" w:rsidRPr="00E43670" w:rsidRDefault="000F43F2" w:rsidP="00830CCE">
      <w:pPr>
        <w:pStyle w:val="Reservationspunkt"/>
        <w:spacing w:before="110"/>
        <w:rPr>
          <w:noProof w:val="0"/>
        </w:rPr>
      </w:pPr>
      <w:r w:rsidRPr="00E43670">
        <w:rPr>
          <w:noProof w:val="0"/>
        </w:rPr>
        <w:t>Allmänt om forskning och behovsmotiverad forskning</w:t>
      </w:r>
    </w:p>
    <w:p w:rsidR="008E74A4" w:rsidRPr="00E43670" w:rsidRDefault="008E74A4" w:rsidP="002B6AC1">
      <w:pPr>
        <w:pStyle w:val="Reservanter"/>
        <w:ind w:left="0"/>
      </w:pPr>
      <w:r w:rsidRPr="00E43670">
        <w:t>av Per Bill (m), Eva Flyborg (fp), Ulla Löfgren (m), Anne-Marie Pålsson (m), Nyamko</w:t>
      </w:r>
      <w:r w:rsidR="002B6AC1" w:rsidRPr="00E43670">
        <w:t xml:space="preserve"> Sabuni (fp), Håkan Larsson (c) och</w:t>
      </w:r>
      <w:r w:rsidRPr="00E43670">
        <w:t xml:space="preserve"> Lars Lindén (c). </w:t>
      </w:r>
    </w:p>
    <w:p w:rsidR="00F4369C" w:rsidRPr="00E43670" w:rsidRDefault="00F4369C" w:rsidP="002B6AC1">
      <w:pPr>
        <w:pStyle w:val="Reservanter"/>
        <w:ind w:left="0"/>
      </w:pPr>
    </w:p>
    <w:p w:rsidR="00B32085" w:rsidRPr="00E43670" w:rsidRDefault="00B32085" w:rsidP="00B32085">
      <w:r w:rsidRPr="00E43670">
        <w:t>Vi anser – i likhet med vad som anförs i motion 2004/05:Ub11 (fp, m, kd, c) – att det behövs en forskningspolitik som medverkar till att ge Sverige en mö</w:t>
      </w:r>
      <w:r w:rsidRPr="00E43670">
        <w:t>j</w:t>
      </w:r>
      <w:r w:rsidRPr="00E43670">
        <w:t>lighet att bli en långsiktigt framstående aktör i det snabbt framväxande, globala kunskapssamhället. Det fordras starka, självständiga unive</w:t>
      </w:r>
      <w:r w:rsidRPr="00E43670">
        <w:t>r</w:t>
      </w:r>
      <w:r w:rsidRPr="00E43670">
        <w:t>sitet och en mångfald av forskningsfinansiärer. Det krävs också ett företag</w:t>
      </w:r>
      <w:r w:rsidRPr="00E43670">
        <w:t>s</w:t>
      </w:r>
      <w:r w:rsidRPr="00E43670">
        <w:t>klimat som gör att Sverige kan behålla de stora företagens forskning i landet, locka hit andra företag och göra det möjligt för en ny generation av små och medelst</w:t>
      </w:r>
      <w:r w:rsidRPr="00E43670">
        <w:t>o</w:t>
      </w:r>
      <w:r w:rsidRPr="00E43670">
        <w:t>ra företag att etableras och tillväxa. Att utveckla och behålla attraktiv för</w:t>
      </w:r>
      <w:r w:rsidRPr="00E43670">
        <w:t>e</w:t>
      </w:r>
      <w:r w:rsidRPr="00E43670">
        <w:t>tagsforskning är en viktig del av en nationell forskningsstrategi. Kunskap</w:t>
      </w:r>
      <w:r w:rsidRPr="00E43670">
        <w:t>s</w:t>
      </w:r>
      <w:r w:rsidRPr="00E43670">
        <w:t>kluster i världsklass som redan finns eller är på väg att etableras behöver stimuleras. Forskare och forskningsfinansiärer runt om i världen skall se Sverige som ett lockande land att forska och investera i. Det måste finnas utrymme för fri, långsiktig forskning – annars kommer även den mer behov</w:t>
      </w:r>
      <w:r w:rsidRPr="00E43670">
        <w:t>s</w:t>
      </w:r>
      <w:r w:rsidRPr="00E43670">
        <w:t>inriktade forskningen att utarmas. Efte</w:t>
      </w:r>
      <w:r w:rsidRPr="00E43670">
        <w:t>r</w:t>
      </w:r>
      <w:r w:rsidRPr="00E43670">
        <w:t>som vi ser forskningspolitiken som en helhet kommer vi i det följande – när det gäller de mål som vi anser bör gälla för forskning</w:t>
      </w:r>
      <w:r w:rsidRPr="00E43670">
        <w:t>s</w:t>
      </w:r>
      <w:r w:rsidRPr="00E43670">
        <w:t>politiken och de åtgärder som bör vidtas för att uppnå dessa mål – in på områden som ligger utanför näringsutskottets beredning</w:t>
      </w:r>
      <w:r w:rsidRPr="00E43670">
        <w:t>s</w:t>
      </w:r>
      <w:r w:rsidRPr="00E43670">
        <w:t xml:space="preserve">område. </w:t>
      </w:r>
    </w:p>
    <w:p w:rsidR="00B32085" w:rsidRPr="00E43670" w:rsidRDefault="00B32085" w:rsidP="00B32085">
      <w:pPr>
        <w:pStyle w:val="Normaltindrag"/>
      </w:pPr>
      <w:r w:rsidRPr="00E43670">
        <w:t>Vi vill främja den fria forskningen och forskningsutförarnas självbestä</w:t>
      </w:r>
      <w:r w:rsidRPr="00E43670">
        <w:t>m</w:t>
      </w:r>
      <w:r w:rsidRPr="00E43670">
        <w:t>manderätt och anser att följande mål bör gälla för forskningspolitiken:</w:t>
      </w:r>
    </w:p>
    <w:p w:rsidR="00B32085" w:rsidRPr="00E43670" w:rsidRDefault="00B32085" w:rsidP="00B32085">
      <w:pPr>
        <w:pStyle w:val="Normaltindrag"/>
      </w:pPr>
      <w:r w:rsidRPr="00E43670">
        <w:t>– att garantera förutsättningarna för forskningsmiljö i värld</w:t>
      </w:r>
      <w:r w:rsidRPr="00E43670">
        <w:t>s</w:t>
      </w:r>
      <w:r w:rsidRPr="00E43670">
        <w:t>klass,</w:t>
      </w:r>
    </w:p>
    <w:p w:rsidR="00B32085" w:rsidRPr="00E43670" w:rsidRDefault="00B32085" w:rsidP="00B32085">
      <w:pPr>
        <w:pStyle w:val="Normaltindrag"/>
      </w:pPr>
      <w:r w:rsidRPr="00E43670">
        <w:t>– att garantera forskningens frihet,</w:t>
      </w:r>
    </w:p>
    <w:p w:rsidR="00B32085" w:rsidRPr="00E43670" w:rsidRDefault="00B32085" w:rsidP="00B32085">
      <w:pPr>
        <w:pStyle w:val="Normaltindrag"/>
      </w:pPr>
      <w:r w:rsidRPr="00E43670">
        <w:t>– att skapa förutsättningar för utveckling och bibehållande av starka och själ</w:t>
      </w:r>
      <w:r w:rsidRPr="00E43670">
        <w:t>v</w:t>
      </w:r>
      <w:r w:rsidRPr="00E43670">
        <w:t>ständiga forskningsinstitutioner,</w:t>
      </w:r>
    </w:p>
    <w:p w:rsidR="00B32085" w:rsidRPr="00E43670" w:rsidRDefault="00B32085" w:rsidP="00B32085">
      <w:pPr>
        <w:pStyle w:val="Normaltindrag"/>
      </w:pPr>
      <w:r w:rsidRPr="00E43670">
        <w:t>– att fokusera på grundforskning, forskarutbildning och postdoktoral ver</w:t>
      </w:r>
      <w:r w:rsidRPr="00E43670">
        <w:t>k</w:t>
      </w:r>
      <w:r w:rsidRPr="00E43670">
        <w:t>samhet,</w:t>
      </w:r>
    </w:p>
    <w:p w:rsidR="00B32085" w:rsidRPr="00E43670" w:rsidRDefault="00B32085" w:rsidP="00B32085">
      <w:pPr>
        <w:pStyle w:val="Normaltindrag"/>
      </w:pPr>
      <w:r w:rsidRPr="00E43670">
        <w:t>– att satsa extra på de allra mest framstående forskarna och forskarlagen,</w:t>
      </w:r>
    </w:p>
    <w:p w:rsidR="00B32085" w:rsidRPr="00E43670" w:rsidRDefault="00B32085" w:rsidP="00B32085">
      <w:pPr>
        <w:pStyle w:val="Normaltindrag"/>
      </w:pPr>
      <w:r w:rsidRPr="00E43670">
        <w:t>– att staten tar ansvar för forskning och utveckling av om</w:t>
      </w:r>
      <w:r w:rsidRPr="00E43670">
        <w:t>e</w:t>
      </w:r>
      <w:r w:rsidRPr="00E43670">
        <w:t>delbar betydelse för den egna verksamheten,</w:t>
      </w:r>
    </w:p>
    <w:p w:rsidR="00B32085" w:rsidRPr="00E43670" w:rsidRDefault="00B32085" w:rsidP="00B32085">
      <w:pPr>
        <w:pStyle w:val="Normaltindrag"/>
      </w:pPr>
      <w:r w:rsidRPr="00E43670">
        <w:t>– att ge goda förutsättningar för internationellt forskning</w:t>
      </w:r>
      <w:r w:rsidRPr="00E43670">
        <w:t>s</w:t>
      </w:r>
      <w:r w:rsidRPr="00E43670">
        <w:t>samarbete.</w:t>
      </w:r>
    </w:p>
    <w:p w:rsidR="00B32085" w:rsidRPr="00E43670" w:rsidRDefault="00B32085" w:rsidP="00B32085">
      <w:r w:rsidRPr="00E43670">
        <w:t>Vi vill uppnå dessa mål genom följande åtgärder under åren 2006–2010:</w:t>
      </w:r>
    </w:p>
    <w:p w:rsidR="00B32085" w:rsidRPr="00E43670" w:rsidRDefault="00B32085" w:rsidP="00B32085">
      <w:pPr>
        <w:pStyle w:val="Normaltindrag"/>
      </w:pPr>
      <w:r w:rsidRPr="00E43670">
        <w:t>– förstärkning av den högre utbildningen och forskningen, både genom r</w:t>
      </w:r>
      <w:r w:rsidRPr="00E43670">
        <w:t>e</w:t>
      </w:r>
      <w:r w:rsidRPr="00E43670">
        <w:t xml:space="preserve">former som främjar frihet och mångfald och genom resurser som gör det möjligt att utveckla utbildningens och forskningens kvalitet, </w:t>
      </w:r>
    </w:p>
    <w:p w:rsidR="00B32085" w:rsidRPr="00E43670" w:rsidRDefault="00B32085" w:rsidP="00B32085">
      <w:pPr>
        <w:pStyle w:val="Normaltindrag"/>
      </w:pPr>
      <w:r w:rsidRPr="00E43670">
        <w:t>– ökning av forskningsanslagen med 2 miljarder kronor, utöver regerin</w:t>
      </w:r>
      <w:r w:rsidRPr="00E43670">
        <w:t>g</w:t>
      </w:r>
      <w:r w:rsidRPr="00E43670">
        <w:t>ens förslag, under den kommande femårsperioden, i syfte att fö</w:t>
      </w:r>
      <w:r w:rsidRPr="00E43670">
        <w:t>r</w:t>
      </w:r>
      <w:r w:rsidRPr="00E43670">
        <w:t>stärka den fria forskningen, finansieringen av doktorander och insa</w:t>
      </w:r>
      <w:r w:rsidRPr="00E43670">
        <w:t>t</w:t>
      </w:r>
      <w:r w:rsidRPr="00E43670">
        <w:t xml:space="preserve">serna på för Sverige framgångsrika och vitala områden, </w:t>
      </w:r>
    </w:p>
    <w:p w:rsidR="00B32085" w:rsidRPr="00E43670" w:rsidRDefault="00B32085" w:rsidP="00B32085">
      <w:pPr>
        <w:pStyle w:val="Normaltindrag"/>
      </w:pPr>
      <w:r w:rsidRPr="00E43670">
        <w:t>– utveckling av ett nationellt institut för hälsa och medicin för att kraftsa</w:t>
      </w:r>
      <w:r w:rsidRPr="00E43670">
        <w:t>m</w:t>
      </w:r>
      <w:r w:rsidRPr="00E43670">
        <w:t>la kring strategiska områden, såsom t.ex. bioteknik med medicinsk inrik</w:t>
      </w:r>
      <w:r w:rsidRPr="00E43670">
        <w:t>t</w:t>
      </w:r>
      <w:r w:rsidRPr="00E43670">
        <w:t>ning, bioinformatik, klinisk forskning och IT inom hälso- och sjukvå</w:t>
      </w:r>
      <w:r w:rsidRPr="00E43670">
        <w:t>r</w:t>
      </w:r>
      <w:r w:rsidRPr="00E43670">
        <w:t>den,</w:t>
      </w:r>
    </w:p>
    <w:p w:rsidR="00B32085" w:rsidRPr="00E43670" w:rsidRDefault="00B32085" w:rsidP="00B32085">
      <w:pPr>
        <w:pStyle w:val="Normaltindrag"/>
      </w:pPr>
      <w:r w:rsidRPr="00E43670">
        <w:t>– avpolitisering av universitetsstyrelserna och minskning av det icke-akademiska beslutsfattandet för att öka forskarnas och lärarnas frihet att sjä</w:t>
      </w:r>
      <w:r w:rsidRPr="00E43670">
        <w:t>l</w:t>
      </w:r>
      <w:r w:rsidRPr="00E43670">
        <w:t>va råda över verksamheten,</w:t>
      </w:r>
    </w:p>
    <w:p w:rsidR="00B32085" w:rsidRPr="00E43670" w:rsidRDefault="00B32085" w:rsidP="00B32085">
      <w:pPr>
        <w:pStyle w:val="Normaltindrag"/>
      </w:pPr>
      <w:r w:rsidRPr="00E43670">
        <w:t>– fördelning av de direkta anslagen till lärosätena, de s.k. fakultetsansl</w:t>
      </w:r>
      <w:r w:rsidRPr="00E43670">
        <w:t>a</w:t>
      </w:r>
      <w:r w:rsidRPr="00E43670">
        <w:t>gen, enligt ett transparent och fö</w:t>
      </w:r>
      <w:r w:rsidRPr="00E43670">
        <w:t>r</w:t>
      </w:r>
      <w:r w:rsidRPr="00E43670">
        <w:t>utsägbart system som premierar kvalitet och utveckling av fors</w:t>
      </w:r>
      <w:r w:rsidRPr="00E43670">
        <w:t>k</w:t>
      </w:r>
      <w:r w:rsidRPr="00E43670">
        <w:t>ningsmiljöerna,</w:t>
      </w:r>
    </w:p>
    <w:p w:rsidR="00B32085" w:rsidRPr="00E43670" w:rsidRDefault="00B32085" w:rsidP="00B32085">
      <w:pPr>
        <w:pStyle w:val="Normaltindrag"/>
      </w:pPr>
      <w:r w:rsidRPr="00E43670">
        <w:t>– ökning av de direkta anslagen till lärosätena för att möjliggöra fler do</w:t>
      </w:r>
      <w:r w:rsidRPr="00E43670">
        <w:t>k</w:t>
      </w:r>
      <w:r w:rsidRPr="00E43670">
        <w:t>torandtjänster och postdoktorala tjänster och förbättrade villkor för forska</w:t>
      </w:r>
      <w:r w:rsidRPr="00E43670">
        <w:t>r</w:t>
      </w:r>
      <w:r w:rsidRPr="00E43670">
        <w:t>na,</w:t>
      </w:r>
    </w:p>
    <w:p w:rsidR="00B32085" w:rsidRPr="00E43670" w:rsidRDefault="00B32085" w:rsidP="00B32085">
      <w:pPr>
        <w:pStyle w:val="Normaltindrag"/>
      </w:pPr>
      <w:r w:rsidRPr="00E43670">
        <w:t>– inrättande av fler doktorandtjänster och postdoktorala tjänster för att skapa bättre villkor för unga forskare,</w:t>
      </w:r>
    </w:p>
    <w:p w:rsidR="00B32085" w:rsidRPr="00E43670" w:rsidRDefault="00B32085" w:rsidP="00B32085">
      <w:pPr>
        <w:pStyle w:val="Normaltindrag"/>
      </w:pPr>
      <w:r w:rsidRPr="00E43670">
        <w:t>– tillsättande av en oberoende utvärdering av organisationen för fors</w:t>
      </w:r>
      <w:r w:rsidRPr="00E43670">
        <w:t>k</w:t>
      </w:r>
      <w:r w:rsidRPr="00E43670">
        <w:t>ningsfinansiering för att utreda i vilken grad denna typ av organisation b</w:t>
      </w:r>
      <w:r w:rsidRPr="00E43670">
        <w:t>i</w:t>
      </w:r>
      <w:r w:rsidRPr="00E43670">
        <w:t xml:space="preserve">drar till att stärka svensk forskning och utveckling, </w:t>
      </w:r>
    </w:p>
    <w:p w:rsidR="00B32085" w:rsidRPr="00E43670" w:rsidRDefault="00B32085" w:rsidP="00B32085">
      <w:pPr>
        <w:pStyle w:val="Normaltindrag"/>
      </w:pPr>
      <w:r w:rsidRPr="00E43670">
        <w:t>– långsiktiga satsningar som ger utrymme och ökade drivkrafter för ko</w:t>
      </w:r>
      <w:r w:rsidRPr="00E43670">
        <w:t>m</w:t>
      </w:r>
      <w:r w:rsidRPr="00E43670">
        <w:t>mersialisering av forskningsresultat, eftersom den tillämpade forsknin</w:t>
      </w:r>
      <w:r w:rsidRPr="00E43670">
        <w:t>g</w:t>
      </w:r>
      <w:r w:rsidRPr="00E43670">
        <w:t>en utgör en viktig länk mellan vetenskaplig grundforskning och utvec</w:t>
      </w:r>
      <w:r w:rsidRPr="00E43670">
        <w:t>k</w:t>
      </w:r>
      <w:r w:rsidRPr="00E43670">
        <w:t>lingen av ko</w:t>
      </w:r>
      <w:r w:rsidRPr="00E43670">
        <w:t>m</w:t>
      </w:r>
      <w:r w:rsidRPr="00E43670">
        <w:t xml:space="preserve">mersiella produkter, </w:t>
      </w:r>
    </w:p>
    <w:p w:rsidR="00B32085" w:rsidRPr="00E43670" w:rsidRDefault="00B32085" w:rsidP="00B32085">
      <w:pPr>
        <w:pStyle w:val="Normaltindrag"/>
      </w:pPr>
      <w:r w:rsidRPr="00E43670">
        <w:t xml:space="preserve">– tillskapande av lämpliga nätverk för utveckling av forskarskolor och kunskapskluster, vilka bör handhas av universiteten och högskolorna själva.  </w:t>
      </w:r>
    </w:p>
    <w:p w:rsidR="00B32085" w:rsidRPr="00E43670" w:rsidRDefault="00B32085" w:rsidP="00B32085">
      <w:r w:rsidRPr="00E43670">
        <w:t>När forsknings- och utvecklingsinsatser mäts som andel av BNP ligger Sver</w:t>
      </w:r>
      <w:r w:rsidRPr="00E43670">
        <w:t>i</w:t>
      </w:r>
      <w:r w:rsidRPr="00E43670">
        <w:t>ge sedan flera år i topp. Det bör dock noteras att detta huvudsakligen beror på stora insatser inom näringslivet och försvaret. Den svenska industrin står för en betydande del av FoU-investeringarna; i förhållande till folkmängden är den svenska industrins satsningar i nivå med den amerikanska och den schweiziska. FoU-insatserna är emelle</w:t>
      </w:r>
      <w:r w:rsidRPr="00E43670">
        <w:t>r</w:t>
      </w:r>
      <w:r w:rsidRPr="00E43670">
        <w:t>tid koncentrerade till ett fåtal stora företag och utgörs till övervägande del av utvecklingsarbete. De tio största föret</w:t>
      </w:r>
      <w:r w:rsidRPr="00E43670">
        <w:t>a</w:t>
      </w:r>
      <w:r w:rsidRPr="00E43670">
        <w:t xml:space="preserve">gen i landet svarar för omkring hälften av företagssektorns totala FoU-utgifter. </w:t>
      </w:r>
    </w:p>
    <w:p w:rsidR="00B32085" w:rsidRPr="00E43670" w:rsidRDefault="00B32085" w:rsidP="00B32085">
      <w:pPr>
        <w:pStyle w:val="Normaltindrag"/>
      </w:pPr>
      <w:r w:rsidRPr="00E43670">
        <w:t>Företagens insatser har lett till stora framgångar, inte minst inom tillämpad forskning på strategiskt viktiga områden. F</w:t>
      </w:r>
      <w:r w:rsidRPr="00E43670">
        <w:t>ö</w:t>
      </w:r>
      <w:r w:rsidRPr="00E43670">
        <w:t>retagen är dock känsliga för flera faktorer utanför ramen för utbildningspolitiken och forskningspolitiken – det ek</w:t>
      </w:r>
      <w:r w:rsidRPr="00E43670">
        <w:t>o</w:t>
      </w:r>
      <w:r w:rsidRPr="00E43670">
        <w:t>nomiska klimatet, de allmänna villkoren för företagande och tillgången på utbildad arbetskraft. Om dessa villkor inte är attraktiva är det risk att för</w:t>
      </w:r>
      <w:r w:rsidRPr="00E43670">
        <w:t>e</w:t>
      </w:r>
      <w:r w:rsidRPr="00E43670">
        <w:t>tag flyttar utomlands. Också det förhållandet att huvudkontor flyttar utomlands utgör en risk, eftersom forsknings- och utvecklingsarbete ofta följer huvu</w:t>
      </w:r>
      <w:r w:rsidRPr="00E43670">
        <w:t>d</w:t>
      </w:r>
      <w:r w:rsidRPr="00E43670">
        <w:t>kontorens place</w:t>
      </w:r>
      <w:r w:rsidRPr="00E43670">
        <w:t>r</w:t>
      </w:r>
      <w:r w:rsidRPr="00E43670">
        <w:t>ing.</w:t>
      </w:r>
    </w:p>
    <w:p w:rsidR="00B32085" w:rsidRPr="00E43670" w:rsidRDefault="00B32085" w:rsidP="00B32085">
      <w:pPr>
        <w:pStyle w:val="Normaltindrag"/>
      </w:pPr>
      <w:r w:rsidRPr="00E43670">
        <w:t>Vad Sverige behöver är inte en engångsinsats för att klara ett generation</w:t>
      </w:r>
      <w:r w:rsidRPr="00E43670">
        <w:t>s</w:t>
      </w:r>
      <w:r w:rsidRPr="00E43670">
        <w:t>skifte, som antyds i forskningspropositionen, utan en nationell strategi för att skapa en attraktiv miljö för högre utbildning och forskning. Sverige behöver en forskningspolitik som medverkar till att ge landet en reell mö</w:t>
      </w:r>
      <w:r w:rsidRPr="00E43670">
        <w:t>j</w:t>
      </w:r>
      <w:r w:rsidRPr="00E43670">
        <w:t>lighet att bli en framstående aktör på den globala kunskapsarenan. Forskningspropositi</w:t>
      </w:r>
      <w:r w:rsidRPr="00E43670">
        <w:t>o</w:t>
      </w:r>
      <w:r w:rsidRPr="00E43670">
        <w:t>nen liknar mer ett utvidgat pressmeddelande och innehåller främst en b</w:t>
      </w:r>
      <w:r w:rsidRPr="00E43670">
        <w:t>e</w:t>
      </w:r>
      <w:r w:rsidRPr="00E43670">
        <w:t>skrivning av hur regeringen avser att fördela tillgängliga r</w:t>
      </w:r>
      <w:r w:rsidRPr="00E43670">
        <w:t>e</w:t>
      </w:r>
      <w:r w:rsidRPr="00E43670">
        <w:t>surser. Den är därmed inte en forskningspolitisk proposition i vanlig mening. Den innehå</w:t>
      </w:r>
      <w:r w:rsidRPr="00E43670">
        <w:t>l</w:t>
      </w:r>
      <w:r w:rsidRPr="00E43670">
        <w:t>ler ingen systematisk genomgång av principer och mål vad avser statens roll i fråga om forskning och utvecklingsarbete. I stället uppr</w:t>
      </w:r>
      <w:r w:rsidRPr="00E43670">
        <w:t>e</w:t>
      </w:r>
      <w:r w:rsidRPr="00E43670">
        <w:t>pas de olika, ofta otydliga målen och prioriteringarna som tidigare ang</w:t>
      </w:r>
      <w:r w:rsidRPr="00E43670">
        <w:t>i</w:t>
      </w:r>
      <w:r w:rsidRPr="00E43670">
        <w:t>vits. Det finns inte heller någon tydlig forskningspolitisk inriktning. Propositionen innehåller inga fö</w:t>
      </w:r>
      <w:r w:rsidRPr="00E43670">
        <w:t>r</w:t>
      </w:r>
      <w:r w:rsidRPr="00E43670">
        <w:t>slag om nya forskningsresurser utöver de som redan aviserats. Regeringen redov</w:t>
      </w:r>
      <w:r w:rsidRPr="00E43670">
        <w:t>i</w:t>
      </w:r>
      <w:r w:rsidRPr="00E43670">
        <w:t xml:space="preserve">sar inte heller någon utvärdering av vad som uppnåtts som ett resultat av den föregående forskningspolitiska propositionen. </w:t>
      </w:r>
    </w:p>
    <w:p w:rsidR="00B32085" w:rsidRPr="00E43670" w:rsidRDefault="00B32085" w:rsidP="00B32085">
      <w:pPr>
        <w:pStyle w:val="Normaltindrag"/>
      </w:pPr>
      <w:r w:rsidRPr="00E43670">
        <w:t>Vi anser att det krävs ett bättre beslutsunderlag för svensk forskningspol</w:t>
      </w:r>
      <w:r w:rsidRPr="00E43670">
        <w:t>i</w:t>
      </w:r>
      <w:r w:rsidRPr="00E43670">
        <w:t>tik. Vi menar att Sverige behöver återgå till den princip som tidigare var självfallen, nämligen att de politiska organen endast skall göra övergripande, värderingsgrundade bedömningar, medan universitet, högskolor och fors</w:t>
      </w:r>
      <w:r w:rsidRPr="00E43670">
        <w:t>k</w:t>
      </w:r>
      <w:r w:rsidRPr="00E43670">
        <w:t>ningsfinansierande myndigheter skall svara för vetenskapliga och professi</w:t>
      </w:r>
      <w:r w:rsidRPr="00E43670">
        <w:t>o</w:t>
      </w:r>
      <w:r w:rsidRPr="00E43670">
        <w:t>nella bedömningar och den närmare uppläggningen av verksa</w:t>
      </w:r>
      <w:r w:rsidRPr="00E43670">
        <w:t>m</w:t>
      </w:r>
      <w:r w:rsidRPr="00E43670">
        <w:t>heten. Det behövs också ett bättre beslutsunderlag för hur de sta</w:t>
      </w:r>
      <w:r w:rsidRPr="00E43670">
        <w:t>t</w:t>
      </w:r>
      <w:r w:rsidRPr="00E43670">
        <w:t>liga resurserna till forskning skall fördelas för att uppnå balans mellan fasta och rörliga resu</w:t>
      </w:r>
      <w:r w:rsidRPr="00E43670">
        <w:t>r</w:t>
      </w:r>
      <w:r w:rsidRPr="00E43670">
        <w:t>ser, dvs. mellan direkta anslag till universitet och högskolor å ena sidan och resu</w:t>
      </w:r>
      <w:r w:rsidRPr="00E43670">
        <w:t>r</w:t>
      </w:r>
      <w:r w:rsidRPr="00E43670">
        <w:t>serna via forskningsråden och Vinnova å den andra.</w:t>
      </w:r>
    </w:p>
    <w:p w:rsidR="00B32085" w:rsidRPr="00E43670" w:rsidRDefault="00B32085" w:rsidP="00B32085">
      <w:pPr>
        <w:pStyle w:val="Normaltindrag"/>
      </w:pPr>
      <w:r w:rsidRPr="00E43670">
        <w:t>Om man skall kunna tala om en reell satsning på forskning för utveckling, til</w:t>
      </w:r>
      <w:r w:rsidRPr="00E43670">
        <w:t>l</w:t>
      </w:r>
      <w:r w:rsidRPr="00E43670">
        <w:t>växt och ”ett bättre liv”, måste anslagen till forskningen höjas betydligt mer än vad regeringen föreslår. Utöver regeringens totala ökning av fakultet</w:t>
      </w:r>
      <w:r w:rsidRPr="00E43670">
        <w:t>s</w:t>
      </w:r>
      <w:r w:rsidRPr="00E43670">
        <w:t>anslagen med 520 miljoner kronor bör därför till dessa anslag avsättas ytterl</w:t>
      </w:r>
      <w:r w:rsidRPr="00E43670">
        <w:t>i</w:t>
      </w:r>
      <w:r w:rsidRPr="00E43670">
        <w:t>gare 200 miljoner kronor år 2006, 300 miljoner kronor år 2007, 400 miljoner kronor år 2008, 500 mi</w:t>
      </w:r>
      <w:r w:rsidRPr="00E43670">
        <w:t>l</w:t>
      </w:r>
      <w:r w:rsidRPr="00E43670">
        <w:t>joner kronor år 2009 och 600 miljoner kronor år 2010. Totalt innebär detta ytterligare 2 miljarder kronor till forskning, utöver rege</w:t>
      </w:r>
      <w:r w:rsidRPr="00E43670">
        <w:t>r</w:t>
      </w:r>
      <w:r w:rsidRPr="00E43670">
        <w:t>ingens sat</w:t>
      </w:r>
      <w:r w:rsidRPr="00E43670">
        <w:t>s</w:t>
      </w:r>
      <w:r w:rsidRPr="00E43670">
        <w:t xml:space="preserve">ning.   </w:t>
      </w:r>
    </w:p>
    <w:p w:rsidR="00B32085" w:rsidRPr="00E43670" w:rsidRDefault="00B32085" w:rsidP="00B32085">
      <w:pPr>
        <w:pStyle w:val="Normaltindrag"/>
        <w:rPr>
          <w:szCs w:val="24"/>
        </w:rPr>
      </w:pPr>
      <w:r w:rsidRPr="00E43670">
        <w:t>När det gäller de områden som i propositionen föreslås vara prioriterade områden vill vi framhålla att f</w:t>
      </w:r>
      <w:r w:rsidRPr="00E43670">
        <w:rPr>
          <w:szCs w:val="24"/>
        </w:rPr>
        <w:t>ramstående forskning inom m</w:t>
      </w:r>
      <w:r w:rsidRPr="00E43670">
        <w:rPr>
          <w:szCs w:val="24"/>
        </w:rPr>
        <w:t>e</w:t>
      </w:r>
      <w:r w:rsidRPr="00E43670">
        <w:rPr>
          <w:szCs w:val="24"/>
        </w:rPr>
        <w:t>dicin och teknik är en viktig grund för Sveriges framtidsmöjligheter. Vi stöder därför, i likhet med vad som görs i motion 2004/05:Ub11 (fp, m, kd, c), att dessa områden skall vara pri</w:t>
      </w:r>
      <w:r w:rsidRPr="00E43670">
        <w:rPr>
          <w:szCs w:val="24"/>
        </w:rPr>
        <w:t>o</w:t>
      </w:r>
      <w:r w:rsidRPr="00E43670">
        <w:rPr>
          <w:szCs w:val="24"/>
        </w:rPr>
        <w:t xml:space="preserve">riterade. </w:t>
      </w:r>
    </w:p>
    <w:p w:rsidR="00B32085" w:rsidRPr="00E43670" w:rsidRDefault="00B32085" w:rsidP="00B32085">
      <w:pPr>
        <w:pStyle w:val="Normaltindrag"/>
        <w:rPr>
          <w:szCs w:val="24"/>
        </w:rPr>
      </w:pPr>
      <w:r w:rsidRPr="00E43670">
        <w:rPr>
          <w:szCs w:val="24"/>
        </w:rPr>
        <w:t>I den nyssnämnda motionen berörs också vad som sägs i propositionen</w:t>
      </w:r>
      <w:r w:rsidRPr="00E43670">
        <w:t xml:space="preserve"> om att sammanlagt 150 miljoner kronor skall anvisas Vetenskapsrådet, FAS, Formas och Vinnova under åren 2006–2008, varav 50 miljoner kronor till Vinnova för att öka antalet meriteringsanställningar. Detta är en åtgärd i rätt riktning men otillräck</w:t>
      </w:r>
      <w:r w:rsidR="00F16EC3" w:rsidRPr="00E43670">
        <w:t>lig</w:t>
      </w:r>
      <w:r w:rsidRPr="00E43670">
        <w:t>. Vi anser att det behöver skapas fler möjligh</w:t>
      </w:r>
      <w:r w:rsidRPr="00E43670">
        <w:t>e</w:t>
      </w:r>
      <w:r w:rsidRPr="00E43670">
        <w:t>ter för nydisputerade forskare – s.k. postdoktorala tjänster – förutom de nuvara</w:t>
      </w:r>
      <w:r w:rsidRPr="00E43670">
        <w:t>n</w:t>
      </w:r>
      <w:r w:rsidRPr="00E43670">
        <w:t>de forskarassistenttjänsterna och biträdande lektorstjänsterna. För dem som har disp</w:t>
      </w:r>
      <w:r w:rsidRPr="00E43670">
        <w:t>u</w:t>
      </w:r>
      <w:r w:rsidRPr="00E43670">
        <w:t>terat är genomsnittstiden sju år innan en fast anställning blir aktuell. Enligt tillgänglig statistik drabbas särskilt kvinnliga forskare av de otrygga anställningsvil</w:t>
      </w:r>
      <w:r w:rsidRPr="00E43670">
        <w:t>l</w:t>
      </w:r>
      <w:r w:rsidRPr="00E43670">
        <w:t>koren.</w:t>
      </w:r>
      <w:r w:rsidRPr="00E43670">
        <w:rPr>
          <w:szCs w:val="24"/>
        </w:rPr>
        <w:t xml:space="preserve"> </w:t>
      </w:r>
    </w:p>
    <w:p w:rsidR="00B32085" w:rsidRPr="00E43670" w:rsidRDefault="00B32085" w:rsidP="00B32085">
      <w:pPr>
        <w:pStyle w:val="Normaltindrag"/>
      </w:pPr>
      <w:r w:rsidRPr="00E43670">
        <w:t>I propositionen förordas vidare en ökning av anslagen till forskning i små och medelstora företag och till FoU-program i samverkan med näringsl</w:t>
      </w:r>
      <w:r w:rsidRPr="00E43670">
        <w:t>i</w:t>
      </w:r>
      <w:r w:rsidRPr="00E43670">
        <w:t>vet, med sa</w:t>
      </w:r>
      <w:r w:rsidRPr="00E43670">
        <w:t>m</w:t>
      </w:r>
      <w:r w:rsidRPr="00E43670">
        <w:t xml:space="preserve">manlagt 130 miljoner under fyraårsperioden 2005–2008, </w:t>
      </w:r>
      <w:r w:rsidR="00F16EC3" w:rsidRPr="00E43670">
        <w:t>medel som</w:t>
      </w:r>
      <w:r w:rsidRPr="00E43670">
        <w:t xml:space="preserve"> skall fördelas av Vinnova. Vi stöder denna satsning – men det är inte tillräc</w:t>
      </w:r>
      <w:r w:rsidRPr="00E43670">
        <w:t>k</w:t>
      </w:r>
      <w:r w:rsidRPr="00E43670">
        <w:t>ligt. För att stärka forskningens roll för företag och tillväxt krävs ytterligare insatser för att åstadkomma en ökad kommersialisering av forskning</w:t>
      </w:r>
      <w:r w:rsidRPr="00E43670">
        <w:t>s</w:t>
      </w:r>
      <w:r w:rsidRPr="00E43670">
        <w:t>resultat. En åtgärd som föreslås i bl.a. motion 2004/05:Ub11 (fp, m, kd, c) och som vi tillstyrker är att staten skall gynna de högskolor och universitet som erbjuder sina forskare belöningar för sådan kommersialisering. Vi för</w:t>
      </w:r>
      <w:r w:rsidRPr="00E43670">
        <w:t>e</w:t>
      </w:r>
      <w:r w:rsidRPr="00E43670">
        <w:t>slår att det skall införas ett belöningssystem genom s.k. vinstdelningspaket, i vilka for</w:t>
      </w:r>
      <w:r w:rsidRPr="00E43670">
        <w:t>s</w:t>
      </w:r>
      <w:r w:rsidRPr="00E43670">
        <w:t>karen erbjuds royalty, delägarskap eller optioner i ett eller flera företag. Un</w:t>
      </w:r>
      <w:r w:rsidRPr="00E43670">
        <w:t>i</w:t>
      </w:r>
      <w:r w:rsidRPr="00E43670">
        <w:t>versitet och högskolor som knoppar av framgångsrika företag bör vidare få högre anslag till sin forskningsverksamhet. Universiteten och hö</w:t>
      </w:r>
      <w:r w:rsidRPr="00E43670">
        <w:t>g</w:t>
      </w:r>
      <w:r w:rsidRPr="00E43670">
        <w:t>skolorna bör också få en s.k. vinstandel. I några motioner från allmänna motionstiden – moti</w:t>
      </w:r>
      <w:r w:rsidRPr="00E43670">
        <w:t>o</w:t>
      </w:r>
      <w:r w:rsidRPr="00E43670">
        <w:t>nerna 2004/05:N413 (fp),</w:t>
      </w:r>
      <w:r w:rsidR="004015BC" w:rsidRPr="00E43670">
        <w:t xml:space="preserve"> 2004/05:N241 (fp) och 2004/05:</w:t>
      </w:r>
      <w:r w:rsidRPr="00E43670">
        <w:t>N393 (kd) – föro</w:t>
      </w:r>
      <w:r w:rsidRPr="00E43670">
        <w:t>r</w:t>
      </w:r>
      <w:r w:rsidRPr="00E43670">
        <w:t>das likartade åtgärder för att öka kommersialiseringen av forskningsresu</w:t>
      </w:r>
      <w:r w:rsidRPr="00E43670">
        <w:t>l</w:t>
      </w:r>
      <w:r w:rsidRPr="00E43670">
        <w:t>tat.</w:t>
      </w:r>
    </w:p>
    <w:p w:rsidR="00E373B6" w:rsidRPr="00E43670" w:rsidRDefault="00B32085" w:rsidP="005A2F86">
      <w:pPr>
        <w:pStyle w:val="Normaltindrag"/>
        <w:sectPr w:rsidR="00E373B6" w:rsidRPr="00E43670" w:rsidSect="00085DD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r w:rsidRPr="00E43670">
        <w:t>Sammantaget bör riksdagen genom ett tillkännagivande anmoda regerin</w:t>
      </w:r>
      <w:r w:rsidRPr="00E43670">
        <w:t>g</w:t>
      </w:r>
      <w:r w:rsidRPr="00E43670">
        <w:t>en att återkomma till riksdagen med förslag till åtgärder i enlighet med vad som förordas i motion 2004/05:Ub11 (fp, m, kd, c) på de områden som rör nä</w:t>
      </w:r>
      <w:r w:rsidRPr="00E43670">
        <w:t>r</w:t>
      </w:r>
      <w:r w:rsidRPr="00E43670">
        <w:t>ingsutskottets beredningsområde och som tagits upp här. Med hänvisning härtill anser vi att utbildningsutskottet bör tillstyrka den nyssnämnda moti</w:t>
      </w:r>
      <w:r w:rsidRPr="00E43670">
        <w:t>o</w:t>
      </w:r>
      <w:r w:rsidRPr="00E43670">
        <w:t>nen i aktuella delar. M</w:t>
      </w:r>
      <w:r w:rsidRPr="00E43670">
        <w:t>o</w:t>
      </w:r>
      <w:r w:rsidRPr="00E43670">
        <w:t>tionerna 2004/05:N413 (fp), 2004/05:N241 (fp) och 2004/05:N393 (kd) blir därmed också tillgodosedda och bör tillstyrkas av utbildningsutskottet i b</w:t>
      </w:r>
      <w:r w:rsidRPr="00E43670">
        <w:t>e</w:t>
      </w:r>
      <w:r w:rsidRPr="00E43670">
        <w:t>rörda delar. Övriga motionsyrkanden som är aktuella i detta sammanhang – i motionerna 2004/05:Ub8 (fp), 2004/05:N284 (kd), 2004/05:N285 (kd) och 2004/05:N300 (v) – bör avstyrkas av utbildningsu</w:t>
      </w:r>
      <w:r w:rsidRPr="00E43670">
        <w:t>t</w:t>
      </w:r>
      <w:r w:rsidR="005A2F86" w:rsidRPr="00E43670">
        <w:t>skottet.</w:t>
      </w:r>
    </w:p>
    <w:p w:rsidR="00A04341" w:rsidRPr="00E43670" w:rsidRDefault="00A04341" w:rsidP="00A04341">
      <w:pPr>
        <w:pStyle w:val="R1"/>
      </w:pPr>
      <w:r w:rsidRPr="00E43670">
        <w:t>Särskilt yttrande</w:t>
      </w:r>
    </w:p>
    <w:p w:rsidR="000F43F2" w:rsidRPr="00E43670" w:rsidRDefault="000F43F2" w:rsidP="00F16EC3">
      <w:pPr>
        <w:pStyle w:val="Reservationspunkt"/>
        <w:spacing w:before="110"/>
        <w:rPr>
          <w:noProof w:val="0"/>
        </w:rPr>
      </w:pPr>
      <w:r w:rsidRPr="00E43670">
        <w:rPr>
          <w:noProof w:val="0"/>
        </w:rPr>
        <w:t>Allmänt om forskning och behovsmotiverad forskning</w:t>
      </w:r>
    </w:p>
    <w:p w:rsidR="00A04341" w:rsidRPr="00E43670" w:rsidRDefault="00E373B6" w:rsidP="002B6AC1">
      <w:pPr>
        <w:pStyle w:val="Reservanter"/>
        <w:ind w:left="0"/>
      </w:pPr>
      <w:r w:rsidRPr="00E43670">
        <w:t>av</w:t>
      </w:r>
      <w:r w:rsidR="008E74A4" w:rsidRPr="00E43670">
        <w:t xml:space="preserve"> Lennart Beijer (v)</w:t>
      </w:r>
      <w:r w:rsidRPr="00E43670">
        <w:t>.</w:t>
      </w:r>
    </w:p>
    <w:p w:rsidR="00F4369C" w:rsidRPr="00E43670" w:rsidRDefault="00F4369C" w:rsidP="002B6AC1">
      <w:pPr>
        <w:pStyle w:val="Reservanter"/>
        <w:ind w:left="0"/>
      </w:pPr>
    </w:p>
    <w:p w:rsidR="00A04341" w:rsidRPr="00E43670" w:rsidRDefault="00A04341" w:rsidP="00A04341">
      <w:r w:rsidRPr="00E43670">
        <w:rPr>
          <w:color w:val="000000"/>
          <w:sz w:val="20"/>
        </w:rPr>
        <w:t>Jag vill något beröra en fråga som tas upp i motion 2004/05:N300 (v) och som rör industriforskningen i allmänhet och avrapporteringen av det i</w:t>
      </w:r>
      <w:r w:rsidRPr="00E43670">
        <w:rPr>
          <w:color w:val="000000"/>
          <w:sz w:val="20"/>
        </w:rPr>
        <w:t>n</w:t>
      </w:r>
      <w:r w:rsidRPr="00E43670">
        <w:rPr>
          <w:color w:val="000000"/>
          <w:sz w:val="20"/>
        </w:rPr>
        <w:t>novationspolitiska arbetet i synnerhet. Motionen har – som framgår av näringsutskottets ställningstagande – i hög grad tillg</w:t>
      </w:r>
      <w:r w:rsidRPr="00E43670">
        <w:rPr>
          <w:color w:val="000000"/>
          <w:sz w:val="20"/>
        </w:rPr>
        <w:t>o</w:t>
      </w:r>
      <w:r w:rsidRPr="00E43670">
        <w:rPr>
          <w:color w:val="000000"/>
          <w:sz w:val="20"/>
        </w:rPr>
        <w:t>dosetts. Jag anser dock att det skulle vara värdefullt om regeringen vid återkommande til</w:t>
      </w:r>
      <w:r w:rsidRPr="00E43670">
        <w:rPr>
          <w:color w:val="000000"/>
          <w:sz w:val="20"/>
        </w:rPr>
        <w:t>l</w:t>
      </w:r>
      <w:r w:rsidRPr="00E43670">
        <w:rPr>
          <w:color w:val="000000"/>
          <w:sz w:val="20"/>
        </w:rPr>
        <w:t>fällen, t.ex. en gång per år, på lämpligt sätt och i lämpligt samma</w:t>
      </w:r>
      <w:r w:rsidRPr="00E43670">
        <w:rPr>
          <w:color w:val="000000"/>
          <w:sz w:val="20"/>
        </w:rPr>
        <w:t>n</w:t>
      </w:r>
      <w:r w:rsidRPr="00E43670">
        <w:rPr>
          <w:color w:val="000000"/>
          <w:sz w:val="20"/>
        </w:rPr>
        <w:t>hang till riksdagen återkom med en redovisning över det innovationspoliti</w:t>
      </w:r>
      <w:r w:rsidRPr="00E43670">
        <w:rPr>
          <w:color w:val="000000"/>
          <w:sz w:val="20"/>
        </w:rPr>
        <w:t>s</w:t>
      </w:r>
      <w:r w:rsidRPr="00E43670">
        <w:rPr>
          <w:color w:val="000000"/>
          <w:sz w:val="20"/>
        </w:rPr>
        <w:t>ka arb</w:t>
      </w:r>
      <w:r w:rsidRPr="00E43670">
        <w:rPr>
          <w:color w:val="000000"/>
          <w:sz w:val="20"/>
        </w:rPr>
        <w:t>e</w:t>
      </w:r>
      <w:r w:rsidRPr="00E43670">
        <w:rPr>
          <w:color w:val="000000"/>
          <w:sz w:val="20"/>
        </w:rPr>
        <w:t>tet. En sådan redovisning skulle öka insikten om och sätta fokus på arb</w:t>
      </w:r>
      <w:r w:rsidRPr="00E43670">
        <w:rPr>
          <w:color w:val="000000"/>
          <w:sz w:val="20"/>
        </w:rPr>
        <w:t>e</w:t>
      </w:r>
      <w:r w:rsidRPr="00E43670">
        <w:rPr>
          <w:color w:val="000000"/>
          <w:sz w:val="20"/>
        </w:rPr>
        <w:t>tets vikt för Sveriges framtida välstånd. Detta är nödvändigt om de ansa</w:t>
      </w:r>
      <w:r w:rsidRPr="00E43670">
        <w:rPr>
          <w:color w:val="000000"/>
          <w:sz w:val="20"/>
        </w:rPr>
        <w:t>t</w:t>
      </w:r>
      <w:r w:rsidRPr="00E43670">
        <w:rPr>
          <w:color w:val="000000"/>
          <w:sz w:val="20"/>
        </w:rPr>
        <w:t xml:space="preserve">ser som nu görs på industriforskningens område skall bli bestående. </w:t>
      </w:r>
    </w:p>
    <w:p w:rsidR="00A04341" w:rsidRPr="00E43670" w:rsidRDefault="00A04341" w:rsidP="00A04341">
      <w:pPr>
        <w:pStyle w:val="Normaltindrag"/>
        <w:sectPr w:rsidR="00A04341" w:rsidRPr="00E43670" w:rsidSect="00085DD4">
          <w:pgSz w:w="11906" w:h="16838" w:code="9"/>
          <w:pgMar w:top="907" w:right="4649" w:bottom="4508" w:left="1304" w:header="340" w:footer="227" w:gutter="0"/>
          <w:cols w:space="720"/>
          <w:titlePg/>
          <w:docGrid w:linePitch="258"/>
        </w:sectPr>
      </w:pPr>
    </w:p>
    <w:p w:rsidR="003F3940" w:rsidRPr="00E43670" w:rsidRDefault="008922A0" w:rsidP="003F3940">
      <w:pPr>
        <w:pStyle w:val="Bilaga"/>
      </w:pPr>
      <w:r w:rsidRPr="00E43670">
        <w:t>Bilaga</w:t>
      </w:r>
    </w:p>
    <w:p w:rsidR="000221E9" w:rsidRPr="00E43670" w:rsidRDefault="000221E9" w:rsidP="003F3940">
      <w:pPr>
        <w:pStyle w:val="R1"/>
      </w:pPr>
      <w:r w:rsidRPr="00E43670">
        <w:t>Förteckning</w:t>
      </w:r>
      <w:r w:rsidR="00530539" w:rsidRPr="00E43670">
        <w:t xml:space="preserve"> över motionsyrkanden som över</w:t>
      </w:r>
      <w:r w:rsidRPr="00E43670">
        <w:t>lämnas till utbildnin</w:t>
      </w:r>
      <w:r w:rsidRPr="00E43670">
        <w:t>g</w:t>
      </w:r>
      <w:r w:rsidRPr="00E43670">
        <w:t>sutskottet</w:t>
      </w:r>
      <w:bookmarkEnd w:id="9"/>
    </w:p>
    <w:p w:rsidR="00320E85" w:rsidRPr="00E43670" w:rsidRDefault="00320E85" w:rsidP="00CF3C01">
      <w:pPr>
        <w:spacing w:before="0" w:line="240" w:lineRule="auto"/>
        <w:jc w:val="left"/>
        <w:rPr>
          <w:i/>
          <w:sz w:val="20"/>
        </w:rPr>
      </w:pPr>
      <w:bookmarkStart w:id="11" w:name="RangeStart"/>
      <w:bookmarkEnd w:id="11"/>
      <w:r w:rsidRPr="00E43670">
        <w:rPr>
          <w:i/>
          <w:sz w:val="20"/>
        </w:rPr>
        <w:t xml:space="preserve">2004/05:Ub286 av Maria Larsson m.fl. (kd, m, fp, c) </w:t>
      </w:r>
    </w:p>
    <w:p w:rsidR="00320E85" w:rsidRPr="00E43670" w:rsidRDefault="00320E85" w:rsidP="00CF3C01">
      <w:r w:rsidRPr="00E43670">
        <w:t>5. Riksdagen tillkännager för regeringen som sin mening vad i motionen anförs om att tillskapa ett nytt institut för ver</w:t>
      </w:r>
      <w:r w:rsidRPr="00E43670">
        <w:t>k</w:t>
      </w:r>
      <w:r w:rsidRPr="00E43670">
        <w:t xml:space="preserve">stadsteknisk forskning. </w:t>
      </w:r>
    </w:p>
    <w:p w:rsidR="00320E85" w:rsidRPr="00E43670" w:rsidRDefault="00320E85" w:rsidP="00CF3C01">
      <w:r w:rsidRPr="00E43670">
        <w:t>6. Riksdagen tillkännager för regeringen som sin mening vad i motionen anförs om att förlägga det nya institutet för ver</w:t>
      </w:r>
      <w:r w:rsidRPr="00E43670">
        <w:t>k</w:t>
      </w:r>
      <w:r w:rsidRPr="00E43670">
        <w:t xml:space="preserve">stadsteknisk forskning till Jönköping. </w:t>
      </w:r>
    </w:p>
    <w:p w:rsidR="00320E85" w:rsidRPr="00E43670" w:rsidRDefault="00320E85" w:rsidP="00E135F0">
      <w:pPr>
        <w:spacing w:before="188" w:line="240" w:lineRule="atLeast"/>
        <w:jc w:val="left"/>
        <w:rPr>
          <w:i/>
          <w:sz w:val="20"/>
        </w:rPr>
      </w:pPr>
      <w:r w:rsidRPr="00E43670">
        <w:rPr>
          <w:i/>
          <w:sz w:val="20"/>
        </w:rPr>
        <w:t xml:space="preserve">2004/05:Ub439 av Marianne Carlström m.fl. (s) </w:t>
      </w:r>
    </w:p>
    <w:p w:rsidR="00320E85" w:rsidRPr="00E43670" w:rsidRDefault="00320E85" w:rsidP="00CF3C01">
      <w:r w:rsidRPr="00E43670">
        <w:t>8. Riksdagen tillkännager för r</w:t>
      </w:r>
      <w:r w:rsidR="00B62A7D" w:rsidRPr="00E43670">
        <w:t>egeringen som sin mening vad</w:t>
      </w:r>
      <w:r w:rsidRPr="00E43670">
        <w:t xml:space="preserve"> i motionen anförs om att aktivt stödja forskning och u</w:t>
      </w:r>
      <w:r w:rsidRPr="00E43670">
        <w:t>t</w:t>
      </w:r>
      <w:r w:rsidRPr="00E43670">
        <w:t xml:space="preserve">veckling för industriell produktion i Västsverige. </w:t>
      </w:r>
    </w:p>
    <w:p w:rsidR="00320E85" w:rsidRPr="00E43670" w:rsidRDefault="00320E85" w:rsidP="00587103">
      <w:pPr>
        <w:spacing w:before="188" w:line="240" w:lineRule="auto"/>
        <w:jc w:val="left"/>
        <w:rPr>
          <w:i/>
          <w:sz w:val="20"/>
        </w:rPr>
      </w:pPr>
      <w:r w:rsidRPr="00E43670">
        <w:rPr>
          <w:i/>
          <w:sz w:val="20"/>
        </w:rPr>
        <w:t xml:space="preserve">2004/05:MJ504 av Björn von der Esch m.fl. (kd) </w:t>
      </w:r>
    </w:p>
    <w:p w:rsidR="00320E85" w:rsidRPr="00E43670" w:rsidRDefault="00E135F0" w:rsidP="00CF3C01">
      <w:r w:rsidRPr="00E43670">
        <w:t xml:space="preserve">8. </w:t>
      </w:r>
      <w:r w:rsidR="00320E85" w:rsidRPr="00E43670">
        <w:t>Riksdagen tillkännager för regeringen som sin mening vad i motionen a</w:t>
      </w:r>
      <w:r w:rsidR="00320E85" w:rsidRPr="00E43670">
        <w:t>n</w:t>
      </w:r>
      <w:r w:rsidR="00320E85" w:rsidRPr="00E43670">
        <w:t xml:space="preserve">förs om behovet av att prioritera forskningen kring trä och träanvändning. </w:t>
      </w:r>
    </w:p>
    <w:p w:rsidR="00320E85" w:rsidRPr="00E43670" w:rsidRDefault="00320E85" w:rsidP="00E135F0">
      <w:pPr>
        <w:spacing w:before="188" w:line="240" w:lineRule="auto"/>
        <w:jc w:val="left"/>
        <w:rPr>
          <w:i/>
          <w:sz w:val="20"/>
        </w:rPr>
      </w:pPr>
      <w:r w:rsidRPr="00E43670">
        <w:rPr>
          <w:i/>
          <w:sz w:val="20"/>
        </w:rPr>
        <w:t>2004/05:N234 av Fredrik Olov</w:t>
      </w:r>
      <w:r w:rsidRPr="00E43670">
        <w:rPr>
          <w:i/>
          <w:sz w:val="20"/>
        </w:rPr>
        <w:t>s</w:t>
      </w:r>
      <w:r w:rsidRPr="00E43670">
        <w:rPr>
          <w:i/>
          <w:sz w:val="20"/>
        </w:rPr>
        <w:t xml:space="preserve">son (s) </w:t>
      </w:r>
    </w:p>
    <w:p w:rsidR="00320E85" w:rsidRPr="00E43670" w:rsidRDefault="00320E85" w:rsidP="00E135F0">
      <w:r w:rsidRPr="00E43670">
        <w:t>Riksdagen tillkännager för regeringen som sin mening vad i motionen anförs om industrifors</w:t>
      </w:r>
      <w:r w:rsidRPr="00E43670">
        <w:t>k</w:t>
      </w:r>
      <w:r w:rsidRPr="00E43670">
        <w:t xml:space="preserve">ningsinstitut och energetiska material. </w:t>
      </w:r>
    </w:p>
    <w:p w:rsidR="00320E85" w:rsidRPr="00E43670" w:rsidRDefault="00320E85" w:rsidP="00E135F0">
      <w:pPr>
        <w:spacing w:before="188" w:line="240" w:lineRule="auto"/>
        <w:jc w:val="left"/>
        <w:rPr>
          <w:i/>
          <w:sz w:val="20"/>
        </w:rPr>
      </w:pPr>
      <w:r w:rsidRPr="00E43670">
        <w:rPr>
          <w:i/>
          <w:sz w:val="20"/>
        </w:rPr>
        <w:t xml:space="preserve">2004/05:N241 av Gunnar Andrén m.fl. (fp) </w:t>
      </w:r>
    </w:p>
    <w:p w:rsidR="00320E85" w:rsidRPr="00E43670" w:rsidRDefault="00320E85" w:rsidP="00CF3C01">
      <w:r w:rsidRPr="00E43670">
        <w:t>1. Riksdagen tillkännager för regeringen som sin mening vad i m</w:t>
      </w:r>
      <w:r w:rsidRPr="00E43670">
        <w:t>o</w:t>
      </w:r>
      <w:r w:rsidRPr="00E43670">
        <w:t>tionen anförs om Södertäljes förutsättningar att fortsatt vara ett vi</w:t>
      </w:r>
      <w:r w:rsidRPr="00E43670">
        <w:t>k</w:t>
      </w:r>
      <w:r w:rsidRPr="00E43670">
        <w:t xml:space="preserve">tigt centrum för svensk medicinteknisk forskning. </w:t>
      </w:r>
    </w:p>
    <w:p w:rsidR="00320E85" w:rsidRPr="00E43670" w:rsidRDefault="00320E85" w:rsidP="00CF3C01">
      <w:r w:rsidRPr="00E43670">
        <w:t>2. Riksdagen tillkännager för regeringen som sin mening vad i m</w:t>
      </w:r>
      <w:r w:rsidRPr="00E43670">
        <w:t>o</w:t>
      </w:r>
      <w:r w:rsidRPr="00E43670">
        <w:t>tionen anförs om Södertäljes förutsättningar att fortsatt vara ett vi</w:t>
      </w:r>
      <w:r w:rsidRPr="00E43670">
        <w:t>k</w:t>
      </w:r>
      <w:r w:rsidRPr="00E43670">
        <w:t>tigt centrum för fordon</w:t>
      </w:r>
      <w:r w:rsidR="00E135F0" w:rsidRPr="00E43670">
        <w:t>s</w:t>
      </w:r>
      <w:r w:rsidRPr="00E43670">
        <w:t xml:space="preserve">mässig produktion, forskning och utveckling. </w:t>
      </w:r>
    </w:p>
    <w:p w:rsidR="00320E85" w:rsidRPr="00E43670" w:rsidRDefault="00320E85" w:rsidP="00CF3C01">
      <w:r w:rsidRPr="00E43670">
        <w:t>7. Riksdagen tillkännager för regeringen som sin mening vad i m</w:t>
      </w:r>
      <w:r w:rsidRPr="00E43670">
        <w:t>o</w:t>
      </w:r>
      <w:r w:rsidRPr="00E43670">
        <w:t xml:space="preserve">tionen anförs om forskningen. </w:t>
      </w:r>
    </w:p>
    <w:p w:rsidR="00320E85" w:rsidRPr="00E43670" w:rsidRDefault="00320E85" w:rsidP="00226CF0">
      <w:pPr>
        <w:spacing w:before="188" w:line="240" w:lineRule="auto"/>
        <w:jc w:val="left"/>
        <w:rPr>
          <w:i/>
          <w:sz w:val="20"/>
        </w:rPr>
      </w:pPr>
      <w:r w:rsidRPr="00E43670">
        <w:rPr>
          <w:i/>
          <w:sz w:val="20"/>
        </w:rPr>
        <w:t>2004/05:N278 av Bo Ber</w:t>
      </w:r>
      <w:r w:rsidRPr="00E43670">
        <w:rPr>
          <w:i/>
          <w:sz w:val="20"/>
        </w:rPr>
        <w:t>n</w:t>
      </w:r>
      <w:r w:rsidRPr="00E43670">
        <w:rPr>
          <w:i/>
          <w:sz w:val="20"/>
        </w:rPr>
        <w:t xml:space="preserve">hardsson m.fl. (s) </w:t>
      </w:r>
    </w:p>
    <w:p w:rsidR="00320E85" w:rsidRPr="00E43670" w:rsidRDefault="00320E85" w:rsidP="00226CF0">
      <w:r w:rsidRPr="00E43670">
        <w:t>Riksdagen tillkännager för regeringen som sin mening vad i moti</w:t>
      </w:r>
      <w:r w:rsidRPr="00E43670">
        <w:t>o</w:t>
      </w:r>
      <w:r w:rsidRPr="00E43670">
        <w:t>nen anförs om lokalisering av ESS-anläggningen till Lund och Sv</w:t>
      </w:r>
      <w:r w:rsidRPr="00E43670">
        <w:t>e</w:t>
      </w:r>
      <w:r w:rsidRPr="00E43670">
        <w:t xml:space="preserve">rige. </w:t>
      </w:r>
    </w:p>
    <w:p w:rsidR="00320E85" w:rsidRPr="00E43670" w:rsidRDefault="00320E85" w:rsidP="00226CF0">
      <w:pPr>
        <w:spacing w:before="188" w:line="240" w:lineRule="auto"/>
        <w:jc w:val="left"/>
        <w:rPr>
          <w:sz w:val="20"/>
        </w:rPr>
      </w:pPr>
      <w:r w:rsidRPr="00E43670">
        <w:rPr>
          <w:i/>
          <w:sz w:val="20"/>
        </w:rPr>
        <w:t>2004/05:N282 av Maria Larsson (kd)</w:t>
      </w:r>
      <w:r w:rsidRPr="00E43670">
        <w:rPr>
          <w:sz w:val="20"/>
        </w:rPr>
        <w:t xml:space="preserve"> </w:t>
      </w:r>
    </w:p>
    <w:p w:rsidR="00320E85" w:rsidRPr="00E43670" w:rsidRDefault="00320E85" w:rsidP="00483F31">
      <w:r w:rsidRPr="00E43670">
        <w:t>1. Riksdagen tillkännager för regeringen som sin mening vad i motionen anförs om en nationell satsning på nanoteknologisk fors</w:t>
      </w:r>
      <w:r w:rsidRPr="00E43670">
        <w:t>k</w:t>
      </w:r>
      <w:r w:rsidRPr="00E43670">
        <w:t xml:space="preserve">ning och utveckling med målet att Sverige skall vara ledande inom området. </w:t>
      </w:r>
    </w:p>
    <w:p w:rsidR="00320E85" w:rsidRPr="00E43670" w:rsidRDefault="00320E85" w:rsidP="00483F31">
      <w:r w:rsidRPr="00E43670">
        <w:t xml:space="preserve">2. Riksdagen tillkännager för regeringen som sin mening vad i motionen </w:t>
      </w:r>
      <w:bookmarkStart w:id="12" w:name="RangeEnd"/>
      <w:r w:rsidRPr="00E43670">
        <w:t>a</w:t>
      </w:r>
      <w:bookmarkEnd w:id="12"/>
      <w:r w:rsidRPr="00E43670">
        <w:t>nförs om att starta ett nordiskt nanocentrum i Sv</w:t>
      </w:r>
      <w:r w:rsidRPr="00E43670">
        <w:t>e</w:t>
      </w:r>
      <w:r w:rsidRPr="00E43670">
        <w:t xml:space="preserve">rige. </w:t>
      </w:r>
    </w:p>
    <w:p w:rsidR="00320E85" w:rsidRPr="00E43670" w:rsidRDefault="00320E85" w:rsidP="00226CF0">
      <w:pPr>
        <w:spacing w:before="188" w:line="240" w:lineRule="auto"/>
        <w:jc w:val="left"/>
        <w:rPr>
          <w:i/>
          <w:sz w:val="20"/>
        </w:rPr>
      </w:pPr>
      <w:r w:rsidRPr="00E43670">
        <w:rPr>
          <w:i/>
          <w:sz w:val="20"/>
        </w:rPr>
        <w:t xml:space="preserve">2004/05:N284 av Yvonne Andersson och Sven Brus (kd) </w:t>
      </w:r>
    </w:p>
    <w:p w:rsidR="00320E85" w:rsidRPr="00E43670" w:rsidRDefault="00226CF0" w:rsidP="00483F31">
      <w:r w:rsidRPr="00E43670">
        <w:t xml:space="preserve">2. </w:t>
      </w:r>
      <w:r w:rsidR="00320E85" w:rsidRPr="00E43670">
        <w:t>Riksdagen tillkännager för regeringen som sin mening vad i motionen a</w:t>
      </w:r>
      <w:r w:rsidR="00320E85" w:rsidRPr="00E43670">
        <w:t>n</w:t>
      </w:r>
      <w:r w:rsidR="00320E85" w:rsidRPr="00E43670">
        <w:t>förs om att ge Vinnova möjligheter att bättre stödja goda idéer, vilket bör ge resu</w:t>
      </w:r>
      <w:r w:rsidR="00320E85" w:rsidRPr="00E43670">
        <w:t>l</w:t>
      </w:r>
      <w:r w:rsidR="00320E85" w:rsidRPr="00E43670">
        <w:t xml:space="preserve">tat i form av ökad industriell tillväxt. </w:t>
      </w:r>
    </w:p>
    <w:p w:rsidR="00320E85" w:rsidRPr="00E43670" w:rsidRDefault="00320E85" w:rsidP="00226CF0">
      <w:pPr>
        <w:spacing w:before="188" w:line="240" w:lineRule="auto"/>
        <w:jc w:val="left"/>
        <w:rPr>
          <w:i/>
          <w:sz w:val="20"/>
        </w:rPr>
      </w:pPr>
      <w:r w:rsidRPr="00E43670">
        <w:rPr>
          <w:i/>
          <w:sz w:val="20"/>
        </w:rPr>
        <w:t xml:space="preserve">2004/05:N285 av Yvonne Andersson och Sven Brus (kd) </w:t>
      </w:r>
    </w:p>
    <w:p w:rsidR="00320E85" w:rsidRPr="00E43670" w:rsidRDefault="00320E85" w:rsidP="00483F31">
      <w:r w:rsidRPr="00E43670">
        <w:t>Riksdagen tillkännager för regeringen som sin mening vad i moti</w:t>
      </w:r>
      <w:r w:rsidRPr="00E43670">
        <w:t>o</w:t>
      </w:r>
      <w:r w:rsidRPr="00E43670">
        <w:t>nen anförs om att Vinnovas verksamhet och resursbehov bör bea</w:t>
      </w:r>
      <w:r w:rsidRPr="00E43670">
        <w:t>k</w:t>
      </w:r>
      <w:r w:rsidRPr="00E43670">
        <w:t xml:space="preserve">tas. </w:t>
      </w:r>
    </w:p>
    <w:p w:rsidR="00320E85" w:rsidRPr="00E43670" w:rsidRDefault="00320E85" w:rsidP="00226CF0">
      <w:pPr>
        <w:spacing w:before="188" w:line="240" w:lineRule="auto"/>
        <w:jc w:val="left"/>
        <w:rPr>
          <w:i/>
          <w:sz w:val="20"/>
        </w:rPr>
      </w:pPr>
      <w:r w:rsidRPr="00E43670">
        <w:rPr>
          <w:i/>
          <w:sz w:val="20"/>
        </w:rPr>
        <w:t xml:space="preserve">2004/05:N300 av Lennart Beijer m.fl. (v) </w:t>
      </w:r>
    </w:p>
    <w:p w:rsidR="00320E85" w:rsidRPr="00E43670" w:rsidRDefault="00320E85" w:rsidP="00483F31">
      <w:r w:rsidRPr="00E43670">
        <w:t>1. Riksdagen tillkännager för regeringen som sin mening vad i m</w:t>
      </w:r>
      <w:r w:rsidRPr="00E43670">
        <w:t>o</w:t>
      </w:r>
      <w:r w:rsidRPr="00E43670">
        <w:t xml:space="preserve">tionen anförs om möjligheten till finansiering av Ireco. </w:t>
      </w:r>
    </w:p>
    <w:p w:rsidR="00320E85" w:rsidRPr="00E43670" w:rsidRDefault="00320E85" w:rsidP="00483F31">
      <w:r w:rsidRPr="00E43670">
        <w:t>2. Riksdagen tillkännager för regeringen som sin mening vad i m</w:t>
      </w:r>
      <w:r w:rsidRPr="00E43670">
        <w:t>o</w:t>
      </w:r>
      <w:r w:rsidRPr="00E43670">
        <w:t xml:space="preserve">tionen anförs om uppföljningar och rapporter. </w:t>
      </w:r>
    </w:p>
    <w:p w:rsidR="00320E85" w:rsidRPr="00E43670" w:rsidRDefault="00320E85" w:rsidP="00483F31">
      <w:r w:rsidRPr="00E43670">
        <w:t>3. Riksdagen tillkännager för regeringen som sin mening vad i motionen anförs om långsiktiga strategiska forskningspr</w:t>
      </w:r>
      <w:r w:rsidRPr="00E43670">
        <w:t>o</w:t>
      </w:r>
      <w:r w:rsidRPr="00E43670">
        <w:t xml:space="preserve">gram. </w:t>
      </w:r>
    </w:p>
    <w:p w:rsidR="00320E85" w:rsidRPr="00E43670" w:rsidRDefault="00320E85" w:rsidP="00483F31">
      <w:r w:rsidRPr="00E43670">
        <w:t>4. Riksdagen tillkännager för regeringen som sin mening vad i m</w:t>
      </w:r>
      <w:r w:rsidRPr="00E43670">
        <w:t>o</w:t>
      </w:r>
      <w:r w:rsidRPr="00E43670">
        <w:t>tionen anförs om utgifterna för forskning och utveckling (FoU) och offentliga up</w:t>
      </w:r>
      <w:r w:rsidRPr="00E43670">
        <w:t>p</w:t>
      </w:r>
      <w:r w:rsidRPr="00E43670">
        <w:t xml:space="preserve">drag. </w:t>
      </w:r>
    </w:p>
    <w:p w:rsidR="00320E85" w:rsidRPr="00E43670" w:rsidRDefault="00320E85" w:rsidP="00483F31">
      <w:r w:rsidRPr="00E43670">
        <w:t>5. Riksdagen tillkännager för regeringen som sin mening vad i m</w:t>
      </w:r>
      <w:r w:rsidRPr="00E43670">
        <w:t>o</w:t>
      </w:r>
      <w:r w:rsidRPr="00E43670">
        <w:t>tionen anförs om långsiktig uppbyggnad i likhet med de övriga no</w:t>
      </w:r>
      <w:r w:rsidRPr="00E43670">
        <w:t>r</w:t>
      </w:r>
      <w:r w:rsidRPr="00E43670">
        <w:t xml:space="preserve">diska länderna. </w:t>
      </w:r>
    </w:p>
    <w:p w:rsidR="00320E85" w:rsidRPr="00E43670" w:rsidRDefault="00320E85" w:rsidP="00483F31">
      <w:r w:rsidRPr="00E43670">
        <w:t>6. Riksdagen tillkännager för regeringen som sin mening vad i motionen anförs om en årlig avrapportering av det innov</w:t>
      </w:r>
      <w:r w:rsidRPr="00E43670">
        <w:t>a</w:t>
      </w:r>
      <w:r w:rsidRPr="00E43670">
        <w:t xml:space="preserve">tionspolitiska arbetet. </w:t>
      </w:r>
    </w:p>
    <w:p w:rsidR="00320E85" w:rsidRPr="00E43670" w:rsidRDefault="00320E85" w:rsidP="00226CF0">
      <w:pPr>
        <w:spacing w:before="188" w:line="240" w:lineRule="auto"/>
        <w:jc w:val="left"/>
        <w:rPr>
          <w:i/>
          <w:sz w:val="20"/>
        </w:rPr>
      </w:pPr>
      <w:r w:rsidRPr="00E43670">
        <w:rPr>
          <w:i/>
          <w:sz w:val="20"/>
        </w:rPr>
        <w:t xml:space="preserve">2004/05:N318 av Christina Axelsson (s) </w:t>
      </w:r>
    </w:p>
    <w:p w:rsidR="00320E85" w:rsidRPr="00E43670" w:rsidRDefault="00320E85" w:rsidP="00483F31">
      <w:r w:rsidRPr="00E43670">
        <w:t>Riksdagen tillkännager för regeringen som sin mening vad i moti</w:t>
      </w:r>
      <w:r w:rsidRPr="00E43670">
        <w:t>o</w:t>
      </w:r>
      <w:r w:rsidRPr="00E43670">
        <w:t xml:space="preserve">nen anförs om behovet av forskning inom området inköp. </w:t>
      </w:r>
    </w:p>
    <w:p w:rsidR="00320E85" w:rsidRPr="00E43670" w:rsidRDefault="00320E85" w:rsidP="00226CF0">
      <w:pPr>
        <w:spacing w:before="188" w:line="240" w:lineRule="auto"/>
        <w:jc w:val="left"/>
        <w:rPr>
          <w:i/>
          <w:sz w:val="20"/>
        </w:rPr>
      </w:pPr>
      <w:r w:rsidRPr="00E43670">
        <w:rPr>
          <w:i/>
          <w:sz w:val="20"/>
        </w:rPr>
        <w:t xml:space="preserve">2004/05:N393 av Göran Hägglund m.fl. (kd) </w:t>
      </w:r>
    </w:p>
    <w:p w:rsidR="00320E85" w:rsidRPr="00E43670" w:rsidRDefault="00320E85" w:rsidP="0047711D">
      <w:r w:rsidRPr="00E43670">
        <w:t>27. Riksdagen tillkännager för regeringen som sin mening vad i motionen anförs om forskning, utveckling och innovati</w:t>
      </w:r>
      <w:r w:rsidRPr="00E43670">
        <w:t>o</w:t>
      </w:r>
      <w:r w:rsidRPr="00E43670">
        <w:t xml:space="preserve">ner. </w:t>
      </w:r>
    </w:p>
    <w:p w:rsidR="00FD5A97" w:rsidRPr="00E43670" w:rsidRDefault="00FD5A97" w:rsidP="00FD5A97">
      <w:pPr>
        <w:pStyle w:val="Normaltindrag"/>
      </w:pPr>
    </w:p>
    <w:p w:rsidR="00320E85" w:rsidRPr="00E43670" w:rsidRDefault="00320E85" w:rsidP="006F67CA">
      <w:pPr>
        <w:rPr>
          <w:i/>
          <w:sz w:val="20"/>
        </w:rPr>
      </w:pPr>
      <w:r w:rsidRPr="00E43670">
        <w:rPr>
          <w:i/>
          <w:sz w:val="20"/>
        </w:rPr>
        <w:t xml:space="preserve">2004/05:N403 av Christer Nylander m.fl. (fp, kd, m, c) </w:t>
      </w:r>
    </w:p>
    <w:p w:rsidR="00320E85" w:rsidRPr="00E43670" w:rsidRDefault="00FD5A97" w:rsidP="0047711D">
      <w:r w:rsidRPr="00E43670">
        <w:t>20</w:t>
      </w:r>
      <w:r w:rsidR="00320E85" w:rsidRPr="00E43670">
        <w:t>. Riksdagen tillkännager för regeringen som sin mening vad i motionen anförs om att regeringen på ett tydligt sätt eng</w:t>
      </w:r>
      <w:r w:rsidR="00320E85" w:rsidRPr="00E43670">
        <w:t>a</w:t>
      </w:r>
      <w:r w:rsidR="00320E85" w:rsidRPr="00E43670">
        <w:t xml:space="preserve">gerar sig i arbetet för att få ESS till Lund. </w:t>
      </w:r>
    </w:p>
    <w:p w:rsidR="00320E85" w:rsidRPr="00E43670" w:rsidRDefault="006F67CA" w:rsidP="00226CF0">
      <w:pPr>
        <w:spacing w:before="188" w:line="240" w:lineRule="auto"/>
        <w:jc w:val="left"/>
        <w:rPr>
          <w:sz w:val="20"/>
        </w:rPr>
      </w:pPr>
      <w:r w:rsidRPr="00E43670">
        <w:rPr>
          <w:i/>
          <w:sz w:val="20"/>
        </w:rPr>
        <w:t>2004/05:N</w:t>
      </w:r>
      <w:r w:rsidR="00320E85" w:rsidRPr="00E43670">
        <w:rPr>
          <w:i/>
          <w:sz w:val="20"/>
        </w:rPr>
        <w:t>413 av Eva Flyborg m.fl. (fp)</w:t>
      </w:r>
      <w:r w:rsidR="00320E85" w:rsidRPr="00E43670">
        <w:rPr>
          <w:sz w:val="20"/>
        </w:rPr>
        <w:t xml:space="preserve"> </w:t>
      </w:r>
    </w:p>
    <w:p w:rsidR="00320E85" w:rsidRPr="00E43670" w:rsidRDefault="00226CF0" w:rsidP="0047711D">
      <w:r w:rsidRPr="00E43670">
        <w:t xml:space="preserve">14. </w:t>
      </w:r>
      <w:r w:rsidR="00320E85" w:rsidRPr="00E43670">
        <w:t xml:space="preserve">Riksdagen tillkännager för regeringen som sin mening vad i motionen anförs om en offensiv forskningspolitik för fler företag. </w:t>
      </w:r>
    </w:p>
    <w:p w:rsidR="005B18CA" w:rsidRPr="00E43670" w:rsidRDefault="005B18CA" w:rsidP="005B18CA">
      <w:pPr>
        <w:pStyle w:val="Normaltindrag"/>
      </w:pPr>
    </w:p>
    <w:p w:rsidR="00320E85" w:rsidRPr="00E43670" w:rsidRDefault="00320E85" w:rsidP="00226CF0">
      <w:pPr>
        <w:spacing w:before="98" w:line="240" w:lineRule="auto"/>
        <w:jc w:val="left"/>
        <w:rPr>
          <w:i/>
          <w:sz w:val="20"/>
        </w:rPr>
      </w:pPr>
      <w:r w:rsidRPr="00E43670">
        <w:rPr>
          <w:i/>
          <w:sz w:val="20"/>
        </w:rPr>
        <w:t xml:space="preserve">2004/05:N418 av Eva Flyborg m.fl. (fp, m, v, kd, c) </w:t>
      </w:r>
    </w:p>
    <w:p w:rsidR="00320E85" w:rsidRPr="00E43670" w:rsidRDefault="00320E85" w:rsidP="0047711D">
      <w:r w:rsidRPr="00E43670">
        <w:t>Riksdagen tillkännager för regeringen som sin mening vad i moti</w:t>
      </w:r>
      <w:r w:rsidRPr="00E43670">
        <w:t>o</w:t>
      </w:r>
      <w:r w:rsidRPr="00E43670">
        <w:t xml:space="preserve">nen anförs om en satsning på projektet Produktion i Väst. </w:t>
      </w:r>
    </w:p>
    <w:p w:rsidR="00320E85" w:rsidRPr="00E43670" w:rsidRDefault="00320E85" w:rsidP="00226CF0">
      <w:pPr>
        <w:spacing w:before="188" w:line="240" w:lineRule="auto"/>
        <w:jc w:val="left"/>
        <w:rPr>
          <w:i/>
          <w:sz w:val="20"/>
        </w:rPr>
      </w:pPr>
      <w:r w:rsidRPr="00E43670">
        <w:rPr>
          <w:i/>
          <w:sz w:val="20"/>
        </w:rPr>
        <w:t xml:space="preserve">2004/05:N419 av Monica Green m.fl. (s) </w:t>
      </w:r>
    </w:p>
    <w:p w:rsidR="00320E85" w:rsidRPr="00E43670" w:rsidRDefault="00320E85" w:rsidP="0047711D">
      <w:r w:rsidRPr="00E43670">
        <w:t>Riksdagen tillkännager för regeringen som sin mening vad i moti</w:t>
      </w:r>
      <w:r w:rsidRPr="00E43670">
        <w:t>o</w:t>
      </w:r>
      <w:r w:rsidR="00A27E32" w:rsidRPr="00E43670">
        <w:t>nen anför</w:t>
      </w:r>
      <w:r w:rsidRPr="00E43670">
        <w:t xml:space="preserve">s om behovet av att aktivt stödja en fortsatt utveckling av </w:t>
      </w:r>
      <w:r w:rsidR="00A27E32" w:rsidRPr="00E43670">
        <w:t>”Produktion i Väst”</w:t>
      </w:r>
      <w:r w:rsidRPr="00E43670">
        <w:t xml:space="preserve">. </w:t>
      </w:r>
    </w:p>
    <w:p w:rsidR="00103628" w:rsidRPr="00E43670" w:rsidRDefault="00103628" w:rsidP="000221E9">
      <w:pPr>
        <w:pStyle w:val="Normaltindrag"/>
      </w:pPr>
    </w:p>
    <w:p w:rsidR="00103628" w:rsidRPr="00E43670" w:rsidRDefault="00103628" w:rsidP="00103628">
      <w:pPr>
        <w:pStyle w:val="Tryckort"/>
        <w:framePr w:wrap="around"/>
      </w:pPr>
      <w:r w:rsidRPr="00E43670">
        <w:t>Elanders Gotab, Stockholm  2005</w:t>
      </w:r>
    </w:p>
    <w:p w:rsidR="0047711D" w:rsidRPr="00E43670" w:rsidRDefault="0047711D" w:rsidP="000221E9">
      <w:pPr>
        <w:pStyle w:val="Normaltindrag"/>
      </w:pPr>
    </w:p>
    <w:sectPr w:rsidR="0047711D" w:rsidRPr="00E43670" w:rsidSect="00085DD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36C" w:rsidRPr="00E43670" w:rsidRDefault="0013536C">
      <w:r w:rsidRPr="00E43670">
        <w:separator/>
      </w:r>
    </w:p>
  </w:endnote>
  <w:endnote w:type="continuationSeparator" w:id="0">
    <w:p w:rsidR="0013536C" w:rsidRPr="00E43670" w:rsidRDefault="0013536C">
      <w:r w:rsidRPr="00E436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fotV"/>
      <w:framePr w:w="8732" w:h="284" w:hRule="exact" w:hSpace="0" w:vSpace="0" w:wrap="around" w:xAlign="inside" w:y="13042" w:anchorLock="0"/>
    </w:pPr>
    <w:r w:rsidRPr="00E43670">
      <w:fldChar w:fldCharType="begin" w:fldLock="1"/>
    </w:r>
    <w:r w:rsidRPr="00E43670">
      <w:instrText xml:space="preserve"> P</w:instrText>
    </w:r>
    <w:r w:rsidRPr="00E43670">
      <w:instrText>A</w:instrText>
    </w:r>
    <w:r w:rsidRPr="00E43670">
      <w:instrText xml:space="preserve">GE </w:instrText>
    </w:r>
    <w:r w:rsidRPr="00E43670">
      <w:fldChar w:fldCharType="separate"/>
    </w:r>
    <w:r w:rsidR="00C22C27" w:rsidRPr="00E43670">
      <w:t>46</w:t>
    </w:r>
    <w:r w:rsidRPr="00E43670">
      <w:fldChar w:fldCharType="end"/>
    </w:r>
  </w:p>
  <w:p w:rsidR="00BA7A7A" w:rsidRPr="00E43670" w:rsidRDefault="00BA7A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fotH"/>
      <w:framePr w:w="8732" w:h="284" w:hRule="exact" w:hSpace="0" w:vSpace="0" w:wrap="around" w:xAlign="inside" w:y="13042" w:anchorLock="0"/>
    </w:pPr>
    <w:r w:rsidRPr="00E43670">
      <w:fldChar w:fldCharType="begin" w:fldLock="1"/>
    </w:r>
    <w:r w:rsidRPr="00E43670">
      <w:instrText xml:space="preserve"> P</w:instrText>
    </w:r>
    <w:r w:rsidRPr="00E43670">
      <w:instrText>A</w:instrText>
    </w:r>
    <w:r w:rsidRPr="00E43670">
      <w:instrText xml:space="preserve">GE </w:instrText>
    </w:r>
    <w:r w:rsidRPr="00E43670">
      <w:fldChar w:fldCharType="separate"/>
    </w:r>
    <w:r w:rsidR="00C22C27" w:rsidRPr="00E43670">
      <w:t>47</w:t>
    </w:r>
    <w:r w:rsidRPr="00E43670">
      <w:fldChar w:fldCharType="end"/>
    </w:r>
  </w:p>
  <w:p w:rsidR="00BA7A7A" w:rsidRPr="00E43670" w:rsidRDefault="00BA7A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fotV"/>
      <w:framePr w:w="8732" w:h="284" w:hRule="exact" w:hSpace="0" w:vSpace="0" w:wrap="around" w:xAlign="inside" w:y="13042" w:anchorLock="0"/>
    </w:pPr>
    <w:r w:rsidRPr="00E43670">
      <w:fldChar w:fldCharType="begin" w:fldLock="1"/>
    </w:r>
    <w:r w:rsidRPr="00E43670">
      <w:instrText xml:space="preserve"> if </w:instrText>
    </w:r>
    <w:r w:rsidRPr="00E43670">
      <w:fldChar w:fldCharType="begin" w:fldLock="1"/>
    </w:r>
    <w:r w:rsidRPr="00E43670">
      <w:instrText xml:space="preserve"> = </w:instrText>
    </w:r>
    <w:r w:rsidRPr="00E43670">
      <w:fldChar w:fldCharType="begin" w:fldLock="1"/>
    </w:r>
    <w:r w:rsidRPr="00E43670">
      <w:instrText xml:space="preserve"> = </w:instrText>
    </w:r>
    <w:r w:rsidRPr="00E43670">
      <w:fldChar w:fldCharType="begin" w:fldLock="1"/>
    </w:r>
    <w:r w:rsidRPr="00E43670">
      <w:instrText xml:space="preserve"> page</w:instrText>
    </w:r>
    <w:r w:rsidRPr="00E43670">
      <w:fldChar w:fldCharType="separate"/>
    </w:r>
    <w:r w:rsidR="00E43670">
      <w:rPr>
        <w:noProof/>
      </w:rPr>
      <w:instrText>1</w:instrText>
    </w:r>
    <w:r w:rsidRPr="00E43670">
      <w:fldChar w:fldCharType="end"/>
    </w:r>
    <w:r w:rsidRPr="00E43670">
      <w:instrText xml:space="preserve">/2 </w:instrText>
    </w:r>
    <w:r w:rsidRPr="00E43670">
      <w:fldChar w:fldCharType="separate"/>
    </w:r>
    <w:r w:rsidR="00E43670">
      <w:rPr>
        <w:noProof/>
      </w:rPr>
      <w:instrText>0,5</w:instrText>
    </w:r>
    <w:r w:rsidRPr="00E43670">
      <w:fldChar w:fldCharType="end"/>
    </w:r>
    <w:r w:rsidRPr="00E43670">
      <w:instrText xml:space="preserve"> - </w:instrText>
    </w:r>
    <w:r w:rsidRPr="00E43670">
      <w:fldChar w:fldCharType="begin" w:fldLock="1"/>
    </w:r>
    <w:r w:rsidRPr="00E43670">
      <w:instrText xml:space="preserve"> = int(</w:instrText>
    </w:r>
    <w:r w:rsidRPr="00E43670">
      <w:fldChar w:fldCharType="begin" w:fldLock="1"/>
    </w:r>
    <w:r w:rsidRPr="00E43670">
      <w:instrText xml:space="preserve"> page</w:instrText>
    </w:r>
    <w:r w:rsidRPr="00E43670">
      <w:fldChar w:fldCharType="separate"/>
    </w:r>
    <w:r w:rsidR="00E43670">
      <w:rPr>
        <w:noProof/>
      </w:rPr>
      <w:instrText>1</w:instrText>
    </w:r>
    <w:r w:rsidRPr="00E43670">
      <w:fldChar w:fldCharType="end"/>
    </w:r>
    <w:r w:rsidRPr="00E43670">
      <w:instrText xml:space="preserve">/2) </w:instrText>
    </w:r>
    <w:r w:rsidRPr="00E43670">
      <w:fldChar w:fldCharType="separate"/>
    </w:r>
    <w:r w:rsidR="00E43670">
      <w:rPr>
        <w:noProof/>
      </w:rPr>
      <w:instrText>0</w:instrText>
    </w:r>
    <w:r w:rsidRPr="00E43670">
      <w:fldChar w:fldCharType="end"/>
    </w:r>
    <w:r w:rsidRPr="00E43670">
      <w:fldChar w:fldCharType="separate"/>
    </w:r>
    <w:r w:rsidR="00E43670">
      <w:rPr>
        <w:noProof/>
      </w:rPr>
      <w:instrText>0,5</w:instrText>
    </w:r>
    <w:r w:rsidRPr="00E43670">
      <w:fldChar w:fldCharType="end"/>
    </w:r>
    <w:r w:rsidRPr="00E43670">
      <w:instrText xml:space="preserve"> = 0 "</w:instrText>
    </w:r>
    <w:r w:rsidRPr="00E43670">
      <w:fldChar w:fldCharType="begin" w:fldLock="1"/>
    </w:r>
    <w:r w:rsidRPr="00E43670">
      <w:instrText xml:space="preserve"> P</w:instrText>
    </w:r>
    <w:r w:rsidRPr="00E43670">
      <w:instrText>A</w:instrText>
    </w:r>
    <w:r w:rsidRPr="00E43670">
      <w:instrText xml:space="preserve">GE </w:instrText>
    </w:r>
    <w:r w:rsidRPr="00E43670">
      <w:fldChar w:fldCharType="separate"/>
    </w:r>
    <w:r w:rsidRPr="00E43670">
      <w:instrText>54</w:instrText>
    </w:r>
    <w:r w:rsidRPr="00E43670">
      <w:fldChar w:fldCharType="end"/>
    </w:r>
  </w:p>
  <w:p w:rsidR="00BA7A7A" w:rsidRPr="00E43670" w:rsidRDefault="00BA7A7A">
    <w:pPr>
      <w:pStyle w:val="SidfotH"/>
      <w:framePr w:w="8732" w:h="284" w:hRule="exact" w:hSpace="0" w:vSpace="0" w:wrap="around" w:xAlign="inside" w:y="13042" w:anchorLock="0"/>
    </w:pPr>
    <w:r w:rsidRPr="00E43670">
      <w:instrText>""</w:instrText>
    </w:r>
    <w:r w:rsidRPr="00E43670">
      <w:fldChar w:fldCharType="begin" w:fldLock="1"/>
    </w:r>
    <w:r w:rsidRPr="00E43670">
      <w:instrText xml:space="preserve"> P</w:instrText>
    </w:r>
    <w:r w:rsidRPr="00E43670">
      <w:instrText>A</w:instrText>
    </w:r>
    <w:r w:rsidRPr="00E43670">
      <w:instrText xml:space="preserve">GE </w:instrText>
    </w:r>
    <w:r w:rsidRPr="00E43670">
      <w:fldChar w:fldCharType="separate"/>
    </w:r>
    <w:r w:rsidR="00E43670">
      <w:rPr>
        <w:noProof/>
      </w:rPr>
      <w:instrText>1</w:instrText>
    </w:r>
    <w:r w:rsidRPr="00E43670">
      <w:fldChar w:fldCharType="end"/>
    </w:r>
    <w:r w:rsidRPr="00E43670">
      <w:instrText>"</w:instrText>
    </w:r>
    <w:r w:rsidR="00C22C27" w:rsidRPr="00E43670">
      <w:fldChar w:fldCharType="separate"/>
    </w:r>
    <w:r w:rsidR="00E43670">
      <w:rPr>
        <w:noProof/>
      </w:rPr>
      <w:t>1</w:t>
    </w:r>
    <w:r w:rsidRPr="00E43670">
      <w:fldChar w:fldCharType="end"/>
    </w:r>
  </w:p>
  <w:p w:rsidR="00BA7A7A" w:rsidRPr="00E43670" w:rsidRDefault="00BA7A7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fotV"/>
      <w:framePr w:w="8732" w:h="284" w:hRule="exact" w:hSpace="0" w:vSpace="0" w:wrap="around" w:xAlign="inside" w:y="13042" w:anchorLock="0"/>
    </w:pPr>
    <w:r w:rsidRPr="00E43670">
      <w:fldChar w:fldCharType="begin" w:fldLock="1"/>
    </w:r>
    <w:r w:rsidRPr="00E43670">
      <w:instrText xml:space="preserve"> P</w:instrText>
    </w:r>
    <w:r w:rsidRPr="00E43670">
      <w:instrText>A</w:instrText>
    </w:r>
    <w:r w:rsidRPr="00E43670">
      <w:instrText xml:space="preserve">GE </w:instrText>
    </w:r>
    <w:r w:rsidRPr="00E43670">
      <w:fldChar w:fldCharType="separate"/>
    </w:r>
    <w:r w:rsidR="00C22C27" w:rsidRPr="00E43670">
      <w:t>50</w:t>
    </w:r>
    <w:r w:rsidRPr="00E43670">
      <w:fldChar w:fldCharType="end"/>
    </w:r>
  </w:p>
  <w:p w:rsidR="00BA7A7A" w:rsidRPr="00E43670" w:rsidRDefault="00BA7A7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fotH"/>
      <w:framePr w:w="8732" w:h="284" w:hRule="exact" w:hSpace="0" w:vSpace="0" w:wrap="around" w:xAlign="inside" w:y="13042" w:anchorLock="0"/>
    </w:pPr>
    <w:r w:rsidRPr="00E43670">
      <w:fldChar w:fldCharType="begin" w:fldLock="1"/>
    </w:r>
    <w:r w:rsidRPr="00E43670">
      <w:instrText xml:space="preserve"> P</w:instrText>
    </w:r>
    <w:r w:rsidRPr="00E43670">
      <w:instrText>A</w:instrText>
    </w:r>
    <w:r w:rsidRPr="00E43670">
      <w:instrText xml:space="preserve">GE </w:instrText>
    </w:r>
    <w:r w:rsidRPr="00E43670">
      <w:fldChar w:fldCharType="separate"/>
    </w:r>
    <w:r w:rsidR="00C22C27" w:rsidRPr="00E43670">
      <w:t>51</w:t>
    </w:r>
    <w:r w:rsidRPr="00E43670">
      <w:fldChar w:fldCharType="end"/>
    </w:r>
  </w:p>
  <w:p w:rsidR="00BA7A7A" w:rsidRPr="00E43670" w:rsidRDefault="00BA7A7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fotV"/>
      <w:framePr w:w="8732" w:h="284" w:hRule="exact" w:hSpace="0" w:vSpace="0" w:wrap="around" w:xAlign="inside" w:y="13042" w:anchorLock="0"/>
    </w:pPr>
    <w:r w:rsidRPr="00E43670">
      <w:fldChar w:fldCharType="begin" w:fldLock="1"/>
    </w:r>
    <w:r w:rsidRPr="00E43670">
      <w:instrText xml:space="preserve"> if </w:instrText>
    </w:r>
    <w:r w:rsidRPr="00E43670">
      <w:fldChar w:fldCharType="begin" w:fldLock="1"/>
    </w:r>
    <w:r w:rsidRPr="00E43670">
      <w:instrText xml:space="preserve"> = </w:instrText>
    </w:r>
    <w:r w:rsidRPr="00E43670">
      <w:fldChar w:fldCharType="begin" w:fldLock="1"/>
    </w:r>
    <w:r w:rsidRPr="00E43670">
      <w:instrText xml:space="preserve"> = </w:instrText>
    </w:r>
    <w:r w:rsidRPr="00E43670">
      <w:fldChar w:fldCharType="begin" w:fldLock="1"/>
    </w:r>
    <w:r w:rsidRPr="00E43670">
      <w:instrText xml:space="preserve"> page</w:instrText>
    </w:r>
    <w:r w:rsidRPr="00E43670">
      <w:fldChar w:fldCharType="separate"/>
    </w:r>
    <w:r w:rsidR="00C22C27" w:rsidRPr="00E43670">
      <w:instrText>48</w:instrText>
    </w:r>
    <w:r w:rsidRPr="00E43670">
      <w:fldChar w:fldCharType="end"/>
    </w:r>
    <w:r w:rsidRPr="00E43670">
      <w:instrText xml:space="preserve">/2 </w:instrText>
    </w:r>
    <w:r w:rsidRPr="00E43670">
      <w:fldChar w:fldCharType="separate"/>
    </w:r>
    <w:r w:rsidR="00C22C27" w:rsidRPr="00E43670">
      <w:instrText>24</w:instrText>
    </w:r>
    <w:r w:rsidRPr="00E43670">
      <w:fldChar w:fldCharType="end"/>
    </w:r>
    <w:r w:rsidRPr="00E43670">
      <w:instrText xml:space="preserve"> - </w:instrText>
    </w:r>
    <w:r w:rsidRPr="00E43670">
      <w:fldChar w:fldCharType="begin" w:fldLock="1"/>
    </w:r>
    <w:r w:rsidRPr="00E43670">
      <w:instrText xml:space="preserve"> = int(</w:instrText>
    </w:r>
    <w:r w:rsidRPr="00E43670">
      <w:fldChar w:fldCharType="begin" w:fldLock="1"/>
    </w:r>
    <w:r w:rsidRPr="00E43670">
      <w:instrText xml:space="preserve"> page</w:instrText>
    </w:r>
    <w:r w:rsidRPr="00E43670">
      <w:fldChar w:fldCharType="separate"/>
    </w:r>
    <w:r w:rsidR="00C22C27" w:rsidRPr="00E43670">
      <w:instrText>48</w:instrText>
    </w:r>
    <w:r w:rsidRPr="00E43670">
      <w:fldChar w:fldCharType="end"/>
    </w:r>
    <w:r w:rsidRPr="00E43670">
      <w:instrText xml:space="preserve">/2) </w:instrText>
    </w:r>
    <w:r w:rsidRPr="00E43670">
      <w:fldChar w:fldCharType="separate"/>
    </w:r>
    <w:r w:rsidR="00C22C27" w:rsidRPr="00E43670">
      <w:instrText>24</w:instrText>
    </w:r>
    <w:r w:rsidRPr="00E43670">
      <w:fldChar w:fldCharType="end"/>
    </w:r>
    <w:r w:rsidRPr="00E43670">
      <w:fldChar w:fldCharType="separate"/>
    </w:r>
    <w:r w:rsidR="00C22C27" w:rsidRPr="00E43670">
      <w:instrText>0</w:instrText>
    </w:r>
    <w:r w:rsidRPr="00E43670">
      <w:fldChar w:fldCharType="end"/>
    </w:r>
    <w:r w:rsidRPr="00E43670">
      <w:instrText xml:space="preserve"> = 0 "</w:instrText>
    </w:r>
    <w:r w:rsidRPr="00E43670">
      <w:fldChar w:fldCharType="begin" w:fldLock="1"/>
    </w:r>
    <w:r w:rsidRPr="00E43670">
      <w:instrText xml:space="preserve"> P</w:instrText>
    </w:r>
    <w:r w:rsidRPr="00E43670">
      <w:instrText>A</w:instrText>
    </w:r>
    <w:r w:rsidRPr="00E43670">
      <w:instrText xml:space="preserve">GE </w:instrText>
    </w:r>
    <w:r w:rsidRPr="00E43670">
      <w:fldChar w:fldCharType="separate"/>
    </w:r>
    <w:r w:rsidR="00C22C27" w:rsidRPr="00E43670">
      <w:instrText>48</w:instrText>
    </w:r>
    <w:r w:rsidRPr="00E43670">
      <w:fldChar w:fldCharType="end"/>
    </w:r>
  </w:p>
  <w:p w:rsidR="00C22C27" w:rsidRPr="00E43670" w:rsidRDefault="00BA7A7A">
    <w:pPr>
      <w:pStyle w:val="SidfotV"/>
      <w:framePr w:w="8732" w:h="284" w:hRule="exact" w:hSpace="0" w:vSpace="0" w:wrap="around" w:xAlign="inside" w:y="13042" w:anchorLock="0"/>
    </w:pPr>
    <w:r w:rsidRPr="00E43670">
      <w:instrText>""</w:instrText>
    </w:r>
    <w:r w:rsidRPr="00E43670">
      <w:fldChar w:fldCharType="begin" w:fldLock="1"/>
    </w:r>
    <w:r w:rsidRPr="00E43670">
      <w:instrText xml:space="preserve"> P</w:instrText>
    </w:r>
    <w:r w:rsidRPr="00E43670">
      <w:instrText>A</w:instrText>
    </w:r>
    <w:r w:rsidRPr="00E43670">
      <w:instrText xml:space="preserve">GE </w:instrText>
    </w:r>
    <w:r w:rsidRPr="00E43670">
      <w:fldChar w:fldCharType="separate"/>
    </w:r>
    <w:r w:rsidRPr="00E43670">
      <w:instrText>53</w:instrText>
    </w:r>
    <w:r w:rsidRPr="00E43670">
      <w:fldChar w:fldCharType="end"/>
    </w:r>
    <w:r w:rsidRPr="00E43670">
      <w:instrText>"</w:instrText>
    </w:r>
    <w:r w:rsidR="00C22C27" w:rsidRPr="00E43670">
      <w:fldChar w:fldCharType="separate"/>
    </w:r>
    <w:r w:rsidR="00C22C27" w:rsidRPr="00E43670">
      <w:t>48</w:t>
    </w:r>
  </w:p>
  <w:p w:rsidR="00BA7A7A" w:rsidRPr="00E43670" w:rsidRDefault="00BA7A7A">
    <w:pPr>
      <w:pStyle w:val="SidfotH"/>
      <w:framePr w:w="8732" w:h="284" w:hRule="exact" w:hSpace="0" w:vSpace="0" w:wrap="around" w:xAlign="inside" w:y="13042" w:anchorLock="0"/>
    </w:pPr>
    <w:r w:rsidRPr="00E43670">
      <w:fldChar w:fldCharType="end"/>
    </w:r>
  </w:p>
  <w:p w:rsidR="00BA7A7A" w:rsidRPr="00E43670" w:rsidRDefault="00BA7A7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fotV"/>
      <w:framePr w:w="8732" w:h="284" w:hRule="exact" w:hSpace="0" w:vSpace="0" w:wrap="around" w:xAlign="inside" w:y="13042" w:anchorLock="0"/>
    </w:pPr>
    <w:r w:rsidRPr="00E43670">
      <w:fldChar w:fldCharType="begin" w:fldLock="1"/>
    </w:r>
    <w:r w:rsidRPr="00E43670">
      <w:instrText xml:space="preserve"> P</w:instrText>
    </w:r>
    <w:r w:rsidRPr="00E43670">
      <w:instrText>A</w:instrText>
    </w:r>
    <w:r w:rsidRPr="00E43670">
      <w:instrText xml:space="preserve">GE </w:instrText>
    </w:r>
    <w:r w:rsidRPr="00E43670">
      <w:fldChar w:fldCharType="separate"/>
    </w:r>
    <w:r w:rsidRPr="00E43670">
      <w:t>54</w:t>
    </w:r>
    <w:r w:rsidRPr="00E43670">
      <w:fldChar w:fldCharType="end"/>
    </w:r>
  </w:p>
  <w:p w:rsidR="00BA7A7A" w:rsidRPr="00E43670" w:rsidRDefault="00BA7A7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fotH"/>
      <w:framePr w:w="8732" w:h="284" w:hRule="exact" w:hSpace="0" w:vSpace="0" w:wrap="around" w:xAlign="inside" w:y="13042" w:anchorLock="0"/>
    </w:pPr>
    <w:r w:rsidRPr="00E43670">
      <w:fldChar w:fldCharType="begin" w:fldLock="1"/>
    </w:r>
    <w:r w:rsidRPr="00E43670">
      <w:instrText xml:space="preserve"> P</w:instrText>
    </w:r>
    <w:r w:rsidRPr="00E43670">
      <w:instrText>A</w:instrText>
    </w:r>
    <w:r w:rsidRPr="00E43670">
      <w:instrText xml:space="preserve">GE </w:instrText>
    </w:r>
    <w:r w:rsidRPr="00E43670">
      <w:fldChar w:fldCharType="separate"/>
    </w:r>
    <w:r w:rsidRPr="00E43670">
      <w:t>55</w:t>
    </w:r>
    <w:r w:rsidRPr="00E43670">
      <w:fldChar w:fldCharType="end"/>
    </w:r>
  </w:p>
  <w:p w:rsidR="00BA7A7A" w:rsidRPr="00E43670" w:rsidRDefault="00BA7A7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fotV"/>
      <w:framePr w:w="8732" w:h="284" w:hRule="exact" w:hSpace="0" w:vSpace="0" w:wrap="around" w:xAlign="inside" w:y="13042" w:anchorLock="0"/>
    </w:pPr>
    <w:r w:rsidRPr="00E43670">
      <w:fldChar w:fldCharType="begin" w:fldLock="1"/>
    </w:r>
    <w:r w:rsidRPr="00E43670">
      <w:instrText xml:space="preserve"> if </w:instrText>
    </w:r>
    <w:r w:rsidRPr="00E43670">
      <w:fldChar w:fldCharType="begin" w:fldLock="1"/>
    </w:r>
    <w:r w:rsidRPr="00E43670">
      <w:instrText xml:space="preserve"> = </w:instrText>
    </w:r>
    <w:r w:rsidRPr="00E43670">
      <w:fldChar w:fldCharType="begin" w:fldLock="1"/>
    </w:r>
    <w:r w:rsidRPr="00E43670">
      <w:instrText xml:space="preserve"> = </w:instrText>
    </w:r>
    <w:r w:rsidRPr="00E43670">
      <w:fldChar w:fldCharType="begin" w:fldLock="1"/>
    </w:r>
    <w:r w:rsidRPr="00E43670">
      <w:instrText xml:space="preserve"> page</w:instrText>
    </w:r>
    <w:r w:rsidRPr="00E43670">
      <w:fldChar w:fldCharType="separate"/>
    </w:r>
    <w:r w:rsidR="00C22C27" w:rsidRPr="00E43670">
      <w:instrText>53</w:instrText>
    </w:r>
    <w:r w:rsidRPr="00E43670">
      <w:fldChar w:fldCharType="end"/>
    </w:r>
    <w:r w:rsidRPr="00E43670">
      <w:instrText xml:space="preserve">/2 </w:instrText>
    </w:r>
    <w:r w:rsidRPr="00E43670">
      <w:fldChar w:fldCharType="separate"/>
    </w:r>
    <w:r w:rsidR="00C22C27" w:rsidRPr="00E43670">
      <w:instrText>26,5</w:instrText>
    </w:r>
    <w:r w:rsidRPr="00E43670">
      <w:fldChar w:fldCharType="end"/>
    </w:r>
    <w:r w:rsidRPr="00E43670">
      <w:instrText xml:space="preserve"> - </w:instrText>
    </w:r>
    <w:r w:rsidRPr="00E43670">
      <w:fldChar w:fldCharType="begin" w:fldLock="1"/>
    </w:r>
    <w:r w:rsidRPr="00E43670">
      <w:instrText xml:space="preserve"> = int(</w:instrText>
    </w:r>
    <w:r w:rsidRPr="00E43670">
      <w:fldChar w:fldCharType="begin" w:fldLock="1"/>
    </w:r>
    <w:r w:rsidRPr="00E43670">
      <w:instrText xml:space="preserve"> page</w:instrText>
    </w:r>
    <w:r w:rsidRPr="00E43670">
      <w:fldChar w:fldCharType="separate"/>
    </w:r>
    <w:r w:rsidR="00C22C27" w:rsidRPr="00E43670">
      <w:instrText>53</w:instrText>
    </w:r>
    <w:r w:rsidRPr="00E43670">
      <w:fldChar w:fldCharType="end"/>
    </w:r>
    <w:r w:rsidRPr="00E43670">
      <w:instrText xml:space="preserve">/2) </w:instrText>
    </w:r>
    <w:r w:rsidRPr="00E43670">
      <w:fldChar w:fldCharType="separate"/>
    </w:r>
    <w:r w:rsidR="00C22C27" w:rsidRPr="00E43670">
      <w:instrText>26</w:instrText>
    </w:r>
    <w:r w:rsidRPr="00E43670">
      <w:fldChar w:fldCharType="end"/>
    </w:r>
    <w:r w:rsidRPr="00E43670">
      <w:fldChar w:fldCharType="separate"/>
    </w:r>
    <w:r w:rsidR="00C22C27" w:rsidRPr="00E43670">
      <w:instrText>0,5</w:instrText>
    </w:r>
    <w:r w:rsidRPr="00E43670">
      <w:fldChar w:fldCharType="end"/>
    </w:r>
    <w:r w:rsidRPr="00E43670">
      <w:instrText xml:space="preserve"> = 0 "</w:instrText>
    </w:r>
    <w:r w:rsidRPr="00E43670">
      <w:fldChar w:fldCharType="begin" w:fldLock="1"/>
    </w:r>
    <w:r w:rsidRPr="00E43670">
      <w:instrText xml:space="preserve"> P</w:instrText>
    </w:r>
    <w:r w:rsidRPr="00E43670">
      <w:instrText>A</w:instrText>
    </w:r>
    <w:r w:rsidRPr="00E43670">
      <w:instrText xml:space="preserve">GE </w:instrText>
    </w:r>
    <w:r w:rsidRPr="00E43670">
      <w:fldChar w:fldCharType="separate"/>
    </w:r>
    <w:r w:rsidRPr="00E43670">
      <w:instrText>54</w:instrText>
    </w:r>
    <w:r w:rsidRPr="00E43670">
      <w:fldChar w:fldCharType="end"/>
    </w:r>
  </w:p>
  <w:p w:rsidR="00BA7A7A" w:rsidRPr="00E43670" w:rsidRDefault="00BA7A7A">
    <w:pPr>
      <w:pStyle w:val="SidfotH"/>
      <w:framePr w:w="8732" w:h="284" w:hRule="exact" w:hSpace="0" w:vSpace="0" w:wrap="around" w:xAlign="inside" w:y="13042" w:anchorLock="0"/>
    </w:pPr>
    <w:r w:rsidRPr="00E43670">
      <w:instrText>""</w:instrText>
    </w:r>
    <w:r w:rsidRPr="00E43670">
      <w:fldChar w:fldCharType="begin" w:fldLock="1"/>
    </w:r>
    <w:r w:rsidRPr="00E43670">
      <w:instrText xml:space="preserve"> P</w:instrText>
    </w:r>
    <w:r w:rsidRPr="00E43670">
      <w:instrText>A</w:instrText>
    </w:r>
    <w:r w:rsidRPr="00E43670">
      <w:instrText xml:space="preserve">GE </w:instrText>
    </w:r>
    <w:r w:rsidRPr="00E43670">
      <w:fldChar w:fldCharType="separate"/>
    </w:r>
    <w:r w:rsidR="00C22C27" w:rsidRPr="00E43670">
      <w:instrText>53</w:instrText>
    </w:r>
    <w:r w:rsidRPr="00E43670">
      <w:fldChar w:fldCharType="end"/>
    </w:r>
    <w:r w:rsidRPr="00E43670">
      <w:instrText>"</w:instrText>
    </w:r>
    <w:r w:rsidR="00C22C27" w:rsidRPr="00E43670">
      <w:fldChar w:fldCharType="separate"/>
    </w:r>
    <w:r w:rsidR="00C22C27" w:rsidRPr="00E43670">
      <w:t>53</w:t>
    </w:r>
    <w:r w:rsidRPr="00E43670">
      <w:fldChar w:fldCharType="end"/>
    </w:r>
  </w:p>
  <w:p w:rsidR="00BA7A7A" w:rsidRPr="00E43670" w:rsidRDefault="00BA7A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36C" w:rsidRPr="00E43670" w:rsidRDefault="0013536C">
      <w:r w:rsidRPr="00E43670">
        <w:separator/>
      </w:r>
    </w:p>
  </w:footnote>
  <w:footnote w:type="continuationSeparator" w:id="0">
    <w:p w:rsidR="0013536C" w:rsidRPr="00E43670" w:rsidRDefault="0013536C">
      <w:r w:rsidRPr="00E43670">
        <w:continuationSeparator/>
      </w:r>
    </w:p>
  </w:footnote>
  <w:footnote w:id="1">
    <w:p w:rsidR="00BA7A7A" w:rsidRPr="00E43670" w:rsidRDefault="00BA7A7A">
      <w:pPr>
        <w:pStyle w:val="Fotnotstext"/>
        <w:rPr>
          <w:sz w:val="16"/>
          <w:szCs w:val="16"/>
        </w:rPr>
      </w:pPr>
      <w:r w:rsidRPr="00E43670">
        <w:rPr>
          <w:rStyle w:val="Fotnotsreferens"/>
        </w:rPr>
        <w:footnoteRef/>
      </w:r>
      <w:r w:rsidRPr="00E43670">
        <w:t xml:space="preserve"> </w:t>
      </w:r>
      <w:r w:rsidRPr="00E43670">
        <w:rPr>
          <w:sz w:val="16"/>
          <w:szCs w:val="16"/>
        </w:rPr>
        <w:t>Medel till Rymdstyrelsen för rymdforskning. Detta anslag är 156,3 miljoner kronor för år 2005.</w:t>
      </w:r>
    </w:p>
  </w:footnote>
  <w:footnote w:id="2">
    <w:p w:rsidR="00BA7A7A" w:rsidRPr="00E43670" w:rsidRDefault="00BA7A7A">
      <w:pPr>
        <w:pStyle w:val="Fotnotstext"/>
        <w:rPr>
          <w:sz w:val="16"/>
          <w:szCs w:val="16"/>
        </w:rPr>
      </w:pPr>
      <w:r w:rsidRPr="00E43670">
        <w:rPr>
          <w:rStyle w:val="Fotnotsreferens"/>
          <w:sz w:val="16"/>
          <w:szCs w:val="16"/>
        </w:rPr>
        <w:footnoteRef/>
      </w:r>
      <w:r w:rsidRPr="00E43670">
        <w:rPr>
          <w:sz w:val="16"/>
          <w:szCs w:val="16"/>
        </w:rPr>
        <w:t xml:space="preserve"> Tillfällig förstärkning med 45 miljoner kronor år 2006 och 15 miljoner kronor år 2007.</w:t>
      </w:r>
    </w:p>
  </w:footnote>
  <w:footnote w:id="3">
    <w:p w:rsidR="00BA7A7A" w:rsidRPr="00E43670" w:rsidRDefault="00BA7A7A">
      <w:pPr>
        <w:pStyle w:val="Fotnotstext"/>
        <w:rPr>
          <w:sz w:val="16"/>
          <w:szCs w:val="16"/>
        </w:rPr>
      </w:pPr>
      <w:r w:rsidRPr="00E43670">
        <w:rPr>
          <w:rStyle w:val="Fotnotsreferens"/>
          <w:sz w:val="16"/>
          <w:szCs w:val="16"/>
        </w:rPr>
        <w:footnoteRef/>
      </w:r>
      <w:r w:rsidRPr="00E43670">
        <w:rPr>
          <w:sz w:val="16"/>
          <w:szCs w:val="16"/>
        </w:rPr>
        <w:t xml:space="preserve"> Förstärkning av anslaget till Statens ljud- och bildarkiv (SLBA) med 5 miljoner kronor och en tillfällig förstärkning med 10 miljoner kronor för vardera åren 2006 och 2007. Nuvarande anslag år 2005 är 40,7 miljoner kronor.</w:t>
      </w:r>
    </w:p>
  </w:footnote>
  <w:footnote w:id="4">
    <w:p w:rsidR="00BA7A7A" w:rsidRPr="00E43670" w:rsidRDefault="00BA7A7A">
      <w:pPr>
        <w:pStyle w:val="Fotnotstext"/>
        <w:rPr>
          <w:sz w:val="16"/>
          <w:szCs w:val="16"/>
        </w:rPr>
      </w:pPr>
      <w:r w:rsidRPr="00E43670">
        <w:rPr>
          <w:rStyle w:val="Fotnotsreferens"/>
          <w:sz w:val="16"/>
          <w:szCs w:val="16"/>
        </w:rPr>
        <w:footnoteRef/>
      </w:r>
      <w:r w:rsidRPr="00E43670">
        <w:rPr>
          <w:sz w:val="16"/>
          <w:szCs w:val="16"/>
        </w:rPr>
        <w:t xml:space="preserve"> Förstärkning av anslaget till Sekretariatet för genusforskning vid Göteborgs univers</w:t>
      </w:r>
      <w:r w:rsidRPr="00E43670">
        <w:rPr>
          <w:sz w:val="16"/>
          <w:szCs w:val="16"/>
        </w:rPr>
        <w:t>i</w:t>
      </w:r>
      <w:r w:rsidRPr="00E43670">
        <w:rPr>
          <w:sz w:val="16"/>
          <w:szCs w:val="16"/>
        </w:rPr>
        <w:t>tet. Nuvarande anslag år 2005 är 6,4 miljoner kronor.</w:t>
      </w:r>
    </w:p>
  </w:footnote>
  <w:footnote w:id="5">
    <w:p w:rsidR="00BA7A7A" w:rsidRPr="00E43670" w:rsidRDefault="00BA7A7A">
      <w:pPr>
        <w:pStyle w:val="Fotnotstext"/>
        <w:rPr>
          <w:sz w:val="16"/>
          <w:szCs w:val="16"/>
        </w:rPr>
      </w:pPr>
      <w:r w:rsidRPr="00E43670">
        <w:rPr>
          <w:rStyle w:val="Fotnotsreferens"/>
          <w:sz w:val="16"/>
          <w:szCs w:val="16"/>
        </w:rPr>
        <w:footnoteRef/>
      </w:r>
      <w:r w:rsidRPr="00E43670">
        <w:rPr>
          <w:sz w:val="16"/>
          <w:szCs w:val="16"/>
        </w:rPr>
        <w:t xml:space="preserve"> Dessutom ges tillfälliga anslag till holdingbolag och SLBA.</w:t>
      </w:r>
    </w:p>
  </w:footnote>
  <w:footnote w:id="6">
    <w:p w:rsidR="00BA7A7A" w:rsidRPr="00E43670" w:rsidRDefault="00BA7A7A">
      <w:pPr>
        <w:pStyle w:val="Fotnotstext"/>
      </w:pPr>
      <w:r w:rsidRPr="00E43670">
        <w:rPr>
          <w:rStyle w:val="Fotnotsreferens"/>
        </w:rPr>
        <w:footnoteRef/>
      </w:r>
      <w:r w:rsidRPr="00E43670">
        <w:t xml:space="preserve"> Exklusive tillfälliga förstärkningar.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huvudKantJmn"/>
      <w:framePr w:w="8732" w:h="567" w:hRule="exact" w:vSpace="0" w:wrap="around" w:vAnchor="page" w:y="341" w:anchorLock="0"/>
    </w:pPr>
    <w:r w:rsidRPr="00E43670">
      <w:rPr>
        <w:rStyle w:val="SidhuvudUtskott"/>
      </w:rPr>
      <w:fldChar w:fldCharType="begin" w:fldLock="1"/>
    </w:r>
    <w:r w:rsidRPr="00E43670">
      <w:rPr>
        <w:rStyle w:val="SidhuvudUtskott"/>
      </w:rPr>
      <w:instrText xml:space="preserve"> DOCPROPERTY BetänkandeÅr</w:instrText>
    </w:r>
    <w:r w:rsidRPr="00E43670">
      <w:rPr>
        <w:rStyle w:val="SidhuvudUtskott"/>
      </w:rPr>
      <w:fldChar w:fldCharType="separate"/>
    </w:r>
    <w:r w:rsidRPr="00E43670">
      <w:rPr>
        <w:rStyle w:val="SidhuvudUtskott"/>
      </w:rPr>
      <w:t>2004/05</w:t>
    </w:r>
    <w:r w:rsidRPr="00E43670">
      <w:rPr>
        <w:rStyle w:val="SidhuvudUtskott"/>
      </w:rPr>
      <w:fldChar w:fldCharType="end"/>
    </w:r>
    <w:r w:rsidRPr="00E43670">
      <w:rPr>
        <w:rStyle w:val="SidhuvudUtskott"/>
      </w:rPr>
      <w:t>:</w:t>
    </w:r>
    <w:r w:rsidRPr="00E43670">
      <w:rPr>
        <w:rStyle w:val="SidhuvudUtskott"/>
      </w:rPr>
      <w:fldChar w:fldCharType="begin" w:fldLock="1"/>
    </w:r>
    <w:r w:rsidRPr="00E43670">
      <w:rPr>
        <w:rStyle w:val="SidhuvudUtskott"/>
      </w:rPr>
      <w:instrText xml:space="preserve"> DOCPROPERTY Utskott</w:instrText>
    </w:r>
    <w:r w:rsidRPr="00E43670">
      <w:rPr>
        <w:rStyle w:val="SidhuvudUtskott"/>
      </w:rPr>
      <w:fldChar w:fldCharType="separate"/>
    </w:r>
    <w:r w:rsidRPr="00E43670">
      <w:rPr>
        <w:rStyle w:val="SidhuvudUtskott"/>
      </w:rPr>
      <w:t>NU</w:t>
    </w:r>
    <w:r w:rsidRPr="00E43670">
      <w:rPr>
        <w:rStyle w:val="SidhuvudUtskott"/>
      </w:rPr>
      <w:fldChar w:fldCharType="end"/>
    </w:r>
    <w:r w:rsidRPr="00E43670">
      <w:rPr>
        <w:rStyle w:val="SidhuvudUtskott"/>
      </w:rPr>
      <w:fldChar w:fldCharType="begin" w:fldLock="1"/>
    </w:r>
    <w:r w:rsidRPr="00E43670">
      <w:rPr>
        <w:rStyle w:val="SidhuvudUtskott"/>
      </w:rPr>
      <w:instrText xml:space="preserve"> DOCPROPERTY BetänkandeNr</w:instrText>
    </w:r>
    <w:r w:rsidRPr="00E43670">
      <w:rPr>
        <w:rStyle w:val="SidhuvudUtskott"/>
      </w:rPr>
      <w:fldChar w:fldCharType="separate"/>
    </w:r>
    <w:r w:rsidRPr="00E43670">
      <w:rPr>
        <w:rStyle w:val="SidhuvudUtskott"/>
      </w:rPr>
      <w:t>1y</w:t>
    </w:r>
    <w:r w:rsidRPr="00E43670">
      <w:rPr>
        <w:rStyle w:val="SidhuvudUtskott"/>
      </w:rPr>
      <w:fldChar w:fldCharType="end"/>
    </w:r>
    <w:r w:rsidRPr="00E43670">
      <w:t xml:space="preserve">     </w:t>
    </w:r>
    <w:r w:rsidRPr="00E43670">
      <w:rPr>
        <w:rStyle w:val="SidhuvudBilaga"/>
      </w:rPr>
      <w:t xml:space="preserve"> </w:t>
    </w:r>
    <w:r w:rsidRPr="00E43670">
      <w:rPr>
        <w:rStyle w:val="SidhuvudRubrikReferens"/>
      </w:rPr>
      <w:fldChar w:fldCharType="begin" w:fldLock="1"/>
    </w:r>
    <w:r w:rsidRPr="00E43670">
      <w:rPr>
        <w:rStyle w:val="SidhuvudRubrikReferens"/>
      </w:rPr>
      <w:instrText xml:space="preserve"> StyleREF "Rubrik 1" </w:instrText>
    </w:r>
    <w:r w:rsidRPr="00E43670">
      <w:rPr>
        <w:rStyle w:val="SidhuvudRubrikReferens"/>
      </w:rPr>
      <w:fldChar w:fldCharType="end"/>
    </w:r>
  </w:p>
  <w:p w:rsidR="00BA7A7A" w:rsidRPr="00E43670" w:rsidRDefault="00BA7A7A">
    <w:pPr>
      <w:pStyle w:val="SidhuvudKantJmn"/>
      <w:framePr w:w="8732" w:h="567" w:hRule="exact" w:vSpace="0" w:wrap="around" w:vAnchor="page" w:y="341" w:anchorLock="0"/>
    </w:pPr>
    <w:r w:rsidRPr="00E43670">
      <w:rPr>
        <w:rStyle w:val="SidhuvudUtskott"/>
      </w:rPr>
      <w:fldChar w:fldCharType="begin" w:fldLock="1"/>
    </w:r>
    <w:r w:rsidRPr="00E43670">
      <w:rPr>
        <w:rStyle w:val="SidhuvudUtskott"/>
      </w:rPr>
      <w:instrText xml:space="preserve"> DOCPROPERTY Status</w:instrText>
    </w:r>
    <w:r w:rsidRPr="00E43670">
      <w:rPr>
        <w:rStyle w:val="SidhuvudUtskott"/>
      </w:rPr>
      <w:fldChar w:fldCharType="end"/>
    </w:r>
    <w:r w:rsidRPr="00E43670">
      <w:rPr>
        <w:rStyle w:val="SidhuvudUtskott"/>
      </w:rPr>
      <w:fldChar w:fldCharType="begin" w:fldLock="1"/>
    </w:r>
    <w:r w:rsidRPr="00E43670">
      <w:rPr>
        <w:rStyle w:val="SidhuvudUtskott"/>
      </w:rPr>
      <w:instrText xml:space="preserve"> if </w:instrText>
    </w:r>
    <w:r w:rsidRPr="00E43670">
      <w:rPr>
        <w:rStyle w:val="SidhuvudUtskott"/>
      </w:rPr>
      <w:fldChar w:fldCharType="begin" w:fldLock="1"/>
    </w:r>
    <w:r w:rsidRPr="00E43670">
      <w:rPr>
        <w:rStyle w:val="SidhuvudUtskott"/>
      </w:rPr>
      <w:instrText xml:space="preserve"> DOCPROPERTY "UtkastDatum"</w:instrText>
    </w:r>
    <w:r w:rsidRPr="00E43670">
      <w:rPr>
        <w:rStyle w:val="SidhuvudUtskott"/>
      </w:rPr>
      <w:fldChar w:fldCharType="separate"/>
    </w:r>
    <w:r w:rsidRPr="00E43670">
      <w:rPr>
        <w:rStyle w:val="SidhuvudUtskott"/>
      </w:rPr>
      <w:instrText>Nej</w:instrText>
    </w:r>
    <w:r w:rsidRPr="00E43670">
      <w:rPr>
        <w:rStyle w:val="SidhuvudUtskott"/>
      </w:rPr>
      <w:fldChar w:fldCharType="end"/>
    </w:r>
    <w:r w:rsidRPr="00E43670">
      <w:rPr>
        <w:rStyle w:val="SidhuvudUtskott"/>
      </w:rPr>
      <w:instrText xml:space="preserve"> = "Ja" "    </w:instrText>
    </w:r>
    <w:r w:rsidRPr="00E43670">
      <w:rPr>
        <w:rStyle w:val="SidhuvudUtskott"/>
      </w:rPr>
      <w:fldChar w:fldCharType="begin" w:fldLock="1"/>
    </w:r>
    <w:r w:rsidRPr="00E43670">
      <w:rPr>
        <w:rStyle w:val="SidhuvudUtskott"/>
      </w:rPr>
      <w:instrText xml:space="preserve"> PRINTDATE \@ "yyyy-MM-dd HH.mm" </w:instrText>
    </w:r>
    <w:r w:rsidRPr="00E43670">
      <w:rPr>
        <w:rStyle w:val="SidhuvudUtskott"/>
      </w:rPr>
      <w:fldChar w:fldCharType="separate"/>
    </w:r>
    <w:r w:rsidRPr="00E43670">
      <w:rPr>
        <w:rStyle w:val="SidhuvudUtskott"/>
      </w:rPr>
      <w:instrText>2000-08-11 16.42</w:instrText>
    </w:r>
    <w:r w:rsidRPr="00E43670">
      <w:rPr>
        <w:rStyle w:val="SidhuvudUtskott"/>
      </w:rPr>
      <w:fldChar w:fldCharType="end"/>
    </w:r>
    <w:r w:rsidRPr="00E43670">
      <w:rPr>
        <w:rStyle w:val="SidhuvudUtskott"/>
      </w:rPr>
      <w:instrText xml:space="preserve">" </w:instrText>
    </w:r>
    <w:r w:rsidRPr="00E43670">
      <w:rPr>
        <w:rStyle w:val="SidhuvudUtskott"/>
      </w:rPr>
      <w:fldChar w:fldCharType="end"/>
    </w:r>
  </w:p>
  <w:p w:rsidR="00BA7A7A" w:rsidRPr="00E43670" w:rsidRDefault="00BA7A7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huvudKantUdda"/>
      <w:framePr w:w="8732" w:h="567" w:hRule="exact" w:vSpace="0" w:wrap="around" w:vAnchor="page" w:y="341" w:anchorLock="0"/>
    </w:pPr>
    <w:r w:rsidRPr="00E43670">
      <w:rPr>
        <w:rStyle w:val="SidhuvudBilaga"/>
      </w:rPr>
      <w:t xml:space="preserve"> </w:t>
    </w:r>
    <w:r w:rsidRPr="00E43670">
      <w:t xml:space="preserve">     </w:t>
    </w:r>
    <w:r w:rsidRPr="00E43670">
      <w:rPr>
        <w:rStyle w:val="SidhuvudUtskott"/>
      </w:rPr>
      <w:t>2004/05:NU1y</w:t>
    </w:r>
  </w:p>
  <w:p w:rsidR="00BA7A7A" w:rsidRPr="00E43670" w:rsidRDefault="00BA7A7A">
    <w:pPr>
      <w:pStyle w:val="SidhuvudKantUdda"/>
      <w:framePr w:w="8732" w:h="567" w:hRule="exact" w:vSpace="0" w:wrap="around" w:vAnchor="page" w:y="341" w:anchorLock="0"/>
    </w:pPr>
  </w:p>
  <w:p w:rsidR="00BA7A7A" w:rsidRPr="00E43670" w:rsidRDefault="00BA7A7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huvudKantJmn"/>
      <w:framePr w:w="8732" w:h="567" w:hRule="exact" w:vSpace="0" w:wrap="around" w:vAnchor="page" w:y="341" w:anchorLock="0"/>
    </w:pPr>
    <w:r w:rsidRPr="00E43670">
      <w:fldChar w:fldCharType="begin" w:fldLock="1"/>
    </w:r>
    <w:r w:rsidRPr="00E43670">
      <w:instrText xml:space="preserve"> if </w:instrText>
    </w:r>
    <w:r w:rsidRPr="00E43670">
      <w:fldChar w:fldCharType="begin" w:fldLock="1"/>
    </w:r>
    <w:r w:rsidRPr="00E43670">
      <w:instrText xml:space="preserve"> page</w:instrText>
    </w:r>
    <w:r w:rsidRPr="00E43670">
      <w:fldChar w:fldCharType="separate"/>
    </w:r>
    <w:r w:rsidR="00E43670">
      <w:rPr>
        <w:noProof/>
      </w:rPr>
      <w:instrText>1</w:instrText>
    </w:r>
    <w:r w:rsidRPr="00E43670">
      <w:fldChar w:fldCharType="end"/>
    </w:r>
    <w:r w:rsidRPr="00E43670">
      <w:instrText xml:space="preserve"> &gt; 1 "</w:instrText>
    </w:r>
    <w:r w:rsidRPr="00E43670">
      <w:fldChar w:fldCharType="begin" w:fldLock="1"/>
    </w:r>
    <w:r w:rsidRPr="00E43670">
      <w:instrText xml:space="preserve"> if </w:instrText>
    </w:r>
    <w:r w:rsidRPr="00E43670">
      <w:fldChar w:fldCharType="begin" w:fldLock="1"/>
    </w:r>
    <w:r w:rsidRPr="00E43670">
      <w:instrText xml:space="preserve"> = </w:instrText>
    </w:r>
    <w:r w:rsidRPr="00E43670">
      <w:fldChar w:fldCharType="begin" w:fldLock="1"/>
    </w:r>
    <w:r w:rsidRPr="00E43670">
      <w:instrText xml:space="preserve"> = </w:instrText>
    </w:r>
    <w:r w:rsidRPr="00E43670">
      <w:fldChar w:fldCharType="begin" w:fldLock="1"/>
    </w:r>
    <w:r w:rsidRPr="00E43670">
      <w:instrText xml:space="preserve"> page</w:instrText>
    </w:r>
    <w:r w:rsidRPr="00E43670">
      <w:fldChar w:fldCharType="separate"/>
    </w:r>
    <w:r w:rsidRPr="00E43670">
      <w:instrText>53</w:instrText>
    </w:r>
    <w:r w:rsidRPr="00E43670">
      <w:fldChar w:fldCharType="end"/>
    </w:r>
    <w:r w:rsidRPr="00E43670">
      <w:instrText xml:space="preserve">/2 </w:instrText>
    </w:r>
    <w:r w:rsidRPr="00E43670">
      <w:fldChar w:fldCharType="separate"/>
    </w:r>
    <w:r w:rsidRPr="00E43670">
      <w:instrText>26,5</w:instrText>
    </w:r>
    <w:r w:rsidRPr="00E43670">
      <w:fldChar w:fldCharType="end"/>
    </w:r>
    <w:r w:rsidRPr="00E43670">
      <w:instrText xml:space="preserve"> - </w:instrText>
    </w:r>
    <w:r w:rsidRPr="00E43670">
      <w:fldChar w:fldCharType="begin" w:fldLock="1"/>
    </w:r>
    <w:r w:rsidRPr="00E43670">
      <w:instrText xml:space="preserve"> = int(</w:instrText>
    </w:r>
    <w:r w:rsidRPr="00E43670">
      <w:fldChar w:fldCharType="begin" w:fldLock="1"/>
    </w:r>
    <w:r w:rsidRPr="00E43670">
      <w:instrText xml:space="preserve"> page</w:instrText>
    </w:r>
    <w:r w:rsidRPr="00E43670">
      <w:fldChar w:fldCharType="separate"/>
    </w:r>
    <w:r w:rsidRPr="00E43670">
      <w:instrText>53</w:instrText>
    </w:r>
    <w:r w:rsidRPr="00E43670">
      <w:fldChar w:fldCharType="end"/>
    </w:r>
    <w:r w:rsidRPr="00E43670">
      <w:instrText xml:space="preserve">/2) </w:instrText>
    </w:r>
    <w:r w:rsidRPr="00E43670">
      <w:fldChar w:fldCharType="separate"/>
    </w:r>
    <w:r w:rsidRPr="00E43670">
      <w:instrText>26</w:instrText>
    </w:r>
    <w:r w:rsidRPr="00E43670">
      <w:fldChar w:fldCharType="end"/>
    </w:r>
    <w:r w:rsidRPr="00E43670">
      <w:fldChar w:fldCharType="separate"/>
    </w:r>
    <w:r w:rsidRPr="00E43670">
      <w:instrText>0,5</w:instrText>
    </w:r>
    <w:r w:rsidRPr="00E43670">
      <w:fldChar w:fldCharType="end"/>
    </w:r>
    <w:r w:rsidRPr="00E43670">
      <w:instrText xml:space="preserve"> = 0 "</w:instrText>
    </w:r>
    <w:r w:rsidRPr="00E43670">
      <w:rPr>
        <w:rStyle w:val="SidhuvudUtskott"/>
      </w:rPr>
      <w:fldChar w:fldCharType="begin" w:fldLock="1"/>
    </w:r>
    <w:r w:rsidRPr="00E43670">
      <w:rPr>
        <w:rStyle w:val="SidhuvudUtskott"/>
      </w:rPr>
      <w:instrText xml:space="preserve"> DOCPROPERTY BetänkandeÅr</w:instrText>
    </w:r>
    <w:r w:rsidRPr="00E43670">
      <w:rPr>
        <w:rStyle w:val="SidhuvudUtskott"/>
      </w:rPr>
      <w:fldChar w:fldCharType="separate"/>
    </w:r>
    <w:r w:rsidRPr="00E43670">
      <w:rPr>
        <w:rStyle w:val="SidhuvudUtskott"/>
      </w:rPr>
      <w:instrText>2004/05</w:instrText>
    </w:r>
    <w:r w:rsidRPr="00E43670">
      <w:rPr>
        <w:rStyle w:val="SidhuvudUtskott"/>
      </w:rPr>
      <w:fldChar w:fldCharType="end"/>
    </w:r>
    <w:r w:rsidRPr="00E43670">
      <w:rPr>
        <w:rStyle w:val="SidhuvudUtskott"/>
      </w:rPr>
      <w:instrText>:</w:instrText>
    </w:r>
    <w:r w:rsidRPr="00E43670">
      <w:rPr>
        <w:rStyle w:val="SidhuvudUtskott"/>
      </w:rPr>
      <w:fldChar w:fldCharType="begin" w:fldLock="1"/>
    </w:r>
    <w:r w:rsidRPr="00E43670">
      <w:rPr>
        <w:rStyle w:val="SidhuvudUtskott"/>
      </w:rPr>
      <w:instrText xml:space="preserve"> DOCPR</w:instrText>
    </w:r>
    <w:r w:rsidRPr="00E43670">
      <w:rPr>
        <w:rStyle w:val="SidhuvudUtskott"/>
      </w:rPr>
      <w:instrText>O</w:instrText>
    </w:r>
    <w:r w:rsidRPr="00E43670">
      <w:rPr>
        <w:rStyle w:val="SidhuvudUtskott"/>
      </w:rPr>
      <w:instrText>PERTY Utskott</w:instrText>
    </w:r>
    <w:r w:rsidRPr="00E43670">
      <w:rPr>
        <w:rStyle w:val="SidhuvudUtskott"/>
      </w:rPr>
      <w:fldChar w:fldCharType="separate"/>
    </w:r>
    <w:r w:rsidRPr="00E43670">
      <w:rPr>
        <w:rStyle w:val="SidhuvudUtskott"/>
      </w:rPr>
      <w:instrText>NU</w:instrText>
    </w:r>
    <w:r w:rsidRPr="00E43670">
      <w:rPr>
        <w:rStyle w:val="SidhuvudUtskott"/>
      </w:rPr>
      <w:fldChar w:fldCharType="end"/>
    </w:r>
    <w:r w:rsidRPr="00E43670">
      <w:rPr>
        <w:rStyle w:val="SidhuvudUtskott"/>
      </w:rPr>
      <w:fldChar w:fldCharType="begin" w:fldLock="1"/>
    </w:r>
    <w:r w:rsidRPr="00E43670">
      <w:rPr>
        <w:rStyle w:val="SidhuvudUtskott"/>
      </w:rPr>
      <w:instrText xml:space="preserve"> DOCPROPERTY BetänkandeNr</w:instrText>
    </w:r>
    <w:r w:rsidRPr="00E43670">
      <w:rPr>
        <w:rStyle w:val="SidhuvudUtskott"/>
      </w:rPr>
      <w:fldChar w:fldCharType="separate"/>
    </w:r>
    <w:r w:rsidRPr="00E43670">
      <w:rPr>
        <w:rStyle w:val="SidhuvudUtskott"/>
      </w:rPr>
      <w:instrText>1y</w:instrText>
    </w:r>
    <w:r w:rsidRPr="00E43670">
      <w:rPr>
        <w:rStyle w:val="SidhuvudUtskott"/>
      </w:rPr>
      <w:fldChar w:fldCharType="end"/>
    </w:r>
    <w:r w:rsidRPr="00E43670">
      <w:instrText xml:space="preserve">    </w:instrText>
    </w:r>
  </w:p>
  <w:p w:rsidR="00BA7A7A" w:rsidRPr="00E43670" w:rsidRDefault="00BA7A7A">
    <w:pPr>
      <w:pStyle w:val="SidhuvudKantJmn"/>
      <w:framePr w:w="8732" w:h="567" w:hRule="exact" w:vSpace="0" w:wrap="around" w:vAnchor="page" w:y="341" w:anchorLock="0"/>
    </w:pPr>
    <w:r w:rsidRPr="00E43670">
      <w:rPr>
        <w:rStyle w:val="SidhuvudUtskott"/>
      </w:rPr>
      <w:fldChar w:fldCharType="begin" w:fldLock="1"/>
    </w:r>
    <w:r w:rsidRPr="00E43670">
      <w:rPr>
        <w:rStyle w:val="SidhuvudUtskott"/>
      </w:rPr>
      <w:instrText xml:space="preserve"> DOCPROPERTY Status</w:instrText>
    </w:r>
    <w:r w:rsidRPr="00E43670">
      <w:rPr>
        <w:rStyle w:val="SidhuvudUtskott"/>
      </w:rPr>
      <w:fldChar w:fldCharType="separate"/>
    </w:r>
    <w:r w:rsidRPr="00E43670">
      <w:rPr>
        <w:rStyle w:val="SidhuvudUtskott"/>
      </w:rPr>
      <w:instrText>Utkast</w:instrText>
    </w:r>
    <w:r w:rsidRPr="00E43670">
      <w:rPr>
        <w:rStyle w:val="SidhuvudUtskott"/>
      </w:rPr>
      <w:fldChar w:fldCharType="end"/>
    </w:r>
    <w:r w:rsidRPr="00E43670">
      <w:rPr>
        <w:rStyle w:val="SidhuvudUtskott"/>
      </w:rPr>
      <w:fldChar w:fldCharType="begin" w:fldLock="1"/>
    </w:r>
    <w:r w:rsidRPr="00E43670">
      <w:rPr>
        <w:rStyle w:val="SidhuvudUtskott"/>
      </w:rPr>
      <w:instrText xml:space="preserve"> if </w:instrText>
    </w:r>
    <w:r w:rsidRPr="00E43670">
      <w:rPr>
        <w:rStyle w:val="SidhuvudUtskott"/>
      </w:rPr>
      <w:fldChar w:fldCharType="begin" w:fldLock="1"/>
    </w:r>
    <w:r w:rsidRPr="00E43670">
      <w:rPr>
        <w:rStyle w:val="SidhuvudUtskott"/>
      </w:rPr>
      <w:instrText xml:space="preserve"> DOCPROPERTY "UtkastDatum"</w:instrText>
    </w:r>
    <w:r w:rsidRPr="00E43670">
      <w:rPr>
        <w:rStyle w:val="SidhuvudUtskott"/>
      </w:rPr>
      <w:fldChar w:fldCharType="separate"/>
    </w:r>
    <w:r w:rsidRPr="00E43670">
      <w:rPr>
        <w:rStyle w:val="SidhuvudUtskott"/>
      </w:rPr>
      <w:instrText>Nej</w:instrText>
    </w:r>
    <w:r w:rsidRPr="00E43670">
      <w:rPr>
        <w:rStyle w:val="SidhuvudUtskott"/>
      </w:rPr>
      <w:fldChar w:fldCharType="end"/>
    </w:r>
    <w:r w:rsidRPr="00E43670">
      <w:rPr>
        <w:rStyle w:val="SidhuvudUtskott"/>
      </w:rPr>
      <w:instrText xml:space="preserve"> = "Ja" "    </w:instrText>
    </w:r>
    <w:r w:rsidRPr="00E43670">
      <w:rPr>
        <w:rStyle w:val="SidhuvudUtskott"/>
      </w:rPr>
      <w:fldChar w:fldCharType="begin" w:fldLock="1"/>
    </w:r>
    <w:r w:rsidRPr="00E43670">
      <w:rPr>
        <w:rStyle w:val="SidhuvudUtskott"/>
      </w:rPr>
      <w:instrText xml:space="preserve"> PRINTDATE \@ "yyyy-MM-dd HH.mm" </w:instrText>
    </w:r>
    <w:r w:rsidRPr="00E43670">
      <w:rPr>
        <w:rStyle w:val="SidhuvudUtskott"/>
      </w:rPr>
      <w:fldChar w:fldCharType="separate"/>
    </w:r>
    <w:r w:rsidRPr="00E43670">
      <w:rPr>
        <w:rStyle w:val="SidhuvudUtskott"/>
      </w:rPr>
      <w:instrText>2000-08-11 16.42</w:instrText>
    </w:r>
    <w:r w:rsidRPr="00E43670">
      <w:rPr>
        <w:rStyle w:val="SidhuvudUtskott"/>
      </w:rPr>
      <w:fldChar w:fldCharType="end"/>
    </w:r>
    <w:r w:rsidRPr="00E43670">
      <w:rPr>
        <w:rStyle w:val="SidhuvudUtskott"/>
      </w:rPr>
      <w:instrText xml:space="preserve">" </w:instrText>
    </w:r>
    <w:r w:rsidRPr="00E43670">
      <w:rPr>
        <w:rStyle w:val="SidhuvudUtskott"/>
      </w:rPr>
      <w:fldChar w:fldCharType="end"/>
    </w:r>
  </w:p>
  <w:p w:rsidR="00BA7A7A" w:rsidRPr="00E43670" w:rsidRDefault="00BA7A7A">
    <w:pPr>
      <w:pStyle w:val="SidhuvudKantUdda"/>
      <w:framePr w:w="8732" w:h="567" w:hRule="exact" w:vSpace="0" w:wrap="around" w:vAnchor="page" w:y="341" w:anchorLock="0"/>
    </w:pPr>
    <w:r w:rsidRPr="00E43670">
      <w:rPr>
        <w:rStyle w:val="SidhuvudRubrikReferens"/>
        <w:smallCaps w:val="0"/>
      </w:rPr>
      <w:instrText xml:space="preserve"> </w:instrText>
    </w:r>
    <w:r w:rsidRPr="00E43670">
      <w:instrText xml:space="preserve">"  "  </w:instrText>
    </w:r>
    <w:r w:rsidRPr="00E43670">
      <w:rPr>
        <w:rStyle w:val="SidhuvudUtskott"/>
      </w:rPr>
      <w:fldChar w:fldCharType="begin" w:fldLock="1"/>
    </w:r>
    <w:r w:rsidRPr="00E43670">
      <w:rPr>
        <w:rStyle w:val="SidhuvudUtskott"/>
      </w:rPr>
      <w:instrText xml:space="preserve"> DOCPROPERTY BetänkandeÅr</w:instrText>
    </w:r>
    <w:r w:rsidRPr="00E43670">
      <w:rPr>
        <w:rStyle w:val="SidhuvudUtskott"/>
      </w:rPr>
      <w:fldChar w:fldCharType="separate"/>
    </w:r>
    <w:r w:rsidRPr="00E43670">
      <w:rPr>
        <w:rStyle w:val="SidhuvudUtskott"/>
      </w:rPr>
      <w:instrText>2004/05</w:instrText>
    </w:r>
    <w:r w:rsidRPr="00E43670">
      <w:rPr>
        <w:rStyle w:val="SidhuvudUtskott"/>
      </w:rPr>
      <w:fldChar w:fldCharType="end"/>
    </w:r>
    <w:r w:rsidRPr="00E43670">
      <w:rPr>
        <w:rStyle w:val="SidhuvudUtskott"/>
      </w:rPr>
      <w:instrText>:</w:instrText>
    </w:r>
    <w:r w:rsidRPr="00E43670">
      <w:rPr>
        <w:rStyle w:val="SidhuvudUtskott"/>
      </w:rPr>
      <w:fldChar w:fldCharType="begin" w:fldLock="1"/>
    </w:r>
    <w:r w:rsidRPr="00E43670">
      <w:rPr>
        <w:rStyle w:val="SidhuvudUtskott"/>
      </w:rPr>
      <w:instrText xml:space="preserve"> DOCPROPERTY Utskott</w:instrText>
    </w:r>
    <w:r w:rsidRPr="00E43670">
      <w:rPr>
        <w:rStyle w:val="SidhuvudUtskott"/>
      </w:rPr>
      <w:fldChar w:fldCharType="separate"/>
    </w:r>
    <w:r w:rsidRPr="00E43670">
      <w:rPr>
        <w:rStyle w:val="SidhuvudUtskott"/>
      </w:rPr>
      <w:instrText>NU</w:instrText>
    </w:r>
    <w:r w:rsidRPr="00E43670">
      <w:rPr>
        <w:rStyle w:val="SidhuvudUtskott"/>
      </w:rPr>
      <w:fldChar w:fldCharType="end"/>
    </w:r>
    <w:r w:rsidRPr="00E43670">
      <w:rPr>
        <w:rStyle w:val="SidhuvudUtskott"/>
      </w:rPr>
      <w:fldChar w:fldCharType="begin" w:fldLock="1"/>
    </w:r>
    <w:r w:rsidRPr="00E43670">
      <w:rPr>
        <w:rStyle w:val="SidhuvudUtskott"/>
      </w:rPr>
      <w:instrText xml:space="preserve"> DOCPROPERTY BetänkandeNr</w:instrText>
    </w:r>
    <w:r w:rsidRPr="00E43670">
      <w:rPr>
        <w:rStyle w:val="SidhuvudUtskott"/>
      </w:rPr>
      <w:fldChar w:fldCharType="separate"/>
    </w:r>
    <w:r w:rsidRPr="00E43670">
      <w:rPr>
        <w:rStyle w:val="SidhuvudUtskott"/>
      </w:rPr>
      <w:instrText>1y</w:instrText>
    </w:r>
    <w:r w:rsidRPr="00E43670">
      <w:rPr>
        <w:rStyle w:val="SidhuvudUtskott"/>
      </w:rPr>
      <w:fldChar w:fldCharType="end"/>
    </w:r>
  </w:p>
  <w:p w:rsidR="00BA7A7A" w:rsidRPr="00E43670" w:rsidRDefault="00BA7A7A">
    <w:pPr>
      <w:pStyle w:val="SidhuvudKantUdda"/>
      <w:framePr w:w="8732" w:h="567" w:hRule="exact" w:vSpace="0" w:wrap="around" w:vAnchor="page" w:y="341" w:anchorLock="0"/>
    </w:pPr>
    <w:r w:rsidRPr="00E43670">
      <w:rPr>
        <w:rStyle w:val="SidhuvudUtskott"/>
      </w:rPr>
      <w:fldChar w:fldCharType="begin" w:fldLock="1"/>
    </w:r>
    <w:r w:rsidRPr="00E43670">
      <w:rPr>
        <w:rStyle w:val="SidhuvudUtskott"/>
      </w:rPr>
      <w:instrText xml:space="preserve"> if </w:instrText>
    </w:r>
    <w:r w:rsidRPr="00E43670">
      <w:rPr>
        <w:rStyle w:val="SidhuvudUtskott"/>
      </w:rPr>
      <w:fldChar w:fldCharType="begin" w:fldLock="1"/>
    </w:r>
    <w:r w:rsidRPr="00E43670">
      <w:rPr>
        <w:rStyle w:val="SidhuvudUtskott"/>
      </w:rPr>
      <w:instrText xml:space="preserve"> DOCPROPERTY "UtkastDatum"</w:instrText>
    </w:r>
    <w:r w:rsidRPr="00E43670">
      <w:rPr>
        <w:rStyle w:val="SidhuvudUtskott"/>
      </w:rPr>
      <w:fldChar w:fldCharType="separate"/>
    </w:r>
    <w:r w:rsidRPr="00E43670">
      <w:rPr>
        <w:rStyle w:val="SidhuvudUtskott"/>
      </w:rPr>
      <w:instrText>Nej</w:instrText>
    </w:r>
    <w:r w:rsidRPr="00E43670">
      <w:rPr>
        <w:rStyle w:val="SidhuvudUtskott"/>
      </w:rPr>
      <w:fldChar w:fldCharType="end"/>
    </w:r>
    <w:r w:rsidRPr="00E43670">
      <w:rPr>
        <w:rStyle w:val="SidhuvudUtskott"/>
      </w:rPr>
      <w:instrText xml:space="preserve"> = "Ja" "</w:instrText>
    </w:r>
    <w:r w:rsidRPr="00E43670">
      <w:rPr>
        <w:rStyle w:val="SidhuvudUtskott"/>
      </w:rPr>
      <w:fldChar w:fldCharType="begin" w:fldLock="1"/>
    </w:r>
    <w:r w:rsidRPr="00E43670">
      <w:rPr>
        <w:rStyle w:val="SidhuvudUtskott"/>
      </w:rPr>
      <w:instrText xml:space="preserve"> PRINTDATE \@ "yyyy-MM-dd HH.mm    " </w:instrText>
    </w:r>
    <w:r w:rsidRPr="00E43670">
      <w:rPr>
        <w:rStyle w:val="SidhuvudUtskott"/>
      </w:rPr>
      <w:fldChar w:fldCharType="separate"/>
    </w:r>
    <w:r w:rsidRPr="00E43670">
      <w:rPr>
        <w:rStyle w:val="SidhuvudUtskott"/>
      </w:rPr>
      <w:instrText>2000-08-11 16.42</w:instrText>
    </w:r>
    <w:r w:rsidRPr="00E43670">
      <w:rPr>
        <w:rStyle w:val="SidhuvudUtskott"/>
      </w:rPr>
      <w:fldChar w:fldCharType="end"/>
    </w:r>
    <w:r w:rsidRPr="00E43670">
      <w:rPr>
        <w:rStyle w:val="SidhuvudUtskott"/>
      </w:rPr>
      <w:instrText xml:space="preserve">" </w:instrText>
    </w:r>
    <w:r w:rsidRPr="00E43670">
      <w:rPr>
        <w:rStyle w:val="SidhuvudUtskott"/>
      </w:rPr>
      <w:fldChar w:fldCharType="end"/>
    </w:r>
    <w:r w:rsidRPr="00E43670">
      <w:rPr>
        <w:rStyle w:val="SidhuvudUtskott"/>
      </w:rPr>
      <w:fldChar w:fldCharType="begin" w:fldLock="1"/>
    </w:r>
    <w:r w:rsidRPr="00E43670">
      <w:rPr>
        <w:rStyle w:val="SidhuvudUtskott"/>
      </w:rPr>
      <w:instrText xml:space="preserve"> DOCPR</w:instrText>
    </w:r>
    <w:r w:rsidRPr="00E43670">
      <w:rPr>
        <w:rStyle w:val="SidhuvudUtskott"/>
      </w:rPr>
      <w:instrText>O</w:instrText>
    </w:r>
    <w:r w:rsidRPr="00E43670">
      <w:rPr>
        <w:rStyle w:val="SidhuvudUtskott"/>
      </w:rPr>
      <w:instrText>PERTY Status</w:instrText>
    </w:r>
    <w:r w:rsidRPr="00E43670">
      <w:rPr>
        <w:rStyle w:val="SidhuvudUtskott"/>
      </w:rPr>
      <w:fldChar w:fldCharType="separate"/>
    </w:r>
    <w:r w:rsidRPr="00E43670">
      <w:rPr>
        <w:rStyle w:val="SidhuvudUtskott"/>
      </w:rPr>
      <w:instrText>Utkast</w:instrText>
    </w:r>
    <w:r w:rsidRPr="00E43670">
      <w:rPr>
        <w:rStyle w:val="SidhuvudUtskott"/>
      </w:rPr>
      <w:fldChar w:fldCharType="end"/>
    </w:r>
    <w:r w:rsidRPr="00E43670">
      <w:instrText>"</w:instrText>
    </w:r>
    <w:r w:rsidRPr="00E43670">
      <w:fldChar w:fldCharType="separate"/>
    </w:r>
    <w:r w:rsidRPr="00E43670">
      <w:instrText xml:space="preserve">  </w:instrText>
    </w:r>
    <w:r w:rsidRPr="00E43670">
      <w:rPr>
        <w:rStyle w:val="SidhuvudUtskott"/>
      </w:rPr>
      <w:instrText>2004/05:NU1y</w:instrText>
    </w:r>
  </w:p>
  <w:p w:rsidR="00BA7A7A" w:rsidRPr="00E43670" w:rsidRDefault="00BA7A7A">
    <w:pPr>
      <w:pStyle w:val="SidhuvudKantUdda"/>
      <w:framePr w:w="8732" w:h="567" w:hRule="exact" w:vSpace="0" w:wrap="around" w:vAnchor="page" w:y="341" w:anchorLock="0"/>
    </w:pPr>
    <w:r w:rsidRPr="00E43670">
      <w:rPr>
        <w:rStyle w:val="SidhuvudUtskott"/>
      </w:rPr>
      <w:instrText>Utkast</w:instrText>
    </w:r>
    <w:r w:rsidRPr="00E43670">
      <w:fldChar w:fldCharType="end"/>
    </w:r>
    <w:r w:rsidRPr="00E43670">
      <w:instrText>" " "</w:instrText>
    </w:r>
    <w:r w:rsidR="00C22C27" w:rsidRPr="00E43670">
      <w:fldChar w:fldCharType="separate"/>
    </w:r>
    <w:r w:rsidR="00E43670" w:rsidRPr="00E43670">
      <w:rPr>
        <w:noProof/>
      </w:rPr>
      <w:t xml:space="preserve"> </w:t>
    </w:r>
    <w:r w:rsidRPr="00E43670">
      <w:fldChar w:fldCharType="end"/>
    </w:r>
  </w:p>
  <w:p w:rsidR="00BA7A7A" w:rsidRPr="00E43670" w:rsidRDefault="00BA7A7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huvudKantJmn"/>
      <w:framePr w:w="8732" w:h="567" w:hRule="exact" w:vSpace="0" w:wrap="around" w:vAnchor="page" w:y="341" w:anchorLock="0"/>
    </w:pPr>
    <w:r w:rsidRPr="00E43670">
      <w:rPr>
        <w:rStyle w:val="SidhuvudUtskott"/>
      </w:rPr>
      <w:t>2004/05:NU1y</w:t>
    </w:r>
    <w:r w:rsidRPr="00E43670">
      <w:t xml:space="preserve">     </w:t>
    </w:r>
    <w:r w:rsidRPr="00E43670">
      <w:rPr>
        <w:rStyle w:val="SidhuvudBilaga"/>
      </w:rPr>
      <w:t xml:space="preserve"> </w:t>
    </w:r>
  </w:p>
  <w:p w:rsidR="00BA7A7A" w:rsidRPr="00E43670" w:rsidRDefault="00BA7A7A">
    <w:pPr>
      <w:pStyle w:val="SidhuvudKantJmn"/>
      <w:framePr w:w="8732" w:h="567" w:hRule="exact" w:vSpace="0" w:wrap="around" w:vAnchor="page" w:y="341" w:anchorLock="0"/>
    </w:pPr>
  </w:p>
  <w:p w:rsidR="00BA7A7A" w:rsidRPr="00E43670" w:rsidRDefault="00BA7A7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huvudKantUdda"/>
      <w:framePr w:w="8732" w:h="567" w:hRule="exact" w:vSpace="0" w:wrap="around" w:vAnchor="page" w:y="341" w:anchorLock="0"/>
    </w:pPr>
    <w:r w:rsidRPr="00E43670">
      <w:rPr>
        <w:rStyle w:val="SidhuvudBilaga"/>
      </w:rPr>
      <w:t xml:space="preserve"> </w:t>
    </w:r>
    <w:r w:rsidRPr="00E43670">
      <w:t xml:space="preserve">     </w:t>
    </w:r>
    <w:r w:rsidRPr="00E43670">
      <w:rPr>
        <w:rStyle w:val="SidhuvudUtskott"/>
      </w:rPr>
      <w:t>2004/05:NU1y</w:t>
    </w:r>
  </w:p>
  <w:p w:rsidR="00BA7A7A" w:rsidRPr="00E43670" w:rsidRDefault="00BA7A7A">
    <w:pPr>
      <w:pStyle w:val="SidhuvudKantUdda"/>
      <w:framePr w:w="8732" w:h="567" w:hRule="exact" w:vSpace="0" w:wrap="around" w:vAnchor="page" w:y="341" w:anchorLock="0"/>
    </w:pPr>
  </w:p>
  <w:p w:rsidR="00BA7A7A" w:rsidRPr="00E43670" w:rsidRDefault="00BA7A7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C27" w:rsidRPr="00E43670" w:rsidRDefault="00C22C27">
    <w:pPr>
      <w:pStyle w:val="SidhuvudKantJmn"/>
      <w:framePr w:w="8732" w:h="567" w:hRule="exact" w:vSpace="0" w:wrap="around" w:vAnchor="page" w:y="341" w:anchorLock="0"/>
    </w:pPr>
    <w:r w:rsidRPr="00E43670">
      <w:rPr>
        <w:rStyle w:val="SidhuvudUtskott"/>
      </w:rPr>
      <w:t>2004/05:NU1y</w:t>
    </w:r>
    <w:r w:rsidRPr="00E43670">
      <w:t xml:space="preserve">    </w:t>
    </w:r>
  </w:p>
  <w:p w:rsidR="00C22C27" w:rsidRPr="00E43670" w:rsidRDefault="00C22C27">
    <w:pPr>
      <w:pStyle w:val="SidhuvudKantJmn"/>
      <w:framePr w:w="8732" w:h="567" w:hRule="exact" w:vSpace="0" w:wrap="around" w:vAnchor="page" w:y="341" w:anchorLock="0"/>
    </w:pPr>
  </w:p>
  <w:p w:rsidR="00BA7A7A" w:rsidRPr="00E43670" w:rsidRDefault="00C22C27">
    <w:pPr>
      <w:pStyle w:val="SidhuvudKantUdda"/>
      <w:framePr w:w="8732" w:h="567" w:hRule="exact" w:vSpace="0" w:wrap="around" w:vAnchor="page" w:y="341" w:anchorLock="0"/>
    </w:pPr>
    <w:r w:rsidRPr="00E43670">
      <w:rPr>
        <w:rStyle w:val="SidhuvudRubrikReferens"/>
        <w:smallCaps w:val="0"/>
      </w:rPr>
      <w:t xml:space="preserve"> </w:t>
    </w:r>
  </w:p>
  <w:p w:rsidR="00BA7A7A" w:rsidRPr="00E43670" w:rsidRDefault="00BA7A7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huvudKantJmn"/>
      <w:framePr w:w="8732" w:h="567" w:hRule="exact" w:vSpace="0" w:wrap="around" w:vAnchor="page" w:y="341" w:anchorLock="0"/>
    </w:pPr>
    <w:r w:rsidRPr="00E43670">
      <w:rPr>
        <w:rStyle w:val="SidhuvudUtskott"/>
      </w:rPr>
      <w:fldChar w:fldCharType="begin" w:fldLock="1"/>
    </w:r>
    <w:r w:rsidRPr="00E43670">
      <w:rPr>
        <w:rStyle w:val="SidhuvudUtskott"/>
      </w:rPr>
      <w:instrText xml:space="preserve"> DOCPROPERTY BetänkandeÅr</w:instrText>
    </w:r>
    <w:r w:rsidRPr="00E43670">
      <w:rPr>
        <w:rStyle w:val="SidhuvudUtskott"/>
      </w:rPr>
      <w:fldChar w:fldCharType="separate"/>
    </w:r>
    <w:r w:rsidRPr="00E43670">
      <w:rPr>
        <w:rStyle w:val="SidhuvudUtskott"/>
      </w:rPr>
      <w:t>2004/05</w:t>
    </w:r>
    <w:r w:rsidRPr="00E43670">
      <w:rPr>
        <w:rStyle w:val="SidhuvudUtskott"/>
      </w:rPr>
      <w:fldChar w:fldCharType="end"/>
    </w:r>
    <w:r w:rsidRPr="00E43670">
      <w:rPr>
        <w:rStyle w:val="SidhuvudUtskott"/>
      </w:rPr>
      <w:t>:</w:t>
    </w:r>
    <w:r w:rsidRPr="00E43670">
      <w:rPr>
        <w:rStyle w:val="SidhuvudUtskott"/>
      </w:rPr>
      <w:fldChar w:fldCharType="begin" w:fldLock="1"/>
    </w:r>
    <w:r w:rsidRPr="00E43670">
      <w:rPr>
        <w:rStyle w:val="SidhuvudUtskott"/>
      </w:rPr>
      <w:instrText xml:space="preserve"> DOCPROPERTY Utskott</w:instrText>
    </w:r>
    <w:r w:rsidRPr="00E43670">
      <w:rPr>
        <w:rStyle w:val="SidhuvudUtskott"/>
      </w:rPr>
      <w:fldChar w:fldCharType="separate"/>
    </w:r>
    <w:r w:rsidRPr="00E43670">
      <w:rPr>
        <w:rStyle w:val="SidhuvudUtskott"/>
      </w:rPr>
      <w:t>NU</w:t>
    </w:r>
    <w:r w:rsidRPr="00E43670">
      <w:rPr>
        <w:rStyle w:val="SidhuvudUtskott"/>
      </w:rPr>
      <w:fldChar w:fldCharType="end"/>
    </w:r>
    <w:r w:rsidRPr="00E43670">
      <w:rPr>
        <w:rStyle w:val="SidhuvudUtskott"/>
      </w:rPr>
      <w:fldChar w:fldCharType="begin" w:fldLock="1"/>
    </w:r>
    <w:r w:rsidRPr="00E43670">
      <w:rPr>
        <w:rStyle w:val="SidhuvudUtskott"/>
      </w:rPr>
      <w:instrText xml:space="preserve"> DOCPROPERTY BetänkandeNr</w:instrText>
    </w:r>
    <w:r w:rsidRPr="00E43670">
      <w:rPr>
        <w:rStyle w:val="SidhuvudUtskott"/>
      </w:rPr>
      <w:fldChar w:fldCharType="separate"/>
    </w:r>
    <w:r w:rsidRPr="00E43670">
      <w:rPr>
        <w:rStyle w:val="SidhuvudUtskott"/>
      </w:rPr>
      <w:t>1y</w:t>
    </w:r>
    <w:r w:rsidRPr="00E43670">
      <w:rPr>
        <w:rStyle w:val="SidhuvudUtskott"/>
      </w:rPr>
      <w:fldChar w:fldCharType="end"/>
    </w:r>
    <w:r w:rsidRPr="00E43670">
      <w:t xml:space="preserve">     </w:t>
    </w:r>
    <w:r w:rsidRPr="00E43670">
      <w:rPr>
        <w:rStyle w:val="SidhuvudBilaga"/>
      </w:rPr>
      <w:t xml:space="preserve"> Bilaga   </w:t>
    </w:r>
    <w:r w:rsidRPr="00E43670">
      <w:rPr>
        <w:rStyle w:val="SidhuvudRubrikReferens"/>
      </w:rPr>
      <w:fldChar w:fldCharType="begin" w:fldLock="1"/>
    </w:r>
    <w:r w:rsidRPr="00E43670">
      <w:rPr>
        <w:rStyle w:val="SidhuvudRubrikReferens"/>
      </w:rPr>
      <w:instrText xml:space="preserve"> StyleREF "Rubrik 1" </w:instrText>
    </w:r>
    <w:r w:rsidRPr="00E43670">
      <w:rPr>
        <w:rStyle w:val="SidhuvudRubrikReferens"/>
      </w:rPr>
      <w:fldChar w:fldCharType="end"/>
    </w:r>
  </w:p>
  <w:p w:rsidR="00BA7A7A" w:rsidRPr="00E43670" w:rsidRDefault="00BA7A7A">
    <w:pPr>
      <w:pStyle w:val="SidhuvudKantJmn"/>
      <w:framePr w:w="8732" w:h="567" w:hRule="exact" w:vSpace="0" w:wrap="around" w:vAnchor="page" w:y="341" w:anchorLock="0"/>
    </w:pPr>
    <w:r w:rsidRPr="00E43670">
      <w:rPr>
        <w:rStyle w:val="SidhuvudUtskott"/>
      </w:rPr>
      <w:fldChar w:fldCharType="begin" w:fldLock="1"/>
    </w:r>
    <w:r w:rsidRPr="00E43670">
      <w:rPr>
        <w:rStyle w:val="SidhuvudUtskott"/>
      </w:rPr>
      <w:instrText xml:space="preserve"> DOCPROPERTY Status</w:instrText>
    </w:r>
    <w:r w:rsidRPr="00E43670">
      <w:rPr>
        <w:rStyle w:val="SidhuvudUtskott"/>
      </w:rPr>
      <w:fldChar w:fldCharType="end"/>
    </w:r>
    <w:r w:rsidRPr="00E43670">
      <w:rPr>
        <w:rStyle w:val="SidhuvudUtskott"/>
      </w:rPr>
      <w:fldChar w:fldCharType="begin" w:fldLock="1"/>
    </w:r>
    <w:r w:rsidRPr="00E43670">
      <w:rPr>
        <w:rStyle w:val="SidhuvudUtskott"/>
      </w:rPr>
      <w:instrText xml:space="preserve"> if </w:instrText>
    </w:r>
    <w:r w:rsidRPr="00E43670">
      <w:rPr>
        <w:rStyle w:val="SidhuvudUtskott"/>
      </w:rPr>
      <w:fldChar w:fldCharType="begin" w:fldLock="1"/>
    </w:r>
    <w:r w:rsidRPr="00E43670">
      <w:rPr>
        <w:rStyle w:val="SidhuvudUtskott"/>
      </w:rPr>
      <w:instrText xml:space="preserve"> DOCPROPERTY "UtkastDatum"</w:instrText>
    </w:r>
    <w:r w:rsidRPr="00E43670">
      <w:rPr>
        <w:rStyle w:val="SidhuvudUtskott"/>
      </w:rPr>
      <w:fldChar w:fldCharType="separate"/>
    </w:r>
    <w:r w:rsidRPr="00E43670">
      <w:rPr>
        <w:rStyle w:val="SidhuvudUtskott"/>
      </w:rPr>
      <w:instrText>Nej</w:instrText>
    </w:r>
    <w:r w:rsidRPr="00E43670">
      <w:rPr>
        <w:rStyle w:val="SidhuvudUtskott"/>
      </w:rPr>
      <w:fldChar w:fldCharType="end"/>
    </w:r>
    <w:r w:rsidRPr="00E43670">
      <w:rPr>
        <w:rStyle w:val="SidhuvudUtskott"/>
      </w:rPr>
      <w:instrText xml:space="preserve"> = "Ja" "    </w:instrText>
    </w:r>
    <w:r w:rsidRPr="00E43670">
      <w:rPr>
        <w:rStyle w:val="SidhuvudUtskott"/>
      </w:rPr>
      <w:fldChar w:fldCharType="begin" w:fldLock="1"/>
    </w:r>
    <w:r w:rsidRPr="00E43670">
      <w:rPr>
        <w:rStyle w:val="SidhuvudUtskott"/>
      </w:rPr>
      <w:instrText xml:space="preserve"> PRINTDATE \@ "yyyy-MM-dd HH.mm" </w:instrText>
    </w:r>
    <w:r w:rsidRPr="00E43670">
      <w:rPr>
        <w:rStyle w:val="SidhuvudUtskott"/>
      </w:rPr>
      <w:fldChar w:fldCharType="separate"/>
    </w:r>
    <w:r w:rsidRPr="00E43670">
      <w:rPr>
        <w:rStyle w:val="SidhuvudUtskott"/>
      </w:rPr>
      <w:instrText>2000-08-11 16.42</w:instrText>
    </w:r>
    <w:r w:rsidRPr="00E43670">
      <w:rPr>
        <w:rStyle w:val="SidhuvudUtskott"/>
      </w:rPr>
      <w:fldChar w:fldCharType="end"/>
    </w:r>
    <w:r w:rsidRPr="00E43670">
      <w:rPr>
        <w:rStyle w:val="SidhuvudUtskott"/>
      </w:rPr>
      <w:instrText xml:space="preserve">" </w:instrText>
    </w:r>
    <w:r w:rsidRPr="00E43670">
      <w:rPr>
        <w:rStyle w:val="SidhuvudUtskott"/>
      </w:rPr>
      <w:fldChar w:fldCharType="end"/>
    </w:r>
  </w:p>
  <w:p w:rsidR="00BA7A7A" w:rsidRPr="00E43670" w:rsidRDefault="00BA7A7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huvudKantUdda"/>
      <w:framePr w:w="8732" w:h="567" w:hRule="exact" w:vSpace="0" w:wrap="around" w:vAnchor="page" w:y="341" w:anchorLock="0"/>
    </w:pPr>
    <w:r w:rsidRPr="00E43670">
      <w:rPr>
        <w:rStyle w:val="SidhuvudRubrikReferens"/>
      </w:rPr>
      <w:fldChar w:fldCharType="begin" w:fldLock="1"/>
    </w:r>
    <w:r w:rsidRPr="00E43670">
      <w:rPr>
        <w:rStyle w:val="SidhuvudRubrikReferens"/>
      </w:rPr>
      <w:instrText xml:space="preserve"> StyleREF "Rubrik 1" </w:instrText>
    </w:r>
    <w:r w:rsidRPr="00E43670">
      <w:rPr>
        <w:rStyle w:val="SidhuvudRubrikReferens"/>
      </w:rPr>
      <w:fldChar w:fldCharType="end"/>
    </w:r>
    <w:r w:rsidRPr="00E43670">
      <w:rPr>
        <w:rStyle w:val="SidhuvudBilaga"/>
      </w:rPr>
      <w:t xml:space="preserve">   Bilaga </w:t>
    </w:r>
    <w:r w:rsidRPr="00E43670">
      <w:t xml:space="preserve">     </w:t>
    </w:r>
    <w:r w:rsidRPr="00E43670">
      <w:rPr>
        <w:rStyle w:val="SidhuvudUtskott"/>
      </w:rPr>
      <w:fldChar w:fldCharType="begin" w:fldLock="1"/>
    </w:r>
    <w:r w:rsidRPr="00E43670">
      <w:rPr>
        <w:rStyle w:val="SidhuvudUtskott"/>
      </w:rPr>
      <w:instrText xml:space="preserve"> DOCPROPERTY BetänkandeÅr</w:instrText>
    </w:r>
    <w:r w:rsidRPr="00E43670">
      <w:rPr>
        <w:rStyle w:val="SidhuvudUtskott"/>
      </w:rPr>
      <w:fldChar w:fldCharType="separate"/>
    </w:r>
    <w:r w:rsidRPr="00E43670">
      <w:rPr>
        <w:rStyle w:val="SidhuvudUtskott"/>
      </w:rPr>
      <w:t>2004/05</w:t>
    </w:r>
    <w:r w:rsidRPr="00E43670">
      <w:rPr>
        <w:rStyle w:val="SidhuvudUtskott"/>
      </w:rPr>
      <w:fldChar w:fldCharType="end"/>
    </w:r>
    <w:r w:rsidRPr="00E43670">
      <w:rPr>
        <w:rStyle w:val="SidhuvudUtskott"/>
      </w:rPr>
      <w:t>:</w:t>
    </w:r>
    <w:r w:rsidRPr="00E43670">
      <w:rPr>
        <w:rStyle w:val="SidhuvudUtskott"/>
      </w:rPr>
      <w:fldChar w:fldCharType="begin" w:fldLock="1"/>
    </w:r>
    <w:r w:rsidRPr="00E43670">
      <w:rPr>
        <w:rStyle w:val="SidhuvudUtskott"/>
      </w:rPr>
      <w:instrText xml:space="preserve"> DOCPROPERTY</w:instrText>
    </w:r>
    <w:r w:rsidRPr="00E43670">
      <w:instrText xml:space="preserve"> </w:instrText>
    </w:r>
    <w:r w:rsidRPr="00E43670">
      <w:rPr>
        <w:rStyle w:val="SidhuvudUtskott"/>
      </w:rPr>
      <w:instrText>Utskott</w:instrText>
    </w:r>
    <w:r w:rsidRPr="00E43670">
      <w:rPr>
        <w:rStyle w:val="SidhuvudUtskott"/>
      </w:rPr>
      <w:fldChar w:fldCharType="separate"/>
    </w:r>
    <w:r w:rsidRPr="00E43670">
      <w:rPr>
        <w:rStyle w:val="SidhuvudUtskott"/>
      </w:rPr>
      <w:t>NU</w:t>
    </w:r>
    <w:r w:rsidRPr="00E43670">
      <w:rPr>
        <w:rStyle w:val="SidhuvudUtskott"/>
      </w:rPr>
      <w:fldChar w:fldCharType="end"/>
    </w:r>
    <w:r w:rsidRPr="00E43670">
      <w:rPr>
        <w:rStyle w:val="SidhuvudUtskott"/>
      </w:rPr>
      <w:fldChar w:fldCharType="begin" w:fldLock="1"/>
    </w:r>
    <w:r w:rsidRPr="00E43670">
      <w:rPr>
        <w:rStyle w:val="SidhuvudUtskott"/>
      </w:rPr>
      <w:instrText xml:space="preserve"> DO</w:instrText>
    </w:r>
    <w:r w:rsidRPr="00E43670">
      <w:rPr>
        <w:rStyle w:val="SidhuvudUtskott"/>
      </w:rPr>
      <w:instrText>C</w:instrText>
    </w:r>
    <w:r w:rsidRPr="00E43670">
      <w:rPr>
        <w:rStyle w:val="SidhuvudUtskott"/>
      </w:rPr>
      <w:instrText>PROPERTY Betä</w:instrText>
    </w:r>
    <w:r w:rsidRPr="00E43670">
      <w:rPr>
        <w:rStyle w:val="SidhuvudUtskott"/>
      </w:rPr>
      <w:instrText>n</w:instrText>
    </w:r>
    <w:r w:rsidRPr="00E43670">
      <w:rPr>
        <w:rStyle w:val="SidhuvudUtskott"/>
      </w:rPr>
      <w:instrText>kandeNr</w:instrText>
    </w:r>
    <w:r w:rsidRPr="00E43670">
      <w:rPr>
        <w:rStyle w:val="SidhuvudUtskott"/>
      </w:rPr>
      <w:fldChar w:fldCharType="separate"/>
    </w:r>
    <w:r w:rsidRPr="00E43670">
      <w:rPr>
        <w:rStyle w:val="SidhuvudUtskott"/>
      </w:rPr>
      <w:t>1y</w:t>
    </w:r>
    <w:r w:rsidRPr="00E43670">
      <w:rPr>
        <w:rStyle w:val="SidhuvudUtskott"/>
      </w:rPr>
      <w:fldChar w:fldCharType="end"/>
    </w:r>
  </w:p>
  <w:p w:rsidR="00BA7A7A" w:rsidRPr="00E43670" w:rsidRDefault="00BA7A7A">
    <w:pPr>
      <w:pStyle w:val="SidhuvudKantUdda"/>
      <w:framePr w:w="8732" w:h="567" w:hRule="exact" w:vSpace="0" w:wrap="around" w:vAnchor="page" w:y="341" w:anchorLock="0"/>
    </w:pPr>
    <w:r w:rsidRPr="00E43670">
      <w:rPr>
        <w:rStyle w:val="SidhuvudUtskott"/>
      </w:rPr>
      <w:fldChar w:fldCharType="begin" w:fldLock="1"/>
    </w:r>
    <w:r w:rsidRPr="00E43670">
      <w:rPr>
        <w:rStyle w:val="SidhuvudUtskott"/>
      </w:rPr>
      <w:instrText xml:space="preserve"> if </w:instrText>
    </w:r>
    <w:r w:rsidRPr="00E43670">
      <w:rPr>
        <w:rStyle w:val="SidhuvudUtskott"/>
      </w:rPr>
      <w:fldChar w:fldCharType="begin" w:fldLock="1"/>
    </w:r>
    <w:r w:rsidRPr="00E43670">
      <w:rPr>
        <w:rStyle w:val="SidhuvudUtskott"/>
      </w:rPr>
      <w:instrText xml:space="preserve"> DOCPROPERTY "UtkastDatum"</w:instrText>
    </w:r>
    <w:r w:rsidRPr="00E43670">
      <w:rPr>
        <w:rStyle w:val="SidhuvudUtskott"/>
      </w:rPr>
      <w:fldChar w:fldCharType="separate"/>
    </w:r>
    <w:r w:rsidRPr="00E43670">
      <w:rPr>
        <w:rStyle w:val="SidhuvudUtskott"/>
      </w:rPr>
      <w:instrText>Nej</w:instrText>
    </w:r>
    <w:r w:rsidRPr="00E43670">
      <w:rPr>
        <w:rStyle w:val="SidhuvudUtskott"/>
      </w:rPr>
      <w:fldChar w:fldCharType="end"/>
    </w:r>
    <w:r w:rsidRPr="00E43670">
      <w:rPr>
        <w:rStyle w:val="SidhuvudUtskott"/>
      </w:rPr>
      <w:instrText xml:space="preserve"> = "Ja" "</w:instrText>
    </w:r>
    <w:r w:rsidRPr="00E43670">
      <w:rPr>
        <w:rStyle w:val="SidhuvudUtskott"/>
      </w:rPr>
      <w:fldChar w:fldCharType="begin" w:fldLock="1"/>
    </w:r>
    <w:r w:rsidRPr="00E43670">
      <w:rPr>
        <w:rStyle w:val="SidhuvudUtskott"/>
      </w:rPr>
      <w:instrText xml:space="preserve"> PRINTDATE \@ "yyyy-MM-dd HH.mm    " </w:instrText>
    </w:r>
    <w:r w:rsidRPr="00E43670">
      <w:rPr>
        <w:rStyle w:val="SidhuvudUtskott"/>
      </w:rPr>
      <w:fldChar w:fldCharType="separate"/>
    </w:r>
    <w:r w:rsidRPr="00E43670">
      <w:rPr>
        <w:rStyle w:val="SidhuvudUtskott"/>
      </w:rPr>
      <w:instrText>2000-08-11 16.42</w:instrText>
    </w:r>
    <w:r w:rsidRPr="00E43670">
      <w:rPr>
        <w:rStyle w:val="SidhuvudUtskott"/>
      </w:rPr>
      <w:fldChar w:fldCharType="end"/>
    </w:r>
    <w:r w:rsidRPr="00E43670">
      <w:rPr>
        <w:rStyle w:val="SidhuvudUtskott"/>
      </w:rPr>
      <w:instrText xml:space="preserve">" </w:instrText>
    </w:r>
    <w:r w:rsidRPr="00E43670">
      <w:rPr>
        <w:rStyle w:val="SidhuvudUtskott"/>
      </w:rPr>
      <w:fldChar w:fldCharType="end"/>
    </w:r>
    <w:r w:rsidRPr="00E43670">
      <w:rPr>
        <w:rStyle w:val="SidhuvudUtskott"/>
      </w:rPr>
      <w:fldChar w:fldCharType="begin" w:fldLock="1"/>
    </w:r>
    <w:r w:rsidRPr="00E43670">
      <w:rPr>
        <w:rStyle w:val="SidhuvudUtskott"/>
      </w:rPr>
      <w:instrText xml:space="preserve"> DOCPR</w:instrText>
    </w:r>
    <w:r w:rsidRPr="00E43670">
      <w:rPr>
        <w:rStyle w:val="SidhuvudUtskott"/>
      </w:rPr>
      <w:instrText>O</w:instrText>
    </w:r>
    <w:r w:rsidRPr="00E43670">
      <w:rPr>
        <w:rStyle w:val="SidhuvudUtskott"/>
      </w:rPr>
      <w:instrText>PERTY Status</w:instrText>
    </w:r>
    <w:r w:rsidRPr="00E43670">
      <w:rPr>
        <w:rStyle w:val="SidhuvudUtskott"/>
      </w:rPr>
      <w:fldChar w:fldCharType="end"/>
    </w:r>
  </w:p>
  <w:p w:rsidR="00BA7A7A" w:rsidRPr="00E43670" w:rsidRDefault="00BA7A7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A7A" w:rsidRPr="00E43670" w:rsidRDefault="00BA7A7A">
    <w:pPr>
      <w:pStyle w:val="SidhuvudKantJmn"/>
      <w:framePr w:w="8732" w:h="567" w:hRule="exact" w:vSpace="0" w:wrap="around" w:vAnchor="page" w:y="341" w:anchorLock="0"/>
    </w:pPr>
    <w:r w:rsidRPr="00E43670">
      <w:fldChar w:fldCharType="begin" w:fldLock="1"/>
    </w:r>
    <w:r w:rsidRPr="00E43670">
      <w:instrText xml:space="preserve"> if </w:instrText>
    </w:r>
    <w:r w:rsidRPr="00E43670">
      <w:fldChar w:fldCharType="begin" w:fldLock="1"/>
    </w:r>
    <w:r w:rsidRPr="00E43670">
      <w:instrText xml:space="preserve"> page</w:instrText>
    </w:r>
    <w:r w:rsidRPr="00E43670">
      <w:fldChar w:fldCharType="separate"/>
    </w:r>
    <w:r w:rsidR="00C22C27" w:rsidRPr="00E43670">
      <w:instrText>53</w:instrText>
    </w:r>
    <w:r w:rsidRPr="00E43670">
      <w:fldChar w:fldCharType="end"/>
    </w:r>
    <w:r w:rsidRPr="00E43670">
      <w:instrText xml:space="preserve"> &gt; 1 "</w:instrText>
    </w:r>
    <w:r w:rsidRPr="00E43670">
      <w:fldChar w:fldCharType="begin" w:fldLock="1"/>
    </w:r>
    <w:r w:rsidRPr="00E43670">
      <w:instrText xml:space="preserve"> if </w:instrText>
    </w:r>
    <w:r w:rsidRPr="00E43670">
      <w:fldChar w:fldCharType="begin" w:fldLock="1"/>
    </w:r>
    <w:r w:rsidRPr="00E43670">
      <w:instrText xml:space="preserve"> = </w:instrText>
    </w:r>
    <w:r w:rsidRPr="00E43670">
      <w:fldChar w:fldCharType="begin" w:fldLock="1"/>
    </w:r>
    <w:r w:rsidRPr="00E43670">
      <w:instrText xml:space="preserve"> = </w:instrText>
    </w:r>
    <w:r w:rsidRPr="00E43670">
      <w:fldChar w:fldCharType="begin" w:fldLock="1"/>
    </w:r>
    <w:r w:rsidRPr="00E43670">
      <w:instrText xml:space="preserve"> page</w:instrText>
    </w:r>
    <w:r w:rsidRPr="00E43670">
      <w:fldChar w:fldCharType="separate"/>
    </w:r>
    <w:r w:rsidR="00C22C27" w:rsidRPr="00E43670">
      <w:instrText>53</w:instrText>
    </w:r>
    <w:r w:rsidRPr="00E43670">
      <w:fldChar w:fldCharType="end"/>
    </w:r>
    <w:r w:rsidRPr="00E43670">
      <w:instrText xml:space="preserve">/2 </w:instrText>
    </w:r>
    <w:r w:rsidRPr="00E43670">
      <w:fldChar w:fldCharType="separate"/>
    </w:r>
    <w:r w:rsidR="00C22C27" w:rsidRPr="00E43670">
      <w:instrText>26,5</w:instrText>
    </w:r>
    <w:r w:rsidRPr="00E43670">
      <w:fldChar w:fldCharType="end"/>
    </w:r>
    <w:r w:rsidRPr="00E43670">
      <w:instrText xml:space="preserve"> - </w:instrText>
    </w:r>
    <w:r w:rsidRPr="00E43670">
      <w:fldChar w:fldCharType="begin" w:fldLock="1"/>
    </w:r>
    <w:r w:rsidRPr="00E43670">
      <w:instrText xml:space="preserve"> = int(</w:instrText>
    </w:r>
    <w:r w:rsidRPr="00E43670">
      <w:fldChar w:fldCharType="begin" w:fldLock="1"/>
    </w:r>
    <w:r w:rsidRPr="00E43670">
      <w:instrText xml:space="preserve"> page</w:instrText>
    </w:r>
    <w:r w:rsidRPr="00E43670">
      <w:fldChar w:fldCharType="separate"/>
    </w:r>
    <w:r w:rsidR="00C22C27" w:rsidRPr="00E43670">
      <w:instrText>53</w:instrText>
    </w:r>
    <w:r w:rsidRPr="00E43670">
      <w:fldChar w:fldCharType="end"/>
    </w:r>
    <w:r w:rsidRPr="00E43670">
      <w:instrText xml:space="preserve">/2) </w:instrText>
    </w:r>
    <w:r w:rsidRPr="00E43670">
      <w:fldChar w:fldCharType="separate"/>
    </w:r>
    <w:r w:rsidR="00C22C27" w:rsidRPr="00E43670">
      <w:instrText>26</w:instrText>
    </w:r>
    <w:r w:rsidRPr="00E43670">
      <w:fldChar w:fldCharType="end"/>
    </w:r>
    <w:r w:rsidRPr="00E43670">
      <w:fldChar w:fldCharType="separate"/>
    </w:r>
    <w:r w:rsidR="00C22C27" w:rsidRPr="00E43670">
      <w:instrText>0,5</w:instrText>
    </w:r>
    <w:r w:rsidRPr="00E43670">
      <w:fldChar w:fldCharType="end"/>
    </w:r>
    <w:r w:rsidRPr="00E43670">
      <w:instrText xml:space="preserve"> = 0 "</w:instrText>
    </w:r>
    <w:r w:rsidRPr="00E43670">
      <w:rPr>
        <w:rStyle w:val="SidhuvudUtskott"/>
      </w:rPr>
      <w:fldChar w:fldCharType="begin" w:fldLock="1"/>
    </w:r>
    <w:r w:rsidRPr="00E43670">
      <w:rPr>
        <w:rStyle w:val="SidhuvudUtskott"/>
      </w:rPr>
      <w:instrText xml:space="preserve"> DOCPROPERTY BetänkandeÅr</w:instrText>
    </w:r>
    <w:r w:rsidRPr="00E43670">
      <w:rPr>
        <w:rStyle w:val="SidhuvudUtskott"/>
      </w:rPr>
      <w:fldChar w:fldCharType="separate"/>
    </w:r>
    <w:r w:rsidRPr="00E43670">
      <w:rPr>
        <w:rStyle w:val="SidhuvudUtskott"/>
      </w:rPr>
      <w:instrText>2004/05</w:instrText>
    </w:r>
    <w:r w:rsidRPr="00E43670">
      <w:rPr>
        <w:rStyle w:val="SidhuvudUtskott"/>
      </w:rPr>
      <w:fldChar w:fldCharType="end"/>
    </w:r>
    <w:r w:rsidRPr="00E43670">
      <w:rPr>
        <w:rStyle w:val="SidhuvudUtskott"/>
      </w:rPr>
      <w:instrText>:</w:instrText>
    </w:r>
    <w:r w:rsidRPr="00E43670">
      <w:rPr>
        <w:rStyle w:val="SidhuvudUtskott"/>
      </w:rPr>
      <w:fldChar w:fldCharType="begin" w:fldLock="1"/>
    </w:r>
    <w:r w:rsidRPr="00E43670">
      <w:rPr>
        <w:rStyle w:val="SidhuvudUtskott"/>
      </w:rPr>
      <w:instrText xml:space="preserve"> DOCPR</w:instrText>
    </w:r>
    <w:r w:rsidRPr="00E43670">
      <w:rPr>
        <w:rStyle w:val="SidhuvudUtskott"/>
      </w:rPr>
      <w:instrText>O</w:instrText>
    </w:r>
    <w:r w:rsidRPr="00E43670">
      <w:rPr>
        <w:rStyle w:val="SidhuvudUtskott"/>
      </w:rPr>
      <w:instrText>PERTY Utskott</w:instrText>
    </w:r>
    <w:r w:rsidRPr="00E43670">
      <w:rPr>
        <w:rStyle w:val="SidhuvudUtskott"/>
      </w:rPr>
      <w:fldChar w:fldCharType="separate"/>
    </w:r>
    <w:r w:rsidRPr="00E43670">
      <w:rPr>
        <w:rStyle w:val="SidhuvudUtskott"/>
      </w:rPr>
      <w:instrText>NU</w:instrText>
    </w:r>
    <w:r w:rsidRPr="00E43670">
      <w:rPr>
        <w:rStyle w:val="SidhuvudUtskott"/>
      </w:rPr>
      <w:fldChar w:fldCharType="end"/>
    </w:r>
    <w:r w:rsidRPr="00E43670">
      <w:rPr>
        <w:rStyle w:val="SidhuvudUtskott"/>
      </w:rPr>
      <w:fldChar w:fldCharType="begin" w:fldLock="1"/>
    </w:r>
    <w:r w:rsidRPr="00E43670">
      <w:rPr>
        <w:rStyle w:val="SidhuvudUtskott"/>
      </w:rPr>
      <w:instrText xml:space="preserve"> DOCPROPERTY BetänkandeNr</w:instrText>
    </w:r>
    <w:r w:rsidRPr="00E43670">
      <w:rPr>
        <w:rStyle w:val="SidhuvudUtskott"/>
      </w:rPr>
      <w:fldChar w:fldCharType="separate"/>
    </w:r>
    <w:r w:rsidRPr="00E43670">
      <w:rPr>
        <w:rStyle w:val="SidhuvudUtskott"/>
      </w:rPr>
      <w:instrText>1y</w:instrText>
    </w:r>
    <w:r w:rsidRPr="00E43670">
      <w:rPr>
        <w:rStyle w:val="SidhuvudUtskott"/>
      </w:rPr>
      <w:fldChar w:fldCharType="end"/>
    </w:r>
    <w:r w:rsidRPr="00E43670">
      <w:instrText xml:space="preserve">    </w:instrText>
    </w:r>
  </w:p>
  <w:p w:rsidR="00BA7A7A" w:rsidRPr="00E43670" w:rsidRDefault="00BA7A7A">
    <w:pPr>
      <w:pStyle w:val="SidhuvudKantJmn"/>
      <w:framePr w:w="8732" w:h="567" w:hRule="exact" w:vSpace="0" w:wrap="around" w:vAnchor="page" w:y="341" w:anchorLock="0"/>
    </w:pPr>
    <w:r w:rsidRPr="00E43670">
      <w:rPr>
        <w:rStyle w:val="SidhuvudUtskott"/>
      </w:rPr>
      <w:fldChar w:fldCharType="begin" w:fldLock="1"/>
    </w:r>
    <w:r w:rsidRPr="00E43670">
      <w:rPr>
        <w:rStyle w:val="SidhuvudUtskott"/>
      </w:rPr>
      <w:instrText xml:space="preserve"> DOCPROPERTY Status</w:instrText>
    </w:r>
    <w:r w:rsidRPr="00E43670">
      <w:rPr>
        <w:rStyle w:val="SidhuvudUtskott"/>
      </w:rPr>
      <w:fldChar w:fldCharType="separate"/>
    </w:r>
    <w:r w:rsidRPr="00E43670">
      <w:rPr>
        <w:rStyle w:val="SidhuvudUtskott"/>
      </w:rPr>
      <w:instrText>Utkast</w:instrText>
    </w:r>
    <w:r w:rsidRPr="00E43670">
      <w:rPr>
        <w:rStyle w:val="SidhuvudUtskott"/>
      </w:rPr>
      <w:fldChar w:fldCharType="end"/>
    </w:r>
    <w:r w:rsidRPr="00E43670">
      <w:rPr>
        <w:rStyle w:val="SidhuvudUtskott"/>
      </w:rPr>
      <w:fldChar w:fldCharType="begin" w:fldLock="1"/>
    </w:r>
    <w:r w:rsidRPr="00E43670">
      <w:rPr>
        <w:rStyle w:val="SidhuvudUtskott"/>
      </w:rPr>
      <w:instrText xml:space="preserve"> if </w:instrText>
    </w:r>
    <w:r w:rsidRPr="00E43670">
      <w:rPr>
        <w:rStyle w:val="SidhuvudUtskott"/>
      </w:rPr>
      <w:fldChar w:fldCharType="begin" w:fldLock="1"/>
    </w:r>
    <w:r w:rsidRPr="00E43670">
      <w:rPr>
        <w:rStyle w:val="SidhuvudUtskott"/>
      </w:rPr>
      <w:instrText xml:space="preserve"> DOCPROPERTY "UtkastDatum"</w:instrText>
    </w:r>
    <w:r w:rsidRPr="00E43670">
      <w:rPr>
        <w:rStyle w:val="SidhuvudUtskott"/>
      </w:rPr>
      <w:fldChar w:fldCharType="separate"/>
    </w:r>
    <w:r w:rsidRPr="00E43670">
      <w:rPr>
        <w:rStyle w:val="SidhuvudUtskott"/>
      </w:rPr>
      <w:instrText>Nej</w:instrText>
    </w:r>
    <w:r w:rsidRPr="00E43670">
      <w:rPr>
        <w:rStyle w:val="SidhuvudUtskott"/>
      </w:rPr>
      <w:fldChar w:fldCharType="end"/>
    </w:r>
    <w:r w:rsidRPr="00E43670">
      <w:rPr>
        <w:rStyle w:val="SidhuvudUtskott"/>
      </w:rPr>
      <w:instrText xml:space="preserve"> = "Ja" "    </w:instrText>
    </w:r>
    <w:r w:rsidRPr="00E43670">
      <w:rPr>
        <w:rStyle w:val="SidhuvudUtskott"/>
      </w:rPr>
      <w:fldChar w:fldCharType="begin" w:fldLock="1"/>
    </w:r>
    <w:r w:rsidRPr="00E43670">
      <w:rPr>
        <w:rStyle w:val="SidhuvudUtskott"/>
      </w:rPr>
      <w:instrText xml:space="preserve"> PRINTDATE \@ "yyyy-MM-dd HH.mm" </w:instrText>
    </w:r>
    <w:r w:rsidRPr="00E43670">
      <w:rPr>
        <w:rStyle w:val="SidhuvudUtskott"/>
      </w:rPr>
      <w:fldChar w:fldCharType="separate"/>
    </w:r>
    <w:r w:rsidRPr="00E43670">
      <w:rPr>
        <w:rStyle w:val="SidhuvudUtskott"/>
      </w:rPr>
      <w:instrText>2000-08-11 16.42</w:instrText>
    </w:r>
    <w:r w:rsidRPr="00E43670">
      <w:rPr>
        <w:rStyle w:val="SidhuvudUtskott"/>
      </w:rPr>
      <w:fldChar w:fldCharType="end"/>
    </w:r>
    <w:r w:rsidRPr="00E43670">
      <w:rPr>
        <w:rStyle w:val="SidhuvudUtskott"/>
      </w:rPr>
      <w:instrText xml:space="preserve">" </w:instrText>
    </w:r>
    <w:r w:rsidRPr="00E43670">
      <w:rPr>
        <w:rStyle w:val="SidhuvudUtskott"/>
      </w:rPr>
      <w:fldChar w:fldCharType="end"/>
    </w:r>
  </w:p>
  <w:p w:rsidR="00BA7A7A" w:rsidRPr="00E43670" w:rsidRDefault="00BA7A7A">
    <w:pPr>
      <w:pStyle w:val="SidhuvudKantUdda"/>
      <w:framePr w:w="8732" w:h="567" w:hRule="exact" w:vSpace="0" w:wrap="around" w:vAnchor="page" w:y="341" w:anchorLock="0"/>
    </w:pPr>
    <w:r w:rsidRPr="00E43670">
      <w:rPr>
        <w:rStyle w:val="SidhuvudRubrikReferens"/>
        <w:smallCaps w:val="0"/>
      </w:rPr>
      <w:instrText xml:space="preserve"> </w:instrText>
    </w:r>
    <w:r w:rsidRPr="00E43670">
      <w:instrText xml:space="preserve">"  "  </w:instrText>
    </w:r>
    <w:r w:rsidRPr="00E43670">
      <w:rPr>
        <w:rStyle w:val="SidhuvudUtskott"/>
      </w:rPr>
      <w:fldChar w:fldCharType="begin" w:fldLock="1"/>
    </w:r>
    <w:r w:rsidRPr="00E43670">
      <w:rPr>
        <w:rStyle w:val="SidhuvudUtskott"/>
      </w:rPr>
      <w:instrText xml:space="preserve"> DOCPROPERTY BetänkandeÅr</w:instrText>
    </w:r>
    <w:r w:rsidRPr="00E43670">
      <w:rPr>
        <w:rStyle w:val="SidhuvudUtskott"/>
      </w:rPr>
      <w:fldChar w:fldCharType="separate"/>
    </w:r>
    <w:r w:rsidRPr="00E43670">
      <w:rPr>
        <w:rStyle w:val="SidhuvudUtskott"/>
      </w:rPr>
      <w:instrText>2004/05</w:instrText>
    </w:r>
    <w:r w:rsidRPr="00E43670">
      <w:rPr>
        <w:rStyle w:val="SidhuvudUtskott"/>
      </w:rPr>
      <w:fldChar w:fldCharType="end"/>
    </w:r>
    <w:r w:rsidRPr="00E43670">
      <w:rPr>
        <w:rStyle w:val="SidhuvudUtskott"/>
      </w:rPr>
      <w:instrText>:</w:instrText>
    </w:r>
    <w:r w:rsidRPr="00E43670">
      <w:rPr>
        <w:rStyle w:val="SidhuvudUtskott"/>
      </w:rPr>
      <w:fldChar w:fldCharType="begin" w:fldLock="1"/>
    </w:r>
    <w:r w:rsidRPr="00E43670">
      <w:rPr>
        <w:rStyle w:val="SidhuvudUtskott"/>
      </w:rPr>
      <w:instrText xml:space="preserve"> DOCPROPERTY Utskott</w:instrText>
    </w:r>
    <w:r w:rsidRPr="00E43670">
      <w:rPr>
        <w:rStyle w:val="SidhuvudUtskott"/>
      </w:rPr>
      <w:fldChar w:fldCharType="separate"/>
    </w:r>
    <w:r w:rsidRPr="00E43670">
      <w:rPr>
        <w:rStyle w:val="SidhuvudUtskott"/>
      </w:rPr>
      <w:instrText>NU</w:instrText>
    </w:r>
    <w:r w:rsidRPr="00E43670">
      <w:rPr>
        <w:rStyle w:val="SidhuvudUtskott"/>
      </w:rPr>
      <w:fldChar w:fldCharType="end"/>
    </w:r>
    <w:r w:rsidRPr="00E43670">
      <w:rPr>
        <w:rStyle w:val="SidhuvudUtskott"/>
      </w:rPr>
      <w:fldChar w:fldCharType="begin" w:fldLock="1"/>
    </w:r>
    <w:r w:rsidRPr="00E43670">
      <w:rPr>
        <w:rStyle w:val="SidhuvudUtskott"/>
      </w:rPr>
      <w:instrText xml:space="preserve"> DOCPROPERTY BetänkandeNr</w:instrText>
    </w:r>
    <w:r w:rsidRPr="00E43670">
      <w:rPr>
        <w:rStyle w:val="SidhuvudUtskott"/>
      </w:rPr>
      <w:fldChar w:fldCharType="separate"/>
    </w:r>
    <w:r w:rsidRPr="00E43670">
      <w:rPr>
        <w:rStyle w:val="SidhuvudUtskott"/>
      </w:rPr>
      <w:instrText>1y</w:instrText>
    </w:r>
    <w:r w:rsidRPr="00E43670">
      <w:rPr>
        <w:rStyle w:val="SidhuvudUtskott"/>
      </w:rPr>
      <w:fldChar w:fldCharType="end"/>
    </w:r>
  </w:p>
  <w:p w:rsidR="00C22C27" w:rsidRPr="00E43670" w:rsidRDefault="00BA7A7A">
    <w:pPr>
      <w:pStyle w:val="SidhuvudKantUdda"/>
      <w:framePr w:w="8732" w:h="567" w:hRule="exact" w:vSpace="0" w:wrap="around" w:vAnchor="page" w:y="341" w:anchorLock="0"/>
    </w:pPr>
    <w:r w:rsidRPr="00E43670">
      <w:rPr>
        <w:rStyle w:val="SidhuvudUtskott"/>
      </w:rPr>
      <w:fldChar w:fldCharType="begin" w:fldLock="1"/>
    </w:r>
    <w:r w:rsidRPr="00E43670">
      <w:rPr>
        <w:rStyle w:val="SidhuvudUtskott"/>
      </w:rPr>
      <w:instrText xml:space="preserve"> if </w:instrText>
    </w:r>
    <w:r w:rsidRPr="00E43670">
      <w:rPr>
        <w:rStyle w:val="SidhuvudUtskott"/>
      </w:rPr>
      <w:fldChar w:fldCharType="begin" w:fldLock="1"/>
    </w:r>
    <w:r w:rsidRPr="00E43670">
      <w:rPr>
        <w:rStyle w:val="SidhuvudUtskott"/>
      </w:rPr>
      <w:instrText xml:space="preserve"> DOCPROPERTY "UtkastDatum"</w:instrText>
    </w:r>
    <w:r w:rsidRPr="00E43670">
      <w:rPr>
        <w:rStyle w:val="SidhuvudUtskott"/>
      </w:rPr>
      <w:fldChar w:fldCharType="separate"/>
    </w:r>
    <w:r w:rsidRPr="00E43670">
      <w:rPr>
        <w:rStyle w:val="SidhuvudUtskott"/>
      </w:rPr>
      <w:instrText>Nej</w:instrText>
    </w:r>
    <w:r w:rsidRPr="00E43670">
      <w:rPr>
        <w:rStyle w:val="SidhuvudUtskott"/>
      </w:rPr>
      <w:fldChar w:fldCharType="end"/>
    </w:r>
    <w:r w:rsidRPr="00E43670">
      <w:rPr>
        <w:rStyle w:val="SidhuvudUtskott"/>
      </w:rPr>
      <w:instrText xml:space="preserve"> = "Ja" "</w:instrText>
    </w:r>
    <w:r w:rsidRPr="00E43670">
      <w:rPr>
        <w:rStyle w:val="SidhuvudUtskott"/>
      </w:rPr>
      <w:fldChar w:fldCharType="begin" w:fldLock="1"/>
    </w:r>
    <w:r w:rsidRPr="00E43670">
      <w:rPr>
        <w:rStyle w:val="SidhuvudUtskott"/>
      </w:rPr>
      <w:instrText xml:space="preserve"> PRINTDATE \@ "yyyy-MM-dd HH.mm    " </w:instrText>
    </w:r>
    <w:r w:rsidRPr="00E43670">
      <w:rPr>
        <w:rStyle w:val="SidhuvudUtskott"/>
      </w:rPr>
      <w:fldChar w:fldCharType="separate"/>
    </w:r>
    <w:r w:rsidRPr="00E43670">
      <w:rPr>
        <w:rStyle w:val="SidhuvudUtskott"/>
      </w:rPr>
      <w:instrText>2000-08-11 16.42</w:instrText>
    </w:r>
    <w:r w:rsidRPr="00E43670">
      <w:rPr>
        <w:rStyle w:val="SidhuvudUtskott"/>
      </w:rPr>
      <w:fldChar w:fldCharType="end"/>
    </w:r>
    <w:r w:rsidRPr="00E43670">
      <w:rPr>
        <w:rStyle w:val="SidhuvudUtskott"/>
      </w:rPr>
      <w:instrText xml:space="preserve">" </w:instrText>
    </w:r>
    <w:r w:rsidRPr="00E43670">
      <w:rPr>
        <w:rStyle w:val="SidhuvudUtskott"/>
      </w:rPr>
      <w:fldChar w:fldCharType="end"/>
    </w:r>
    <w:r w:rsidRPr="00E43670">
      <w:rPr>
        <w:rStyle w:val="SidhuvudUtskott"/>
      </w:rPr>
      <w:fldChar w:fldCharType="begin" w:fldLock="1"/>
    </w:r>
    <w:r w:rsidRPr="00E43670">
      <w:rPr>
        <w:rStyle w:val="SidhuvudUtskott"/>
      </w:rPr>
      <w:instrText xml:space="preserve"> DOCPR</w:instrText>
    </w:r>
    <w:r w:rsidRPr="00E43670">
      <w:rPr>
        <w:rStyle w:val="SidhuvudUtskott"/>
      </w:rPr>
      <w:instrText>O</w:instrText>
    </w:r>
    <w:r w:rsidRPr="00E43670">
      <w:rPr>
        <w:rStyle w:val="SidhuvudUtskott"/>
      </w:rPr>
      <w:instrText>PERTY Status</w:instrText>
    </w:r>
    <w:r w:rsidRPr="00E43670">
      <w:rPr>
        <w:rStyle w:val="SidhuvudUtskott"/>
      </w:rPr>
      <w:fldChar w:fldCharType="end"/>
    </w:r>
    <w:r w:rsidRPr="00E43670">
      <w:instrText>"</w:instrText>
    </w:r>
    <w:r w:rsidRPr="00E43670">
      <w:fldChar w:fldCharType="separate"/>
    </w:r>
    <w:r w:rsidR="00C22C27" w:rsidRPr="00E43670">
      <w:instrText xml:space="preserve">  </w:instrText>
    </w:r>
    <w:r w:rsidR="00C22C27" w:rsidRPr="00E43670">
      <w:rPr>
        <w:rStyle w:val="SidhuvudUtskott"/>
      </w:rPr>
      <w:instrText>2004/05:NU1y</w:instrText>
    </w:r>
  </w:p>
  <w:p w:rsidR="00C22C27" w:rsidRPr="00E43670" w:rsidRDefault="00BA7A7A">
    <w:pPr>
      <w:pStyle w:val="SidhuvudKantUdda"/>
      <w:framePr w:w="8732" w:h="567" w:hRule="exact" w:vSpace="0" w:wrap="around" w:vAnchor="page" w:y="341" w:anchorLock="0"/>
    </w:pPr>
    <w:r w:rsidRPr="00E43670">
      <w:fldChar w:fldCharType="end"/>
    </w:r>
    <w:r w:rsidRPr="00E43670">
      <w:instrText>" " "</w:instrText>
    </w:r>
    <w:r w:rsidR="00C22C27" w:rsidRPr="00E43670">
      <w:fldChar w:fldCharType="separate"/>
    </w:r>
    <w:r w:rsidR="00C22C27" w:rsidRPr="00E43670">
      <w:t xml:space="preserve">  </w:t>
    </w:r>
    <w:r w:rsidR="00C22C27" w:rsidRPr="00E43670">
      <w:rPr>
        <w:rStyle w:val="SidhuvudUtskott"/>
      </w:rPr>
      <w:t>2004/05:NU1y</w:t>
    </w:r>
  </w:p>
  <w:p w:rsidR="00BA7A7A" w:rsidRPr="00E43670" w:rsidRDefault="00BA7A7A">
    <w:pPr>
      <w:pStyle w:val="SidhuvudKantUdda"/>
      <w:framePr w:w="8732" w:h="567" w:hRule="exact" w:vSpace="0" w:wrap="around" w:vAnchor="page" w:y="341" w:anchorLock="0"/>
    </w:pPr>
    <w:r w:rsidRPr="00E43670">
      <w:fldChar w:fldCharType="end"/>
    </w:r>
  </w:p>
  <w:p w:rsidR="00BA7A7A" w:rsidRPr="00E43670" w:rsidRDefault="00BA7A7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4865C0"/>
    <w:multiLevelType w:val="hybridMultilevel"/>
    <w:tmpl w:val="47FE2F6C"/>
    <w:lvl w:ilvl="0" w:tplc="49526782">
      <w:start w:val="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A1C4D"/>
    <w:multiLevelType w:val="hybridMultilevel"/>
    <w:tmpl w:val="2812BAA2"/>
    <w:lvl w:ilvl="0" w:tplc="4802F680">
      <w:numFmt w:val="bullet"/>
      <w:lvlText w:val="–"/>
      <w:lvlJc w:val="left"/>
      <w:pPr>
        <w:tabs>
          <w:tab w:val="num" w:pos="602"/>
        </w:tabs>
        <w:ind w:left="602" w:hanging="375"/>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3" w15:restartNumberingAfterBreak="0">
    <w:nsid w:val="0B2C55FF"/>
    <w:multiLevelType w:val="multilevel"/>
    <w:tmpl w:val="A078B32A"/>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675058"/>
    <w:multiLevelType w:val="hybridMultilevel"/>
    <w:tmpl w:val="4A6A4A4E"/>
    <w:lvl w:ilvl="0" w:tplc="D8548BB0">
      <w:numFmt w:val="bullet"/>
      <w:lvlText w:val="–"/>
      <w:lvlJc w:val="left"/>
      <w:pPr>
        <w:tabs>
          <w:tab w:val="num" w:pos="617"/>
        </w:tabs>
        <w:ind w:left="617" w:hanging="39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6" w15:restartNumberingAfterBreak="0">
    <w:nsid w:val="219D4723"/>
    <w:multiLevelType w:val="multilevel"/>
    <w:tmpl w:val="0C18599E"/>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976833"/>
    <w:multiLevelType w:val="hybridMultilevel"/>
    <w:tmpl w:val="DBE475A2"/>
    <w:lvl w:ilvl="0" w:tplc="C2747ADC">
      <w:numFmt w:val="bullet"/>
      <w:lvlText w:val="–"/>
      <w:lvlJc w:val="left"/>
      <w:pPr>
        <w:tabs>
          <w:tab w:val="num" w:pos="602"/>
        </w:tabs>
        <w:ind w:left="602" w:hanging="375"/>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8" w15:restartNumberingAfterBreak="0">
    <w:nsid w:val="2ED96C45"/>
    <w:multiLevelType w:val="multilevel"/>
    <w:tmpl w:val="BF6C212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EF80F18"/>
    <w:multiLevelType w:val="hybridMultilevel"/>
    <w:tmpl w:val="EC784B62"/>
    <w:lvl w:ilvl="0" w:tplc="7A709BA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D0003D"/>
    <w:multiLevelType w:val="multilevel"/>
    <w:tmpl w:val="96189F6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EA459A"/>
    <w:multiLevelType w:val="hybridMultilevel"/>
    <w:tmpl w:val="4976BC6C"/>
    <w:lvl w:ilvl="0" w:tplc="76C24D00">
      <w:numFmt w:val="bullet"/>
      <w:lvlText w:val="–"/>
      <w:lvlJc w:val="left"/>
      <w:pPr>
        <w:tabs>
          <w:tab w:val="num" w:pos="617"/>
        </w:tabs>
        <w:ind w:left="617" w:hanging="39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3" w15:restartNumberingAfterBreak="0">
    <w:nsid w:val="52EE2A56"/>
    <w:multiLevelType w:val="multilevel"/>
    <w:tmpl w:val="C09497F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A034DC"/>
    <w:multiLevelType w:val="multilevel"/>
    <w:tmpl w:val="3DA40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5FA1A0E"/>
    <w:multiLevelType w:val="hybridMultilevel"/>
    <w:tmpl w:val="29B2FFDC"/>
    <w:lvl w:ilvl="0" w:tplc="2260FE4A">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6" w15:restartNumberingAfterBreak="0">
    <w:nsid w:val="5CC827F4"/>
    <w:multiLevelType w:val="hybridMultilevel"/>
    <w:tmpl w:val="DEC480B6"/>
    <w:lvl w:ilvl="0" w:tplc="36F6D91E">
      <w:numFmt w:val="bullet"/>
      <w:lvlText w:val="–"/>
      <w:lvlJc w:val="left"/>
      <w:pPr>
        <w:tabs>
          <w:tab w:val="num" w:pos="662"/>
        </w:tabs>
        <w:ind w:left="662" w:hanging="435"/>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7" w15:restartNumberingAfterBreak="0">
    <w:nsid w:val="605B45E4"/>
    <w:multiLevelType w:val="hybridMultilevel"/>
    <w:tmpl w:val="5E92A4CC"/>
    <w:lvl w:ilvl="0" w:tplc="EEC825C8">
      <w:start w:val="11"/>
      <w:numFmt w:val="bullet"/>
      <w:lvlText w:val="–"/>
      <w:lvlJc w:val="left"/>
      <w:pPr>
        <w:tabs>
          <w:tab w:val="num" w:pos="720"/>
        </w:tabs>
        <w:ind w:left="720" w:hanging="360"/>
      </w:pPr>
      <w:rPr>
        <w:rFonts w:ascii="Times New Roman" w:eastAsia="Times New Roman" w:hAnsi="Times New Roman" w:cs="Times New Roman"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CC2C00"/>
    <w:multiLevelType w:val="hybridMultilevel"/>
    <w:tmpl w:val="4EAA2C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2576D7E"/>
    <w:multiLevelType w:val="hybridMultilevel"/>
    <w:tmpl w:val="46F0DB50"/>
    <w:lvl w:ilvl="0" w:tplc="BB94CF76">
      <w:start w:val="4"/>
      <w:numFmt w:val="decimal"/>
      <w:lvlText w:val="%1."/>
      <w:lvlJc w:val="left"/>
      <w:pPr>
        <w:tabs>
          <w:tab w:val="num" w:pos="720"/>
        </w:tabs>
        <w:ind w:left="720" w:hanging="360"/>
      </w:pPr>
      <w:rPr>
        <w:rFonts w:hint="default"/>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30" w15:restartNumberingAfterBreak="0">
    <w:nsid w:val="6CC05779"/>
    <w:multiLevelType w:val="hybridMultilevel"/>
    <w:tmpl w:val="58D69912"/>
    <w:lvl w:ilvl="0" w:tplc="EEC825C8">
      <w:start w:val="6"/>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782038E7"/>
    <w:multiLevelType w:val="hybridMultilevel"/>
    <w:tmpl w:val="0C020D2E"/>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92441195">
    <w:abstractNumId w:val="15"/>
  </w:num>
  <w:num w:numId="2" w16cid:durableId="1093815945">
    <w:abstractNumId w:val="8"/>
  </w:num>
  <w:num w:numId="3" w16cid:durableId="491020367">
    <w:abstractNumId w:val="3"/>
  </w:num>
  <w:num w:numId="4" w16cid:durableId="2051491666">
    <w:abstractNumId w:val="2"/>
  </w:num>
  <w:num w:numId="5" w16cid:durableId="1581527487">
    <w:abstractNumId w:val="1"/>
  </w:num>
  <w:num w:numId="6" w16cid:durableId="948122202">
    <w:abstractNumId w:val="0"/>
  </w:num>
  <w:num w:numId="7" w16cid:durableId="1969779889">
    <w:abstractNumId w:val="9"/>
  </w:num>
  <w:num w:numId="8" w16cid:durableId="185140544">
    <w:abstractNumId w:val="7"/>
  </w:num>
  <w:num w:numId="9" w16cid:durableId="554775983">
    <w:abstractNumId w:val="6"/>
  </w:num>
  <w:num w:numId="10" w16cid:durableId="921450749">
    <w:abstractNumId w:val="5"/>
  </w:num>
  <w:num w:numId="11" w16cid:durableId="1923106075">
    <w:abstractNumId w:val="4"/>
  </w:num>
  <w:num w:numId="12" w16cid:durableId="1401519511">
    <w:abstractNumId w:val="28"/>
  </w:num>
  <w:num w:numId="13" w16cid:durableId="1814061732">
    <w:abstractNumId w:val="24"/>
  </w:num>
  <w:num w:numId="14" w16cid:durableId="2112121365">
    <w:abstractNumId w:val="10"/>
  </w:num>
  <w:num w:numId="15" w16cid:durableId="1764182769">
    <w:abstractNumId w:val="18"/>
  </w:num>
  <w:num w:numId="16" w16cid:durableId="1413429746">
    <w:abstractNumId w:val="11"/>
  </w:num>
  <w:num w:numId="17" w16cid:durableId="631011782">
    <w:abstractNumId w:val="23"/>
  </w:num>
  <w:num w:numId="18" w16cid:durableId="2103336232">
    <w:abstractNumId w:val="31"/>
  </w:num>
  <w:num w:numId="19" w16cid:durableId="95298958">
    <w:abstractNumId w:val="30"/>
  </w:num>
  <w:num w:numId="20" w16cid:durableId="1771312846">
    <w:abstractNumId w:val="16"/>
  </w:num>
  <w:num w:numId="21" w16cid:durableId="91124216">
    <w:abstractNumId w:val="20"/>
  </w:num>
  <w:num w:numId="22" w16cid:durableId="124588013">
    <w:abstractNumId w:val="29"/>
  </w:num>
  <w:num w:numId="23" w16cid:durableId="384791472">
    <w:abstractNumId w:val="13"/>
  </w:num>
  <w:num w:numId="24" w16cid:durableId="1719744564">
    <w:abstractNumId w:val="27"/>
  </w:num>
  <w:num w:numId="25" w16cid:durableId="1850751392">
    <w:abstractNumId w:val="22"/>
  </w:num>
  <w:num w:numId="26" w16cid:durableId="2068258664">
    <w:abstractNumId w:val="25"/>
  </w:num>
  <w:num w:numId="27" w16cid:durableId="356929217">
    <w:abstractNumId w:val="17"/>
  </w:num>
  <w:num w:numId="28" w16cid:durableId="322784740">
    <w:abstractNumId w:val="19"/>
  </w:num>
  <w:num w:numId="29" w16cid:durableId="1456754178">
    <w:abstractNumId w:val="12"/>
  </w:num>
  <w:num w:numId="30" w16cid:durableId="1601834967">
    <w:abstractNumId w:val="21"/>
  </w:num>
  <w:num w:numId="31" w16cid:durableId="1714689455">
    <w:abstractNumId w:val="14"/>
  </w:num>
  <w:num w:numId="32" w16cid:durableId="4882487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405"/>
  </w:docVars>
  <w:rsids>
    <w:rsidRoot w:val="000221E9"/>
    <w:rsid w:val="00004E67"/>
    <w:rsid w:val="0000558B"/>
    <w:rsid w:val="0001598E"/>
    <w:rsid w:val="00021377"/>
    <w:rsid w:val="000221E9"/>
    <w:rsid w:val="0002557E"/>
    <w:rsid w:val="00032748"/>
    <w:rsid w:val="000341D2"/>
    <w:rsid w:val="000437FA"/>
    <w:rsid w:val="00045E43"/>
    <w:rsid w:val="00047726"/>
    <w:rsid w:val="000520D2"/>
    <w:rsid w:val="00056051"/>
    <w:rsid w:val="00057472"/>
    <w:rsid w:val="000655B7"/>
    <w:rsid w:val="00081645"/>
    <w:rsid w:val="00085DD4"/>
    <w:rsid w:val="00087244"/>
    <w:rsid w:val="00091B6D"/>
    <w:rsid w:val="00093524"/>
    <w:rsid w:val="000A69A3"/>
    <w:rsid w:val="000B32CE"/>
    <w:rsid w:val="000B3397"/>
    <w:rsid w:val="000B3B6A"/>
    <w:rsid w:val="000C2486"/>
    <w:rsid w:val="000D03AF"/>
    <w:rsid w:val="000D3046"/>
    <w:rsid w:val="000D40B7"/>
    <w:rsid w:val="000E176A"/>
    <w:rsid w:val="000F2D29"/>
    <w:rsid w:val="000F43F2"/>
    <w:rsid w:val="000F5B97"/>
    <w:rsid w:val="00102DED"/>
    <w:rsid w:val="00103628"/>
    <w:rsid w:val="00105907"/>
    <w:rsid w:val="001145C6"/>
    <w:rsid w:val="00123394"/>
    <w:rsid w:val="00127786"/>
    <w:rsid w:val="001315FF"/>
    <w:rsid w:val="001342D0"/>
    <w:rsid w:val="0013536C"/>
    <w:rsid w:val="00137ADB"/>
    <w:rsid w:val="00187684"/>
    <w:rsid w:val="0019018D"/>
    <w:rsid w:val="001A2C20"/>
    <w:rsid w:val="001B66A6"/>
    <w:rsid w:val="001C4A15"/>
    <w:rsid w:val="001C5390"/>
    <w:rsid w:val="001D0B86"/>
    <w:rsid w:val="001E6718"/>
    <w:rsid w:val="001F12AB"/>
    <w:rsid w:val="001F2D94"/>
    <w:rsid w:val="001F3191"/>
    <w:rsid w:val="00206A33"/>
    <w:rsid w:val="00213441"/>
    <w:rsid w:val="00214A80"/>
    <w:rsid w:val="00226CF0"/>
    <w:rsid w:val="0023254A"/>
    <w:rsid w:val="00235DC1"/>
    <w:rsid w:val="00240884"/>
    <w:rsid w:val="00250FB4"/>
    <w:rsid w:val="002515B8"/>
    <w:rsid w:val="00260AB6"/>
    <w:rsid w:val="00262F48"/>
    <w:rsid w:val="00270675"/>
    <w:rsid w:val="002900C8"/>
    <w:rsid w:val="002A36A0"/>
    <w:rsid w:val="002A7609"/>
    <w:rsid w:val="002B2276"/>
    <w:rsid w:val="002B6AC1"/>
    <w:rsid w:val="002C460E"/>
    <w:rsid w:val="002D0E93"/>
    <w:rsid w:val="002E1DF0"/>
    <w:rsid w:val="00303CA0"/>
    <w:rsid w:val="0031719C"/>
    <w:rsid w:val="00317C2C"/>
    <w:rsid w:val="003208EA"/>
    <w:rsid w:val="00320E85"/>
    <w:rsid w:val="00325BB9"/>
    <w:rsid w:val="003445C4"/>
    <w:rsid w:val="003573EF"/>
    <w:rsid w:val="00361DF4"/>
    <w:rsid w:val="00362141"/>
    <w:rsid w:val="00372F2F"/>
    <w:rsid w:val="00384A19"/>
    <w:rsid w:val="00386428"/>
    <w:rsid w:val="00387AE0"/>
    <w:rsid w:val="00393219"/>
    <w:rsid w:val="0039652A"/>
    <w:rsid w:val="003A293C"/>
    <w:rsid w:val="003A5A8D"/>
    <w:rsid w:val="003B41CE"/>
    <w:rsid w:val="003B4B03"/>
    <w:rsid w:val="003C637A"/>
    <w:rsid w:val="003D21FA"/>
    <w:rsid w:val="003D448E"/>
    <w:rsid w:val="003D449E"/>
    <w:rsid w:val="003D6B43"/>
    <w:rsid w:val="003E725D"/>
    <w:rsid w:val="003E79A4"/>
    <w:rsid w:val="003F3940"/>
    <w:rsid w:val="003F4FB2"/>
    <w:rsid w:val="003F793D"/>
    <w:rsid w:val="004015BC"/>
    <w:rsid w:val="0042273E"/>
    <w:rsid w:val="004239BB"/>
    <w:rsid w:val="0043133E"/>
    <w:rsid w:val="004423C8"/>
    <w:rsid w:val="004434B7"/>
    <w:rsid w:val="0044575F"/>
    <w:rsid w:val="004532C8"/>
    <w:rsid w:val="00454B3F"/>
    <w:rsid w:val="00462023"/>
    <w:rsid w:val="00464194"/>
    <w:rsid w:val="0047711D"/>
    <w:rsid w:val="00483F31"/>
    <w:rsid w:val="00485133"/>
    <w:rsid w:val="00492226"/>
    <w:rsid w:val="004A0C38"/>
    <w:rsid w:val="004A2EEE"/>
    <w:rsid w:val="004B42D6"/>
    <w:rsid w:val="004B5B96"/>
    <w:rsid w:val="004C6512"/>
    <w:rsid w:val="004D14E1"/>
    <w:rsid w:val="004D36A0"/>
    <w:rsid w:val="004E58AF"/>
    <w:rsid w:val="0050113F"/>
    <w:rsid w:val="0052228E"/>
    <w:rsid w:val="00530497"/>
    <w:rsid w:val="00530539"/>
    <w:rsid w:val="0053076F"/>
    <w:rsid w:val="0054494A"/>
    <w:rsid w:val="00546057"/>
    <w:rsid w:val="00550C91"/>
    <w:rsid w:val="005569E2"/>
    <w:rsid w:val="00580FA1"/>
    <w:rsid w:val="00587103"/>
    <w:rsid w:val="0059673C"/>
    <w:rsid w:val="005A2F86"/>
    <w:rsid w:val="005B18CA"/>
    <w:rsid w:val="005C7F56"/>
    <w:rsid w:val="005D647B"/>
    <w:rsid w:val="005E329D"/>
    <w:rsid w:val="0061587F"/>
    <w:rsid w:val="00623A65"/>
    <w:rsid w:val="00640E3C"/>
    <w:rsid w:val="00644580"/>
    <w:rsid w:val="00661564"/>
    <w:rsid w:val="00663853"/>
    <w:rsid w:val="00664AA7"/>
    <w:rsid w:val="006676E5"/>
    <w:rsid w:val="006761D4"/>
    <w:rsid w:val="00691229"/>
    <w:rsid w:val="006A7E97"/>
    <w:rsid w:val="006B4809"/>
    <w:rsid w:val="006D4F71"/>
    <w:rsid w:val="006E6220"/>
    <w:rsid w:val="006F67CA"/>
    <w:rsid w:val="00704DAD"/>
    <w:rsid w:val="007055B7"/>
    <w:rsid w:val="0071002F"/>
    <w:rsid w:val="00722B97"/>
    <w:rsid w:val="007245F7"/>
    <w:rsid w:val="00725765"/>
    <w:rsid w:val="00726262"/>
    <w:rsid w:val="00730074"/>
    <w:rsid w:val="007367D0"/>
    <w:rsid w:val="007516FC"/>
    <w:rsid w:val="007543B8"/>
    <w:rsid w:val="007574BE"/>
    <w:rsid w:val="00761F8B"/>
    <w:rsid w:val="0077583A"/>
    <w:rsid w:val="00777E4C"/>
    <w:rsid w:val="00791E75"/>
    <w:rsid w:val="007926AC"/>
    <w:rsid w:val="007B0B91"/>
    <w:rsid w:val="007B56E5"/>
    <w:rsid w:val="007B7AAD"/>
    <w:rsid w:val="007B7D2B"/>
    <w:rsid w:val="007D10A8"/>
    <w:rsid w:val="007D4084"/>
    <w:rsid w:val="007E0F1A"/>
    <w:rsid w:val="007E6263"/>
    <w:rsid w:val="007F6887"/>
    <w:rsid w:val="00802F58"/>
    <w:rsid w:val="00815A58"/>
    <w:rsid w:val="00824F16"/>
    <w:rsid w:val="00830CCE"/>
    <w:rsid w:val="00835266"/>
    <w:rsid w:val="008419FA"/>
    <w:rsid w:val="00866181"/>
    <w:rsid w:val="00875665"/>
    <w:rsid w:val="00882417"/>
    <w:rsid w:val="008922A0"/>
    <w:rsid w:val="008973B6"/>
    <w:rsid w:val="008A791D"/>
    <w:rsid w:val="008D00E5"/>
    <w:rsid w:val="008D5BCB"/>
    <w:rsid w:val="008D679E"/>
    <w:rsid w:val="008E74A4"/>
    <w:rsid w:val="00901702"/>
    <w:rsid w:val="0090174A"/>
    <w:rsid w:val="00904512"/>
    <w:rsid w:val="0091157B"/>
    <w:rsid w:val="00921B21"/>
    <w:rsid w:val="00921C68"/>
    <w:rsid w:val="00931687"/>
    <w:rsid w:val="0093733A"/>
    <w:rsid w:val="00944A2B"/>
    <w:rsid w:val="0094526D"/>
    <w:rsid w:val="00945D1B"/>
    <w:rsid w:val="009509AC"/>
    <w:rsid w:val="009601FC"/>
    <w:rsid w:val="00966079"/>
    <w:rsid w:val="009768B9"/>
    <w:rsid w:val="009A0C01"/>
    <w:rsid w:val="009A4D92"/>
    <w:rsid w:val="009A569B"/>
    <w:rsid w:val="009B08A9"/>
    <w:rsid w:val="009D1669"/>
    <w:rsid w:val="009D3B8B"/>
    <w:rsid w:val="009E783D"/>
    <w:rsid w:val="009F2FB5"/>
    <w:rsid w:val="00A02534"/>
    <w:rsid w:val="00A04341"/>
    <w:rsid w:val="00A044CF"/>
    <w:rsid w:val="00A07D6F"/>
    <w:rsid w:val="00A22967"/>
    <w:rsid w:val="00A25273"/>
    <w:rsid w:val="00A252E3"/>
    <w:rsid w:val="00A27E32"/>
    <w:rsid w:val="00A34222"/>
    <w:rsid w:val="00A37899"/>
    <w:rsid w:val="00A4284C"/>
    <w:rsid w:val="00A43BCA"/>
    <w:rsid w:val="00A506FB"/>
    <w:rsid w:val="00A57CD3"/>
    <w:rsid w:val="00A6746D"/>
    <w:rsid w:val="00A738DF"/>
    <w:rsid w:val="00A73A1E"/>
    <w:rsid w:val="00A74892"/>
    <w:rsid w:val="00A837C6"/>
    <w:rsid w:val="00A83EF9"/>
    <w:rsid w:val="00A94DF6"/>
    <w:rsid w:val="00AA30EE"/>
    <w:rsid w:val="00AA7F16"/>
    <w:rsid w:val="00AC0C82"/>
    <w:rsid w:val="00AD5E61"/>
    <w:rsid w:val="00AF1961"/>
    <w:rsid w:val="00B07288"/>
    <w:rsid w:val="00B26093"/>
    <w:rsid w:val="00B277AB"/>
    <w:rsid w:val="00B32085"/>
    <w:rsid w:val="00B3791C"/>
    <w:rsid w:val="00B4787E"/>
    <w:rsid w:val="00B51217"/>
    <w:rsid w:val="00B520FD"/>
    <w:rsid w:val="00B5626E"/>
    <w:rsid w:val="00B62A7D"/>
    <w:rsid w:val="00B674A7"/>
    <w:rsid w:val="00B740D7"/>
    <w:rsid w:val="00B84693"/>
    <w:rsid w:val="00B87AE3"/>
    <w:rsid w:val="00B97925"/>
    <w:rsid w:val="00BA662C"/>
    <w:rsid w:val="00BA7A7A"/>
    <w:rsid w:val="00BB096A"/>
    <w:rsid w:val="00BB428A"/>
    <w:rsid w:val="00BB4F89"/>
    <w:rsid w:val="00BB5C15"/>
    <w:rsid w:val="00BC0897"/>
    <w:rsid w:val="00BC0CEE"/>
    <w:rsid w:val="00BD13B1"/>
    <w:rsid w:val="00BD160C"/>
    <w:rsid w:val="00BD1797"/>
    <w:rsid w:val="00BF5614"/>
    <w:rsid w:val="00C004AA"/>
    <w:rsid w:val="00C03FF5"/>
    <w:rsid w:val="00C06DDD"/>
    <w:rsid w:val="00C1018C"/>
    <w:rsid w:val="00C22C27"/>
    <w:rsid w:val="00C311FC"/>
    <w:rsid w:val="00C367D9"/>
    <w:rsid w:val="00C5099C"/>
    <w:rsid w:val="00C56A18"/>
    <w:rsid w:val="00C63B10"/>
    <w:rsid w:val="00C67D82"/>
    <w:rsid w:val="00C73787"/>
    <w:rsid w:val="00C86E4A"/>
    <w:rsid w:val="00C9177C"/>
    <w:rsid w:val="00CB3418"/>
    <w:rsid w:val="00CD5A77"/>
    <w:rsid w:val="00CD673C"/>
    <w:rsid w:val="00CD7064"/>
    <w:rsid w:val="00CE4356"/>
    <w:rsid w:val="00CF3C01"/>
    <w:rsid w:val="00D15B4F"/>
    <w:rsid w:val="00D224EE"/>
    <w:rsid w:val="00D23BB2"/>
    <w:rsid w:val="00D30961"/>
    <w:rsid w:val="00D340DC"/>
    <w:rsid w:val="00D40C96"/>
    <w:rsid w:val="00D5245C"/>
    <w:rsid w:val="00D825EF"/>
    <w:rsid w:val="00D87A6B"/>
    <w:rsid w:val="00D90E1D"/>
    <w:rsid w:val="00D9148A"/>
    <w:rsid w:val="00D941B6"/>
    <w:rsid w:val="00D97B63"/>
    <w:rsid w:val="00D97E42"/>
    <w:rsid w:val="00DC0CD2"/>
    <w:rsid w:val="00DD31FB"/>
    <w:rsid w:val="00DD477A"/>
    <w:rsid w:val="00DD4FA9"/>
    <w:rsid w:val="00DE3E53"/>
    <w:rsid w:val="00DE501A"/>
    <w:rsid w:val="00DE5688"/>
    <w:rsid w:val="00DF0CAF"/>
    <w:rsid w:val="00DF27D8"/>
    <w:rsid w:val="00E135F0"/>
    <w:rsid w:val="00E373B6"/>
    <w:rsid w:val="00E43670"/>
    <w:rsid w:val="00E54A4F"/>
    <w:rsid w:val="00E601C3"/>
    <w:rsid w:val="00E6318C"/>
    <w:rsid w:val="00E660FB"/>
    <w:rsid w:val="00E750EF"/>
    <w:rsid w:val="00E771E0"/>
    <w:rsid w:val="00E826B4"/>
    <w:rsid w:val="00E94B54"/>
    <w:rsid w:val="00E94D14"/>
    <w:rsid w:val="00E9578D"/>
    <w:rsid w:val="00EC1FB0"/>
    <w:rsid w:val="00EC4CED"/>
    <w:rsid w:val="00ED044D"/>
    <w:rsid w:val="00EE0A63"/>
    <w:rsid w:val="00EF5504"/>
    <w:rsid w:val="00F0163A"/>
    <w:rsid w:val="00F06797"/>
    <w:rsid w:val="00F136D1"/>
    <w:rsid w:val="00F146B1"/>
    <w:rsid w:val="00F165BC"/>
    <w:rsid w:val="00F16EC3"/>
    <w:rsid w:val="00F175E5"/>
    <w:rsid w:val="00F17E3A"/>
    <w:rsid w:val="00F2192F"/>
    <w:rsid w:val="00F220A5"/>
    <w:rsid w:val="00F2701E"/>
    <w:rsid w:val="00F35920"/>
    <w:rsid w:val="00F4196B"/>
    <w:rsid w:val="00F4369C"/>
    <w:rsid w:val="00F53A97"/>
    <w:rsid w:val="00F57795"/>
    <w:rsid w:val="00F62CB3"/>
    <w:rsid w:val="00F6499F"/>
    <w:rsid w:val="00F70D28"/>
    <w:rsid w:val="00FA2366"/>
    <w:rsid w:val="00FB05F3"/>
    <w:rsid w:val="00FC1D8A"/>
    <w:rsid w:val="00FC2706"/>
    <w:rsid w:val="00FC76CB"/>
    <w:rsid w:val="00FD4D0C"/>
    <w:rsid w:val="00FD5A97"/>
    <w:rsid w:val="00FD69FE"/>
    <w:rsid w:val="00FE4E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A2D494-2C8C-4B0C-9A91-1CA5C938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Underskrifter">
    <w:name w:val="Underskrifter"/>
    <w:basedOn w:val="Normal"/>
    <w:rsid w:val="00303CA0"/>
    <w:pPr>
      <w:keepNext/>
      <w:keepLines/>
      <w:suppressAutoHyphens/>
      <w:spacing w:before="0" w:after="40" w:line="250" w:lineRule="exact"/>
    </w:pPr>
    <w:rPr>
      <w:i/>
    </w:rPr>
  </w:style>
  <w:style w:type="paragraph" w:customStyle="1" w:styleId="UnderskriftDatum">
    <w:name w:val="UnderskriftDatum"/>
    <w:basedOn w:val="Underskrifter"/>
    <w:next w:val="Underskrifter"/>
    <w:rsid w:val="00303CA0"/>
    <w:pPr>
      <w:spacing w:before="250" w:after="125"/>
    </w:pPr>
    <w:rPr>
      <w:i w:val="0"/>
    </w:rPr>
  </w:style>
  <w:style w:type="paragraph" w:customStyle="1" w:styleId="PunktlistaBomb">
    <w:name w:val="Punktlista_Bomb"/>
    <w:aliases w:val="Bomb"/>
    <w:basedOn w:val="Normal"/>
    <w:rsid w:val="00303CA0"/>
    <w:pPr>
      <w:numPr>
        <w:numId w:val="14"/>
      </w:numPr>
      <w:tabs>
        <w:tab w:val="clear" w:pos="360"/>
      </w:tabs>
      <w:spacing w:before="125"/>
    </w:pPr>
  </w:style>
  <w:style w:type="paragraph" w:styleId="HTML-frformaterad">
    <w:name w:val="HTML Preformatted"/>
    <w:basedOn w:val="Normal"/>
    <w:rsid w:val="00303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paragraph" w:styleId="Brdtext">
    <w:name w:val="Body Text"/>
    <w:basedOn w:val="Normal"/>
    <w:rsid w:val="00303CA0"/>
    <w:pPr>
      <w:spacing w:before="0" w:after="120" w:line="260" w:lineRule="atLeast"/>
    </w:pPr>
    <w:rPr>
      <w:sz w:val="24"/>
      <w:szCs w:val="24"/>
    </w:rPr>
  </w:style>
  <w:style w:type="paragraph" w:styleId="Normalwebb">
    <w:name w:val="Normal (Web)"/>
    <w:basedOn w:val="Normal"/>
    <w:rsid w:val="00303CA0"/>
    <w:pPr>
      <w:spacing w:before="100" w:beforeAutospacing="1" w:after="100" w:afterAutospacing="1" w:line="240" w:lineRule="auto"/>
      <w:jc w:val="left"/>
    </w:pPr>
    <w:rPr>
      <w:sz w:val="24"/>
      <w:szCs w:val="24"/>
    </w:rPr>
  </w:style>
  <w:style w:type="character" w:styleId="Stark">
    <w:name w:val="Strong"/>
    <w:basedOn w:val="Standardstycketeckensnitt"/>
    <w:qFormat/>
    <w:rsid w:val="00303CA0"/>
    <w:rPr>
      <w:b/>
      <w:bCs/>
    </w:rPr>
  </w:style>
  <w:style w:type="paragraph" w:customStyle="1" w:styleId="RKnormal">
    <w:name w:val="RKnormal"/>
    <w:basedOn w:val="Normal"/>
    <w:rsid w:val="00303CA0"/>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PunktlistaTankstreck">
    <w:name w:val="Punktlista_Tankstreck"/>
    <w:aliases w:val="Tankstreck"/>
    <w:basedOn w:val="Normal"/>
    <w:rsid w:val="007543B8"/>
    <w:pPr>
      <w:numPr>
        <w:numId w:val="25"/>
      </w:numPr>
      <w:tabs>
        <w:tab w:val="clear" w:pos="360"/>
      </w:tabs>
      <w:spacing w:before="125"/>
    </w:pPr>
  </w:style>
  <w:style w:type="character" w:customStyle="1" w:styleId="NormaltindragChar">
    <w:name w:val="Normalt indrag Char"/>
    <w:aliases w:val="Normal_indrag Char,Normal Indrag Char"/>
    <w:basedOn w:val="Standardstycketeckensnitt"/>
    <w:link w:val="Normaltindrag"/>
    <w:rsid w:val="00921B21"/>
    <w:rPr>
      <w:sz w:val="19"/>
      <w:lang w:val="sv-SE" w:eastAsia="sv-SE" w:bidi="ar-SA"/>
    </w:rPr>
  </w:style>
  <w:style w:type="table" w:styleId="Tabellrutnt">
    <w:name w:val="Table Grid"/>
    <w:basedOn w:val="Normaltabell"/>
    <w:rsid w:val="00802F58"/>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nkeltabell1">
    <w:name w:val="Table Simple 1"/>
    <w:basedOn w:val="Normaltabell"/>
    <w:rsid w:val="00384A19"/>
    <w:pPr>
      <w:spacing w:before="62" w:line="25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5486">
      <w:bodyDiv w:val="1"/>
      <w:marLeft w:val="0"/>
      <w:marRight w:val="0"/>
      <w:marTop w:val="0"/>
      <w:marBottom w:val="0"/>
      <w:divBdr>
        <w:top w:val="none" w:sz="0" w:space="0" w:color="auto"/>
        <w:left w:val="none" w:sz="0" w:space="0" w:color="auto"/>
        <w:bottom w:val="none" w:sz="0" w:space="0" w:color="auto"/>
        <w:right w:val="none" w:sz="0" w:space="0" w:color="auto"/>
      </w:divBdr>
    </w:div>
    <w:div w:id="414280883">
      <w:bodyDiv w:val="1"/>
      <w:marLeft w:val="0"/>
      <w:marRight w:val="0"/>
      <w:marTop w:val="0"/>
      <w:marBottom w:val="0"/>
      <w:divBdr>
        <w:top w:val="none" w:sz="0" w:space="0" w:color="auto"/>
        <w:left w:val="none" w:sz="0" w:space="0" w:color="auto"/>
        <w:bottom w:val="none" w:sz="0" w:space="0" w:color="auto"/>
        <w:right w:val="none" w:sz="0" w:space="0" w:color="auto"/>
      </w:divBdr>
    </w:div>
    <w:div w:id="458454575">
      <w:bodyDiv w:val="1"/>
      <w:marLeft w:val="0"/>
      <w:marRight w:val="0"/>
      <w:marTop w:val="0"/>
      <w:marBottom w:val="0"/>
      <w:divBdr>
        <w:top w:val="none" w:sz="0" w:space="0" w:color="auto"/>
        <w:left w:val="none" w:sz="0" w:space="0" w:color="auto"/>
        <w:bottom w:val="none" w:sz="0" w:space="0" w:color="auto"/>
        <w:right w:val="none" w:sz="0" w:space="0" w:color="auto"/>
      </w:divBdr>
    </w:div>
    <w:div w:id="888298876">
      <w:bodyDiv w:val="1"/>
      <w:marLeft w:val="0"/>
      <w:marRight w:val="0"/>
      <w:marTop w:val="0"/>
      <w:marBottom w:val="0"/>
      <w:divBdr>
        <w:top w:val="none" w:sz="0" w:space="0" w:color="auto"/>
        <w:left w:val="none" w:sz="0" w:space="0" w:color="auto"/>
        <w:bottom w:val="none" w:sz="0" w:space="0" w:color="auto"/>
        <w:right w:val="none" w:sz="0" w:space="0" w:color="auto"/>
      </w:divBdr>
    </w:div>
    <w:div w:id="1004169128">
      <w:bodyDiv w:val="1"/>
      <w:marLeft w:val="0"/>
      <w:marRight w:val="0"/>
      <w:marTop w:val="0"/>
      <w:marBottom w:val="0"/>
      <w:divBdr>
        <w:top w:val="none" w:sz="0" w:space="0" w:color="auto"/>
        <w:left w:val="none" w:sz="0" w:space="0" w:color="auto"/>
        <w:bottom w:val="none" w:sz="0" w:space="0" w:color="auto"/>
        <w:right w:val="none" w:sz="0" w:space="0" w:color="auto"/>
      </w:divBdr>
    </w:div>
    <w:div w:id="1413576687">
      <w:bodyDiv w:val="1"/>
      <w:marLeft w:val="0"/>
      <w:marRight w:val="0"/>
      <w:marTop w:val="0"/>
      <w:marBottom w:val="0"/>
      <w:divBdr>
        <w:top w:val="none" w:sz="0" w:space="0" w:color="auto"/>
        <w:left w:val="none" w:sz="0" w:space="0" w:color="auto"/>
        <w:bottom w:val="none" w:sz="0" w:space="0" w:color="auto"/>
        <w:right w:val="none" w:sz="0" w:space="0" w:color="auto"/>
      </w:divBdr>
    </w:div>
    <w:div w:id="1488669708">
      <w:bodyDiv w:val="1"/>
      <w:marLeft w:val="0"/>
      <w:marRight w:val="0"/>
      <w:marTop w:val="0"/>
      <w:marBottom w:val="0"/>
      <w:divBdr>
        <w:top w:val="none" w:sz="0" w:space="0" w:color="auto"/>
        <w:left w:val="none" w:sz="0" w:space="0" w:color="auto"/>
        <w:bottom w:val="none" w:sz="0" w:space="0" w:color="auto"/>
        <w:right w:val="none" w:sz="0" w:space="0" w:color="auto"/>
      </w:divBdr>
    </w:div>
    <w:div w:id="1800102486">
      <w:bodyDiv w:val="1"/>
      <w:marLeft w:val="0"/>
      <w:marRight w:val="0"/>
      <w:marTop w:val="0"/>
      <w:marBottom w:val="0"/>
      <w:divBdr>
        <w:top w:val="none" w:sz="0" w:space="0" w:color="auto"/>
        <w:left w:val="none" w:sz="0" w:space="0" w:color="auto"/>
        <w:bottom w:val="none" w:sz="0" w:space="0" w:color="auto"/>
        <w:right w:val="none" w:sz="0" w:space="0" w:color="auto"/>
      </w:divBdr>
    </w:div>
    <w:div w:id="1954895475">
      <w:bodyDiv w:val="1"/>
      <w:marLeft w:val="0"/>
      <w:marRight w:val="0"/>
      <w:marTop w:val="0"/>
      <w:marBottom w:val="0"/>
      <w:divBdr>
        <w:top w:val="none" w:sz="0" w:space="0" w:color="auto"/>
        <w:left w:val="none" w:sz="0" w:space="0" w:color="auto"/>
        <w:bottom w:val="none" w:sz="0" w:space="0" w:color="auto"/>
        <w:right w:val="none" w:sz="0" w:space="0" w:color="auto"/>
      </w:divBdr>
    </w:div>
    <w:div w:id="203823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19960</Words>
  <Characters>128743</Characters>
  <Application>Microsoft Office Word</Application>
  <DocSecurity>4</DocSecurity>
  <Lines>2475</Lines>
  <Paragraphs>548</Paragraphs>
  <ScaleCrop>false</ScaleCrop>
  <HeadingPairs>
    <vt:vector size="2" baseType="variant">
      <vt:variant>
        <vt:lpstr>Rubrik</vt:lpstr>
      </vt:variant>
      <vt:variant>
        <vt:i4>1</vt:i4>
      </vt:variant>
    </vt:vector>
  </HeadingPairs>
  <TitlesOfParts>
    <vt:vector size="1" baseType="lpstr">
      <vt:lpstr>Näringsutskottets yttrande</vt:lpstr>
    </vt:vector>
  </TitlesOfParts>
  <Company>Riksdagen</Company>
  <LinksUpToDate>false</LinksUpToDate>
  <CharactersWithSpaces>148155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dc:description/>
  <cp:lastModifiedBy>Lars Brink</cp:lastModifiedBy>
  <cp:revision>2</cp:revision>
  <cp:lastPrinted>2005-05-23T11:51:00Z</cp:lastPrinted>
  <dcterms:created xsi:type="dcterms:W3CDTF">2025-12-16T18:40:00Z</dcterms:created>
  <dcterms:modified xsi:type="dcterms:W3CDTF">2025-12-16T18:40:00Z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NU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