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841FB3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841FB3" w:rsidRDefault="008B4B25">
            <w:pPr>
              <w:pStyle w:val="HuvudRubrik"/>
            </w:pPr>
            <w:r w:rsidRPr="00841FB3">
              <w:t>Framställning till riksdagen</w:t>
            </w:r>
          </w:p>
          <w:p w:rsidR="00F53A97" w:rsidRPr="00841FB3" w:rsidRDefault="000B6AA3">
            <w:pPr>
              <w:pStyle w:val="HuvudRubrikRad2"/>
            </w:pPr>
            <w:bookmarkStart w:id="0" w:name="BetänkandeNr"/>
            <w:bookmarkEnd w:id="0"/>
            <w:r w:rsidRPr="00841FB3">
              <w:t>2005/06</w:t>
            </w:r>
            <w:r w:rsidR="00F53A97" w:rsidRPr="00841FB3">
              <w:t>:</w:t>
            </w:r>
            <w:r w:rsidR="008B4B25" w:rsidRPr="00841FB3">
              <w:t>RB</w:t>
            </w:r>
            <w:r w:rsidRPr="00841FB3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841FB3" w:rsidRDefault="00841FB3">
            <w:pPr>
              <w:spacing w:line="230" w:lineRule="auto"/>
              <w:jc w:val="center"/>
            </w:pPr>
            <w:r w:rsidRPr="00841FB3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841FB3" w:rsidRDefault="00F53A97">
            <w:pPr>
              <w:pStyle w:val="Normaltindrag"/>
              <w:jc w:val="center"/>
            </w:pPr>
          </w:p>
          <w:p w:rsidR="00F53A97" w:rsidRPr="00841FB3" w:rsidRDefault="00F53A97">
            <w:pPr>
              <w:pStyle w:val="StatusSida1"/>
            </w:pPr>
          </w:p>
          <w:p w:rsidR="00F53A97" w:rsidRPr="00841FB3" w:rsidRDefault="00F53A97">
            <w:pPr>
              <w:pStyle w:val="UtskriftsdatumSida1"/>
              <w:framePr w:wrap="around"/>
            </w:pPr>
          </w:p>
        </w:tc>
      </w:tr>
      <w:tr w:rsidR="00F53A97" w:rsidRPr="00841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841FB3" w:rsidRDefault="007551A1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841FB3">
              <w:rPr>
                <w:noProof w:val="0"/>
              </w:rPr>
              <w:t>F</w:t>
            </w:r>
            <w:r w:rsidR="008F1FAD" w:rsidRPr="00841FB3">
              <w:rPr>
                <w:noProof w:val="0"/>
              </w:rPr>
              <w:t>örslag till disposition av Riksba</w:t>
            </w:r>
            <w:r w:rsidR="002F3070" w:rsidRPr="00841FB3">
              <w:rPr>
                <w:noProof w:val="0"/>
              </w:rPr>
              <w:t xml:space="preserve">nkens vinst för räkenskapsåret </w:t>
            </w:r>
            <w:r w:rsidR="008F1FAD" w:rsidRPr="00841FB3">
              <w:rPr>
                <w:noProof w:val="0"/>
              </w:rPr>
              <w:t xml:space="preserve">2005 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841FB3" w:rsidRDefault="00F53A97"/>
        </w:tc>
      </w:tr>
      <w:tr w:rsidR="00F53A97" w:rsidRPr="00841FB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841FB3" w:rsidRDefault="00F53A97"/>
        </w:tc>
        <w:tc>
          <w:tcPr>
            <w:tcW w:w="3012" w:type="dxa"/>
          </w:tcPr>
          <w:p w:rsidR="00F53A97" w:rsidRPr="00841FB3" w:rsidRDefault="00F53A97"/>
        </w:tc>
        <w:tc>
          <w:tcPr>
            <w:tcW w:w="1418" w:type="dxa"/>
          </w:tcPr>
          <w:p w:rsidR="00F53A97" w:rsidRPr="00841FB3" w:rsidRDefault="00F53A97"/>
        </w:tc>
      </w:tr>
    </w:tbl>
    <w:p w:rsidR="00F53A97" w:rsidRPr="00841FB3" w:rsidRDefault="00F53A97"/>
    <w:p w:rsidR="008F1FAD" w:rsidRPr="00841FB3" w:rsidRDefault="008F1FAD" w:rsidP="008F1FAD">
      <w:bookmarkStart w:id="2" w:name="TextStart"/>
      <w:bookmarkEnd w:id="2"/>
    </w:p>
    <w:p w:rsidR="008B4B25" w:rsidRPr="00841FB3" w:rsidRDefault="008B4B25" w:rsidP="00827E31">
      <w:pPr>
        <w:pStyle w:val="Rubrik1"/>
        <w:spacing w:after="360"/>
        <w:rPr>
          <w:noProof w:val="0"/>
        </w:rPr>
      </w:pPr>
      <w:r w:rsidRPr="00841FB3">
        <w:rPr>
          <w:noProof w:val="0"/>
        </w:rPr>
        <w:t>Förslag till vinstdisposition för år 2005</w:t>
      </w:r>
    </w:p>
    <w:p w:rsidR="008B4B25" w:rsidRPr="00841FB3" w:rsidRDefault="008B4B25" w:rsidP="008B4B25">
      <w:r w:rsidRPr="00841FB3">
        <w:t>Riksdagen godkände i anslutning till sin behandling av Riksbankens förval</w:t>
      </w:r>
      <w:r w:rsidRPr="00841FB3">
        <w:t>t</w:t>
      </w:r>
      <w:r w:rsidRPr="00841FB3">
        <w:t>ning för år 2004 (2004/05</w:t>
      </w:r>
      <w:r w:rsidR="002F3070" w:rsidRPr="00841FB3">
        <w:t>:</w:t>
      </w:r>
      <w:r w:rsidRPr="00841FB3">
        <w:t>FiU23) att vinstdispositionen för år 2004 baser</w:t>
      </w:r>
      <w:r w:rsidRPr="00841FB3">
        <w:t>a</w:t>
      </w:r>
      <w:r w:rsidRPr="00841FB3">
        <w:t>des på 1988 års vinstdelningsprincip med de kompletteringar av principen som genomförts sedan dess, vilket också var fullmäktiges förslag. Principen inn</w:t>
      </w:r>
      <w:r w:rsidRPr="00841FB3">
        <w:t>e</w:t>
      </w:r>
      <w:r w:rsidRPr="00841FB3">
        <w:t xml:space="preserve">bär i korthet att 80 </w:t>
      </w:r>
      <w:r w:rsidR="00AB3FE5" w:rsidRPr="00841FB3">
        <w:t>procent</w:t>
      </w:r>
      <w:r w:rsidRPr="00841FB3">
        <w:t xml:space="preserve"> av det genomsnittliga resu</w:t>
      </w:r>
      <w:r w:rsidRPr="00841FB3">
        <w:t>l</w:t>
      </w:r>
      <w:r w:rsidRPr="00841FB3">
        <w:t>tatet under de senaste fem åren exklusive valutakurs- och guldvärderingseffekter ska inlev</w:t>
      </w:r>
      <w:r w:rsidRPr="00841FB3">
        <w:t>e</w:t>
      </w:r>
      <w:r w:rsidRPr="00841FB3">
        <w:t xml:space="preserve">reras till statsverket. </w:t>
      </w:r>
    </w:p>
    <w:p w:rsidR="008B4B25" w:rsidRPr="00841FB3" w:rsidRDefault="008B4B25" w:rsidP="008B4B25">
      <w:pPr>
        <w:pStyle w:val="Normaltindrag"/>
      </w:pPr>
      <w:r w:rsidRPr="00841FB3">
        <w:t>Fullmäktige noterade i sin behandling av förslag till vinstdisposition för år 2004 att eftersom principerna för Riksbankens redovisning har förändrats ingår fr</w:t>
      </w:r>
      <w:r w:rsidR="002F3070" w:rsidRPr="00841FB3">
        <w:t xml:space="preserve">.o.m. </w:t>
      </w:r>
      <w:r w:rsidRPr="00841FB3">
        <w:t>2004 inte längre orealiserade vinster i Riksbankens redovis</w:t>
      </w:r>
      <w:r w:rsidRPr="00841FB3">
        <w:t>a</w:t>
      </w:r>
      <w:r w:rsidRPr="00841FB3">
        <w:t>de resultat. Detta för</w:t>
      </w:r>
      <w:r w:rsidRPr="00841FB3">
        <w:softHyphen/>
        <w:t>anledde fullmäktige att inkludera de orealiserade priseffek</w:t>
      </w:r>
      <w:r w:rsidRPr="00841FB3">
        <w:t>t</w:t>
      </w:r>
      <w:r w:rsidRPr="00841FB3">
        <w:t>vinster på räntebärande värdepapper som redovisas på värdereglering</w:t>
      </w:r>
      <w:r w:rsidRPr="00841FB3">
        <w:t>s</w:t>
      </w:r>
      <w:r w:rsidRPr="00841FB3">
        <w:t>konto vid beräkningen av inleveran</w:t>
      </w:r>
      <w:r w:rsidRPr="00841FB3">
        <w:softHyphen/>
        <w:t>sen till statsverket för att därmed fortsätta ti</w:t>
      </w:r>
      <w:r w:rsidRPr="00841FB3">
        <w:t>l</w:t>
      </w:r>
      <w:r w:rsidRPr="00841FB3">
        <w:t>lämpa 1988 års vinstdispositionsprincip. För år 2005 tillämpar fullmäktige samma beräkningsgrund.</w:t>
      </w:r>
    </w:p>
    <w:p w:rsidR="008B4B25" w:rsidRPr="00841FB3" w:rsidRDefault="008B4B25" w:rsidP="008B4B25">
      <w:pPr>
        <w:pStyle w:val="Normaltindrag"/>
      </w:pPr>
      <w:r w:rsidRPr="00841FB3">
        <w:t>Fullmäktige har i enlighet med 10 kap. 3 § lagen (1988:1385) om Sveriges riksbank erhållit redovisning från direktionen över räkenskapsåret 2005. Fullmäktige konsta</w:t>
      </w:r>
      <w:r w:rsidRPr="00841FB3">
        <w:softHyphen/>
        <w:t>terar att Riksbanken med tillämpning av nuvarande red</w:t>
      </w:r>
      <w:r w:rsidRPr="00841FB3">
        <w:t>o</w:t>
      </w:r>
      <w:r w:rsidRPr="00841FB3">
        <w:t>visningsprinciper redovisar en vinst för 2005 uppgående till 3 256 miljoner kronor. I enlighet med 1988 års vinstdelningsprincip görs följande justeringar a</w:t>
      </w:r>
      <w:r w:rsidRPr="00841FB3">
        <w:rPr>
          <w:spacing w:val="-2"/>
          <w:szCs w:val="19"/>
        </w:rPr>
        <w:t>v det redovisade resultatet vid beräk</w:t>
      </w:r>
      <w:r w:rsidRPr="00841FB3">
        <w:rPr>
          <w:spacing w:val="-2"/>
          <w:szCs w:val="19"/>
        </w:rPr>
        <w:softHyphen/>
        <w:t>ning av det inleveransgrundande re</w:t>
      </w:r>
      <w:r w:rsidRPr="00841FB3">
        <w:rPr>
          <w:szCs w:val="19"/>
        </w:rPr>
        <w:t>sult</w:t>
      </w:r>
      <w:r w:rsidRPr="00841FB3">
        <w:rPr>
          <w:szCs w:val="19"/>
        </w:rPr>
        <w:t>a</w:t>
      </w:r>
      <w:r w:rsidRPr="00841FB3">
        <w:rPr>
          <w:szCs w:val="19"/>
        </w:rPr>
        <w:t xml:space="preserve">tet: </w:t>
      </w:r>
    </w:p>
    <w:p w:rsidR="008B4B25" w:rsidRPr="00841FB3" w:rsidRDefault="008B4B25" w:rsidP="008B4B25">
      <w:pPr>
        <w:pStyle w:val="Numreradlista"/>
      </w:pPr>
      <w:r w:rsidRPr="00841FB3">
        <w:t>Det redovisade resultatet påverkas negativt av en realiserad valutakur</w:t>
      </w:r>
      <w:r w:rsidRPr="00841FB3">
        <w:t>s</w:t>
      </w:r>
      <w:r w:rsidRPr="00841FB3">
        <w:t>för</w:t>
      </w:r>
      <w:r w:rsidRPr="00841FB3">
        <w:softHyphen/>
        <w:t>lust om 875 miljoner kronor. I enlighet med vinstdelningsprincipen exklu</w:t>
      </w:r>
      <w:r w:rsidRPr="00841FB3">
        <w:softHyphen/>
        <w:t>deras denna förlust vid beräkningen av det inleveransgrundande r</w:t>
      </w:r>
      <w:r w:rsidRPr="00841FB3">
        <w:t>e</w:t>
      </w:r>
      <w:r w:rsidRPr="00841FB3">
        <w:t xml:space="preserve">sultatet. </w:t>
      </w:r>
    </w:p>
    <w:p w:rsidR="008B4B25" w:rsidRPr="00841FB3" w:rsidRDefault="008B4B25" w:rsidP="008B4B25">
      <w:pPr>
        <w:pStyle w:val="Numreradlista"/>
      </w:pPr>
      <w:r w:rsidRPr="00841FB3">
        <w:lastRenderedPageBreak/>
        <w:t>Riksbanken har redovisat en realiserad vinst om 58 milj</w:t>
      </w:r>
      <w:r w:rsidRPr="00841FB3">
        <w:t>o</w:t>
      </w:r>
      <w:r w:rsidRPr="00841FB3">
        <w:t>ner kronor till följd av att guld avyttrats under 2005. Fullmäktige anser att i konsekvens med vinstdelningsprincipen bör realiserade guldeffekter behandlas på samma sätt som realiserade valutakurseffekter och har därför e</w:t>
      </w:r>
      <w:r w:rsidRPr="00841FB3">
        <w:t>x</w:t>
      </w:r>
      <w:r w:rsidRPr="00841FB3">
        <w:t>kluderat även denna vinst vid vinstdispositions</w:t>
      </w:r>
      <w:r w:rsidRPr="00841FB3">
        <w:softHyphen/>
        <w:t xml:space="preserve">beräkningen. </w:t>
      </w:r>
    </w:p>
    <w:p w:rsidR="008B4B25" w:rsidRPr="00841FB3" w:rsidRDefault="008B4B25" w:rsidP="008B4B25">
      <w:pPr>
        <w:pStyle w:val="Numreradlista"/>
      </w:pPr>
      <w:r w:rsidRPr="00841FB3">
        <w:t>En orealiserad priseffektvinst på obligationsinnehavet om 198 miljoner kronor inkluderas vid beräkning av det inleveransgrundande resultatet i enlighet med den ovan nämnda justeringen till följd av förändrade redo</w:t>
      </w:r>
      <w:r w:rsidRPr="00841FB3">
        <w:softHyphen/>
        <w:t xml:space="preserve">visningsprinciper. </w:t>
      </w:r>
    </w:p>
    <w:p w:rsidR="008B4B25" w:rsidRPr="00841FB3" w:rsidRDefault="008B4B25" w:rsidP="000B6AA3">
      <w:pPr>
        <w:spacing w:before="187"/>
      </w:pPr>
      <w:r w:rsidRPr="00841FB3">
        <w:t>F</w:t>
      </w:r>
      <w:r w:rsidRPr="00841FB3">
        <w:rPr>
          <w:spacing w:val="-2"/>
          <w:szCs w:val="19"/>
        </w:rPr>
        <w:t>ullmäktige föreslår enligt nedan en inleverans till statsverket om 5 300 mil</w:t>
      </w:r>
      <w:r w:rsidRPr="00841FB3">
        <w:t>j</w:t>
      </w:r>
      <w:r w:rsidRPr="00841FB3">
        <w:t>o</w:t>
      </w:r>
      <w:r w:rsidRPr="00841FB3">
        <w:t xml:space="preserve">ner kronor. </w:t>
      </w:r>
    </w:p>
    <w:p w:rsidR="008B4B25" w:rsidRPr="00841FB3" w:rsidRDefault="008B4B25" w:rsidP="008B4B25">
      <w:pPr>
        <w:pStyle w:val="Normaltindrag"/>
      </w:pPr>
      <w:r w:rsidRPr="00841FB3">
        <w:t>Eftersom den föreslagna inleveransen är större än årets redovisade resultat föreslås att 157 miljoner kronor förs från dispositionsfonden och 1 887 milj</w:t>
      </w:r>
      <w:r w:rsidRPr="00841FB3">
        <w:t>o</w:t>
      </w:r>
      <w:r w:rsidRPr="00841FB3">
        <w:t>ner kronor från resultatutjämningsfonden. Beräkningsunderlaget för vinstdi</w:t>
      </w:r>
      <w:r w:rsidRPr="00841FB3">
        <w:t>s</w:t>
      </w:r>
      <w:r w:rsidRPr="00841FB3">
        <w:t>positionsförslaget fram</w:t>
      </w:r>
      <w:r w:rsidRPr="00841FB3">
        <w:softHyphen/>
        <w:t>går av bil</w:t>
      </w:r>
      <w:r w:rsidRPr="00841FB3">
        <w:t>a</w:t>
      </w:r>
      <w:r w:rsidRPr="00841FB3">
        <w:t>ga.</w:t>
      </w:r>
    </w:p>
    <w:p w:rsidR="008B4B25" w:rsidRPr="00841FB3" w:rsidRDefault="008B4B25" w:rsidP="008B4B25">
      <w:pPr>
        <w:pStyle w:val="Normaltindrag"/>
      </w:pPr>
      <w:r w:rsidRPr="00841FB3">
        <w:t>Fullmäktiges revi</w:t>
      </w:r>
      <w:r w:rsidRPr="00841FB3">
        <w:softHyphen/>
        <w:t>sionsenhet har granskat underlaget för beräkningen av vinstdispo</w:t>
      </w:r>
      <w:r w:rsidRPr="00841FB3">
        <w:softHyphen/>
        <w:t>sitionsförslaget. Revisionsenheten har därvid inte haft något att anmärka.</w:t>
      </w:r>
    </w:p>
    <w:p w:rsidR="008B4B25" w:rsidRPr="00841FB3" w:rsidRDefault="008B4B25" w:rsidP="008B4B25">
      <w:pPr>
        <w:pStyle w:val="Normaltindrag"/>
      </w:pPr>
      <w:r w:rsidRPr="00841FB3">
        <w:t>Fullmäktige har den 10 februari 2006 beslutat avge följande förslag till disp</w:t>
      </w:r>
      <w:r w:rsidRPr="00841FB3">
        <w:t>o</w:t>
      </w:r>
      <w:r w:rsidRPr="00841FB3">
        <w:t>sition av Riksbankens vinst.</w:t>
      </w:r>
    </w:p>
    <w:p w:rsidR="008B4B25" w:rsidRPr="00841FB3" w:rsidRDefault="008B4B25" w:rsidP="008B4B25">
      <w:r w:rsidRPr="00841FB3">
        <w:t>Resultatet för år 2005 före bokslutsdispositioner uppgår till 3 256 miljoner kronor.</w:t>
      </w:r>
    </w:p>
    <w:p w:rsidR="008B4B25" w:rsidRPr="00841FB3" w:rsidRDefault="008B4B25" w:rsidP="008B4B25">
      <w:r w:rsidRPr="00841FB3">
        <w:t>Full</w:t>
      </w:r>
      <w:r w:rsidRPr="00841FB3">
        <w:softHyphen/>
        <w:t>mäktige föreslår att: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6"/>
        <w:gridCol w:w="1937"/>
      </w:tblGrid>
      <w:tr w:rsidR="008B4B25" w:rsidRPr="00841FB3">
        <w:tc>
          <w:tcPr>
            <w:tcW w:w="0" w:type="auto"/>
          </w:tcPr>
          <w:p w:rsidR="008B4B25" w:rsidRPr="00841FB3" w:rsidRDefault="008B4B25" w:rsidP="008B4B25">
            <w:pPr>
              <w:pStyle w:val="Brdtext"/>
              <w:spacing w:before="62" w:after="0" w:line="250" w:lineRule="atLeast"/>
              <w:rPr>
                <w:rFonts w:ascii="Times New Roman" w:hAnsi="Times New Roman"/>
                <w:sz w:val="19"/>
                <w:szCs w:val="19"/>
              </w:rPr>
            </w:pPr>
            <w:r w:rsidRPr="00841FB3">
              <w:rPr>
                <w:rFonts w:ascii="Times New Roman" w:hAnsi="Times New Roman"/>
                <w:sz w:val="19"/>
                <w:szCs w:val="19"/>
              </w:rPr>
              <w:t xml:space="preserve">– från Riksbankens dispositionsfond förs </w:t>
            </w:r>
          </w:p>
        </w:tc>
        <w:tc>
          <w:tcPr>
            <w:tcW w:w="0" w:type="auto"/>
          </w:tcPr>
          <w:p w:rsidR="008B4B25" w:rsidRPr="00841FB3" w:rsidRDefault="008B4B25" w:rsidP="00AB3FE5">
            <w:pPr>
              <w:pStyle w:val="Brdtext"/>
              <w:spacing w:before="62" w:after="0" w:line="25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1FB3">
              <w:rPr>
                <w:rFonts w:ascii="Times New Roman" w:hAnsi="Times New Roman"/>
                <w:sz w:val="19"/>
                <w:szCs w:val="19"/>
              </w:rPr>
              <w:t>157 miljoner kr</w:t>
            </w:r>
            <w:r w:rsidRPr="00841FB3">
              <w:rPr>
                <w:rFonts w:ascii="Times New Roman" w:hAnsi="Times New Roman"/>
                <w:sz w:val="19"/>
                <w:szCs w:val="19"/>
              </w:rPr>
              <w:t>o</w:t>
            </w:r>
            <w:r w:rsidRPr="00841FB3">
              <w:rPr>
                <w:rFonts w:ascii="Times New Roman" w:hAnsi="Times New Roman"/>
                <w:sz w:val="19"/>
                <w:szCs w:val="19"/>
              </w:rPr>
              <w:t xml:space="preserve">nor </w:t>
            </w:r>
          </w:p>
        </w:tc>
      </w:tr>
      <w:tr w:rsidR="008B4B25" w:rsidRPr="00841FB3">
        <w:tc>
          <w:tcPr>
            <w:tcW w:w="0" w:type="auto"/>
          </w:tcPr>
          <w:p w:rsidR="008B4B25" w:rsidRPr="00841FB3" w:rsidRDefault="008B4B25" w:rsidP="008B4B25">
            <w:pPr>
              <w:pStyle w:val="Brdtext"/>
              <w:spacing w:before="62" w:after="0" w:line="250" w:lineRule="atLeast"/>
              <w:rPr>
                <w:rFonts w:ascii="Times New Roman" w:hAnsi="Times New Roman"/>
                <w:sz w:val="19"/>
                <w:szCs w:val="19"/>
              </w:rPr>
            </w:pPr>
            <w:r w:rsidRPr="00841FB3">
              <w:rPr>
                <w:rFonts w:ascii="Times New Roman" w:hAnsi="Times New Roman"/>
                <w:sz w:val="19"/>
                <w:szCs w:val="19"/>
              </w:rPr>
              <w:t>– från Riksbankens resultatutjämningsfond förs</w:t>
            </w:r>
          </w:p>
        </w:tc>
        <w:tc>
          <w:tcPr>
            <w:tcW w:w="0" w:type="auto"/>
          </w:tcPr>
          <w:p w:rsidR="008B4B25" w:rsidRPr="00841FB3" w:rsidRDefault="008B4B25" w:rsidP="00AB3FE5">
            <w:pPr>
              <w:pStyle w:val="Brdtext"/>
              <w:spacing w:before="62" w:after="0" w:line="25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1FB3">
              <w:rPr>
                <w:rFonts w:ascii="Times New Roman" w:hAnsi="Times New Roman"/>
                <w:sz w:val="19"/>
                <w:szCs w:val="19"/>
              </w:rPr>
              <w:t>1 887 miljoner kr</w:t>
            </w:r>
            <w:r w:rsidRPr="00841FB3">
              <w:rPr>
                <w:rFonts w:ascii="Times New Roman" w:hAnsi="Times New Roman"/>
                <w:sz w:val="19"/>
                <w:szCs w:val="19"/>
              </w:rPr>
              <w:t>o</w:t>
            </w:r>
            <w:r w:rsidRPr="00841FB3">
              <w:rPr>
                <w:rFonts w:ascii="Times New Roman" w:hAnsi="Times New Roman"/>
                <w:sz w:val="19"/>
                <w:szCs w:val="19"/>
              </w:rPr>
              <w:t xml:space="preserve">nor </w:t>
            </w:r>
          </w:p>
        </w:tc>
      </w:tr>
      <w:tr w:rsidR="008B4B25" w:rsidRPr="00841FB3">
        <w:tc>
          <w:tcPr>
            <w:tcW w:w="0" w:type="auto"/>
          </w:tcPr>
          <w:p w:rsidR="008B4B25" w:rsidRPr="00841FB3" w:rsidRDefault="008B4B25" w:rsidP="008B4B25">
            <w:pPr>
              <w:pStyle w:val="Brdtext"/>
              <w:spacing w:before="62" w:after="0" w:line="250" w:lineRule="atLeast"/>
              <w:rPr>
                <w:rFonts w:ascii="Times New Roman" w:hAnsi="Times New Roman"/>
                <w:sz w:val="19"/>
                <w:szCs w:val="19"/>
              </w:rPr>
            </w:pPr>
            <w:r w:rsidRPr="00841FB3">
              <w:rPr>
                <w:rFonts w:ascii="Times New Roman" w:hAnsi="Times New Roman"/>
                <w:sz w:val="19"/>
                <w:szCs w:val="19"/>
              </w:rPr>
              <w:t xml:space="preserve">– till statsverket inlevereras  </w:t>
            </w:r>
          </w:p>
        </w:tc>
        <w:tc>
          <w:tcPr>
            <w:tcW w:w="0" w:type="auto"/>
          </w:tcPr>
          <w:p w:rsidR="008B4B25" w:rsidRPr="00841FB3" w:rsidRDefault="008B4B25" w:rsidP="00AB3FE5">
            <w:pPr>
              <w:pStyle w:val="Brdtext"/>
              <w:spacing w:before="62" w:after="0" w:line="25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1FB3">
              <w:rPr>
                <w:rFonts w:ascii="Times New Roman" w:hAnsi="Times New Roman"/>
                <w:sz w:val="19"/>
                <w:szCs w:val="19"/>
              </w:rPr>
              <w:t>5 300 miljoner kr</w:t>
            </w:r>
            <w:r w:rsidRPr="00841FB3">
              <w:rPr>
                <w:rFonts w:ascii="Times New Roman" w:hAnsi="Times New Roman"/>
                <w:sz w:val="19"/>
                <w:szCs w:val="19"/>
              </w:rPr>
              <w:t>o</w:t>
            </w:r>
            <w:r w:rsidRPr="00841FB3">
              <w:rPr>
                <w:rFonts w:ascii="Times New Roman" w:hAnsi="Times New Roman"/>
                <w:sz w:val="19"/>
                <w:szCs w:val="19"/>
              </w:rPr>
              <w:t>nor</w:t>
            </w:r>
            <w:r w:rsidR="002F3070" w:rsidRPr="00841FB3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</w:tbl>
    <w:p w:rsidR="008B4B25" w:rsidRPr="00841FB3" w:rsidRDefault="008B4B25" w:rsidP="008B4B25">
      <w:pPr>
        <w:pStyle w:val="Brdtext"/>
        <w:rPr>
          <w:rFonts w:ascii="Times New Roman" w:hAnsi="Times New Roman"/>
          <w:i/>
        </w:rPr>
      </w:pPr>
    </w:p>
    <w:p w:rsidR="008B4B25" w:rsidRPr="00841FB3" w:rsidRDefault="008B4B25" w:rsidP="008B4B25">
      <w:pPr>
        <w:pStyle w:val="Brdtext"/>
        <w:rPr>
          <w:rFonts w:ascii="Times New Roman" w:hAnsi="Times New Roman"/>
          <w:i/>
        </w:rPr>
        <w:sectPr w:rsidR="008B4B25" w:rsidRPr="00841F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B4B25" w:rsidRPr="00841FB3" w:rsidRDefault="008B4B25" w:rsidP="00827E31">
      <w:pPr>
        <w:pStyle w:val="Rubrik1"/>
        <w:spacing w:after="360"/>
        <w:rPr>
          <w:noProof w:val="0"/>
        </w:rPr>
      </w:pPr>
      <w:r w:rsidRPr="00841FB3">
        <w:rPr>
          <w:noProof w:val="0"/>
        </w:rPr>
        <w:t>Fullmäktiges verksamhet år 2005</w:t>
      </w:r>
    </w:p>
    <w:p w:rsidR="008B4B25" w:rsidRPr="00841FB3" w:rsidRDefault="008B4B25" w:rsidP="008B4B25">
      <w:r w:rsidRPr="00841FB3">
        <w:t xml:space="preserve">Fullmäktige har sammanträtt vid </w:t>
      </w:r>
      <w:r w:rsidR="002F3070" w:rsidRPr="00841FB3">
        <w:t>13</w:t>
      </w:r>
      <w:r w:rsidRPr="00841FB3">
        <w:t xml:space="preserve"> tillfällen under år 2005.</w:t>
      </w:r>
    </w:p>
    <w:p w:rsidR="008B4B25" w:rsidRPr="00841FB3" w:rsidRDefault="008B4B25" w:rsidP="008B4B25">
      <w:pPr>
        <w:pStyle w:val="Normaltindrag"/>
      </w:pPr>
      <w:r w:rsidRPr="00841FB3">
        <w:t>Fullmäktiges ordförande och vice ordförande följer direktionens arbete bl.a. genom att delta i direktionens sammanträden samt genom en löpa</w:t>
      </w:r>
      <w:r w:rsidRPr="00841FB3">
        <w:t>n</w:t>
      </w:r>
      <w:r w:rsidRPr="00841FB3">
        <w:t>de dialog med riks</w:t>
      </w:r>
      <w:r w:rsidRPr="00841FB3">
        <w:softHyphen/>
        <w:t>bankschefen.</w:t>
      </w:r>
    </w:p>
    <w:p w:rsidR="008B4B25" w:rsidRPr="00841FB3" w:rsidRDefault="008B4B25" w:rsidP="008B4B25">
      <w:pPr>
        <w:pStyle w:val="Normaltindrag"/>
      </w:pPr>
      <w:r w:rsidRPr="00841FB3">
        <w:t>Ledamöter av Riksbankens direktion har normalt deltagit i fullmäktig</w:t>
      </w:r>
      <w:r w:rsidRPr="00841FB3">
        <w:t>e</w:t>
      </w:r>
      <w:r w:rsidRPr="00841FB3">
        <w:t>samman</w:t>
      </w:r>
      <w:r w:rsidRPr="00841FB3">
        <w:softHyphen/>
        <w:t>trädena. Fullmäktige har därvid informerat sig om direktionsledam</w:t>
      </w:r>
      <w:r w:rsidRPr="00841FB3">
        <w:t>ö</w:t>
      </w:r>
      <w:r w:rsidRPr="00841FB3">
        <w:t>ternas tjänsteut</w:t>
      </w:r>
      <w:r w:rsidRPr="00841FB3">
        <w:softHyphen/>
        <w:t>övning. Redogörelser har lämnats av direktionen för den akt</w:t>
      </w:r>
      <w:r w:rsidRPr="00841FB3">
        <w:t>u</w:t>
      </w:r>
      <w:r w:rsidRPr="00841FB3">
        <w:t>ella pen</w:t>
      </w:r>
      <w:r w:rsidRPr="00841FB3">
        <w:softHyphen/>
        <w:t>ningpolitiken och arbetet med att övervaka det finansiella systemets stabilitet, lik</w:t>
      </w:r>
      <w:r w:rsidRPr="00841FB3">
        <w:softHyphen/>
        <w:t>som för utveck</w:t>
      </w:r>
      <w:r w:rsidRPr="00841FB3">
        <w:softHyphen/>
        <w:t>lingen inom betalningsväsendet. Fullmäktige har också fått information om budget, verk</w:t>
      </w:r>
      <w:r w:rsidRPr="00841FB3">
        <w:softHyphen/>
        <w:t>samhetsplan, u</w:t>
      </w:r>
      <w:r w:rsidRPr="00841FB3">
        <w:t>t</w:t>
      </w:r>
      <w:r w:rsidRPr="00841FB3">
        <w:t>veckling av risk och resultat i tillgångsförvaltningen samt utfallet i övrigt av verksamheten.</w:t>
      </w:r>
    </w:p>
    <w:p w:rsidR="008B4B25" w:rsidRPr="00841FB3" w:rsidRDefault="008B4B25" w:rsidP="008B4B25">
      <w:pPr>
        <w:pStyle w:val="Normaltindrag"/>
      </w:pPr>
      <w:r w:rsidRPr="00841FB3">
        <w:t>Fullmäktige har under året även fått löpande rapporter från dire</w:t>
      </w:r>
      <w:r w:rsidRPr="00841FB3">
        <w:t>k</w:t>
      </w:r>
      <w:r w:rsidRPr="00841FB3">
        <w:t>tionen om läget rörande överföringen av verksamheten i Svensk Kontantförsörjning AB till Riksban</w:t>
      </w:r>
      <w:r w:rsidRPr="00841FB3">
        <w:softHyphen/>
        <w:t>ken, samt beträffande avvecklingen av den kvarvarande bolag</w:t>
      </w:r>
      <w:r w:rsidRPr="00841FB3">
        <w:t>s</w:t>
      </w:r>
      <w:r w:rsidRPr="00841FB3">
        <w:t>gruppen. Därtill har rapporter lämnats om arbetet avseende inf</w:t>
      </w:r>
      <w:r w:rsidRPr="00841FB3">
        <w:t>ö</w:t>
      </w:r>
      <w:r w:rsidRPr="00841FB3">
        <w:t>rande av en ny depåstruktur för kon</w:t>
      </w:r>
      <w:r w:rsidRPr="00841FB3">
        <w:softHyphen/>
        <w:t xml:space="preserve">tantförsörjningen. </w:t>
      </w:r>
    </w:p>
    <w:p w:rsidR="008B4B25" w:rsidRPr="00841FB3" w:rsidRDefault="008B4B25" w:rsidP="008B4B25">
      <w:pPr>
        <w:pStyle w:val="Normaltindrag"/>
      </w:pPr>
      <w:r w:rsidRPr="00841FB3">
        <w:t>Riksbanken genomförde under 2004 förändringar i organisation samt styr- och led</w:t>
      </w:r>
      <w:r w:rsidRPr="00841FB3">
        <w:softHyphen/>
        <w:t>ningsformer. Fullmäktige ställde sig bakom dessa förändringar. Vid sitt samman</w:t>
      </w:r>
      <w:r w:rsidRPr="00841FB3">
        <w:softHyphen/>
        <w:t>träde den 18 november 2005 fick fullmäktige en rapport avs</w:t>
      </w:r>
      <w:r w:rsidRPr="00841FB3">
        <w:t>e</w:t>
      </w:r>
      <w:r w:rsidRPr="00841FB3">
        <w:t>ende uppföljning av de förändrade styr- och ledningsformerna.</w:t>
      </w:r>
    </w:p>
    <w:p w:rsidR="008B4B25" w:rsidRPr="00841FB3" w:rsidRDefault="008B4B25" w:rsidP="00E551E3">
      <w:pPr>
        <w:pStyle w:val="Normaltindrag"/>
      </w:pPr>
      <w:r w:rsidRPr="00841FB3">
        <w:t>Direktionen har under året enligt 4 kap. 1 § andra stycket rik</w:t>
      </w:r>
      <w:r w:rsidRPr="00841FB3">
        <w:t>s</w:t>
      </w:r>
      <w:r w:rsidRPr="00841FB3">
        <w:t>bankslagen samrått med fullmäktige i tre ärenden som gällt skr</w:t>
      </w:r>
      <w:r w:rsidRPr="00841FB3">
        <w:t>i</w:t>
      </w:r>
      <w:r w:rsidRPr="00841FB3">
        <w:t>velser till regeringen. Den 23 september 2005 avsåg samrådet en skrivelse till regeringen a</w:t>
      </w:r>
      <w:r w:rsidRPr="00841FB3">
        <w:t>n</w:t>
      </w:r>
      <w:r w:rsidRPr="00841FB3">
        <w:t>gående åtgärder för att förhindra rån av värdetransporter och värdedepåer. Vid ful</w:t>
      </w:r>
      <w:r w:rsidRPr="00841FB3">
        <w:t>l</w:t>
      </w:r>
      <w:r w:rsidRPr="00841FB3">
        <w:t xml:space="preserve">mäktiges sammanträde den 18 november 2005 skedde samråd om förslag till yttrande över betänkandet </w:t>
      </w:r>
      <w:r w:rsidRPr="00841FB3">
        <w:rPr>
          <w:i/>
        </w:rPr>
        <w:t>Införande av vissa av budgetl</w:t>
      </w:r>
      <w:r w:rsidRPr="00841FB3">
        <w:rPr>
          <w:i/>
        </w:rPr>
        <w:t>a</w:t>
      </w:r>
      <w:r w:rsidRPr="00841FB3">
        <w:rPr>
          <w:i/>
        </w:rPr>
        <w:t xml:space="preserve">gens bestämmelser för riksdagens myndigheter </w:t>
      </w:r>
      <w:r w:rsidRPr="00841FB3">
        <w:t>(2005/06:URF1)</w:t>
      </w:r>
      <w:r w:rsidRPr="00841FB3">
        <w:rPr>
          <w:i/>
        </w:rPr>
        <w:t xml:space="preserve">. </w:t>
      </w:r>
      <w:r w:rsidRPr="00841FB3">
        <w:t xml:space="preserve">Den 16 december </w:t>
      </w:r>
      <w:r w:rsidR="002F3070" w:rsidRPr="00841FB3">
        <w:t xml:space="preserve">2005 </w:t>
      </w:r>
      <w:r w:rsidRPr="00841FB3">
        <w:t>avsåg samrådet en skrivelse till regeringen om undantag från tillämpningen i Rik</w:t>
      </w:r>
      <w:r w:rsidRPr="00841FB3">
        <w:t>s</w:t>
      </w:r>
      <w:r w:rsidRPr="00841FB3">
        <w:t>banken av lagen (1992:1528) om offentlig upp</w:t>
      </w:r>
      <w:r w:rsidRPr="00841FB3">
        <w:softHyphen/>
        <w:t>handling vid vissa upphan</w:t>
      </w:r>
      <w:r w:rsidRPr="00841FB3">
        <w:t>d</w:t>
      </w:r>
      <w:r w:rsidRPr="00841FB3">
        <w:t>lingar u</w:t>
      </w:r>
      <w:r w:rsidRPr="00841FB3">
        <w:t>n</w:t>
      </w:r>
      <w:r w:rsidRPr="00841FB3">
        <w:t xml:space="preserve">der 2006 och 2007. </w:t>
      </w:r>
    </w:p>
    <w:p w:rsidR="008B4B25" w:rsidRPr="00841FB3" w:rsidRDefault="008B4B25" w:rsidP="00E551E3">
      <w:pPr>
        <w:pStyle w:val="Normaltindrag"/>
      </w:pPr>
      <w:r w:rsidRPr="00841FB3">
        <w:t>Riksrevisionens rapporter till Riksbanken i samband med bokslutsgrans</w:t>
      </w:r>
      <w:r w:rsidRPr="00841FB3">
        <w:t>k</w:t>
      </w:r>
      <w:r w:rsidRPr="00841FB3">
        <w:t>ningen för år 2004 har rapporterats för fullmäktige.</w:t>
      </w:r>
    </w:p>
    <w:p w:rsidR="008B4B25" w:rsidRPr="00841FB3" w:rsidRDefault="008B4B25" w:rsidP="008B4B25">
      <w:pPr>
        <w:pStyle w:val="Normaltindrag"/>
      </w:pPr>
      <w:r w:rsidRPr="00841FB3">
        <w:t>Fullmäktiges revisionsenhet har under året för fullmäktige redovisat sin granskning av direk</w:t>
      </w:r>
      <w:r w:rsidRPr="00841FB3">
        <w:softHyphen/>
        <w:t>tionsledamöternas utövande av tjänsten, efterlevnaden av arbetsordningen samt en översiktlig analys av intern kontroll i bokslutspr</w:t>
      </w:r>
      <w:r w:rsidRPr="00841FB3">
        <w:t>o</w:t>
      </w:r>
      <w:r w:rsidRPr="00841FB3">
        <w:t>cessen. Fullmäktige fick därtill vid sitt sammanträde den 10 juni 2005 en redogörelse för diskussioner som förevarit mellan fullmäktiges revisionse</w:t>
      </w:r>
      <w:r w:rsidRPr="00841FB3">
        <w:t>n</w:t>
      </w:r>
      <w:r w:rsidRPr="00841FB3">
        <w:t>het, internrevisionsavde</w:t>
      </w:r>
      <w:r w:rsidRPr="00841FB3">
        <w:t>l</w:t>
      </w:r>
      <w:r w:rsidRPr="00841FB3">
        <w:t>ningen samt Riks</w:t>
      </w:r>
      <w:r w:rsidRPr="00841FB3">
        <w:softHyphen/>
        <w:t>revisionen beträffande de olika revisionsorganens roller vid granskningen av Riks</w:t>
      </w:r>
      <w:r w:rsidRPr="00841FB3">
        <w:softHyphen/>
        <w:t>bankens ver</w:t>
      </w:r>
      <w:r w:rsidRPr="00841FB3">
        <w:t>k</w:t>
      </w:r>
      <w:r w:rsidRPr="00841FB3">
        <w:t>samhet.</w:t>
      </w:r>
    </w:p>
    <w:p w:rsidR="008B4B25" w:rsidRPr="00841FB3" w:rsidRDefault="008B4B25" w:rsidP="008B4B25">
      <w:pPr>
        <w:pStyle w:val="Normaltindrag"/>
      </w:pPr>
      <w:r w:rsidRPr="00841FB3">
        <w:t>Vid sammanträdet den 16 december 2005 fastställde fullmäktige riktlinjer för be</w:t>
      </w:r>
      <w:r w:rsidRPr="00841FB3">
        <w:softHyphen/>
        <w:t>dömningen av lämpligheten i direktionsledamöte</w:t>
      </w:r>
      <w:r w:rsidRPr="00841FB3">
        <w:t>r</w:t>
      </w:r>
      <w:r w:rsidRPr="00841FB3">
        <w:t>nas sidouppdrag. Vid samma sammanträde anmäldes även sidouppdrag för en av direktionens l</w:t>
      </w:r>
      <w:r w:rsidRPr="00841FB3">
        <w:t>e</w:t>
      </w:r>
      <w:r w:rsidRPr="00841FB3">
        <w:t>damöter.</w:t>
      </w:r>
    </w:p>
    <w:p w:rsidR="008B4B25" w:rsidRPr="00841FB3" w:rsidRDefault="008B4B25" w:rsidP="008B4B25">
      <w:pPr>
        <w:pStyle w:val="Normaltindrag"/>
      </w:pPr>
      <w:r w:rsidRPr="00841FB3">
        <w:t>I fullmäktiges löpande uppföljning av direktionsledamöterna har inte fra</w:t>
      </w:r>
      <w:r w:rsidRPr="00841FB3">
        <w:t>m</w:t>
      </w:r>
      <w:r w:rsidRPr="00841FB3">
        <w:t>kommit något som föranlett fullmäktige att rikta någon anmärkning mot deras tjänsteutöv</w:t>
      </w:r>
      <w:r w:rsidRPr="00841FB3">
        <w:softHyphen/>
        <w:t xml:space="preserve">ning. </w:t>
      </w:r>
    </w:p>
    <w:p w:rsidR="008B4B25" w:rsidRPr="00841FB3" w:rsidRDefault="008B4B25" w:rsidP="008B4B25">
      <w:pPr>
        <w:pStyle w:val="Normaltindrag"/>
      </w:pPr>
      <w:r w:rsidRPr="00841FB3">
        <w:t>Vid sammanträde den 11 oktober 2005 beslutade fullmäktige om entled</w:t>
      </w:r>
      <w:r w:rsidRPr="00841FB3">
        <w:t>i</w:t>
      </w:r>
      <w:r w:rsidRPr="00841FB3">
        <w:t xml:space="preserve">gande av ordföranden i direktionen tillika riksbankschefen Lars Heikensten </w:t>
      </w:r>
      <w:r w:rsidR="002F3070" w:rsidRPr="00841FB3">
        <w:t>fr.o.m.</w:t>
      </w:r>
      <w:r w:rsidRPr="00841FB3">
        <w:t xml:space="preserve"> den 1 januari 2006. Vidare beslutade fullmäktige om entledigande av direktionsleda</w:t>
      </w:r>
      <w:r w:rsidRPr="00841FB3">
        <w:softHyphen/>
        <w:t>moten Villy Bergström från samma datum. Vid detta samma</w:t>
      </w:r>
      <w:r w:rsidRPr="00841FB3">
        <w:t>n</w:t>
      </w:r>
      <w:r w:rsidRPr="00841FB3">
        <w:t>träde beslutade full</w:t>
      </w:r>
      <w:r w:rsidRPr="00841FB3">
        <w:softHyphen/>
        <w:t>mäktige därtill att utse Stefan Ingves till ordförande i direkti</w:t>
      </w:r>
      <w:r w:rsidRPr="00841FB3">
        <w:t>o</w:t>
      </w:r>
      <w:r w:rsidRPr="00841FB3">
        <w:t>nen tillika riksbanks</w:t>
      </w:r>
      <w:r w:rsidRPr="00841FB3">
        <w:softHyphen/>
        <w:t xml:space="preserve">chef samt Lars Nyberg (omval) och Svante Öberg till direktionsledamöter </w:t>
      </w:r>
      <w:r w:rsidR="002F3070" w:rsidRPr="00841FB3">
        <w:t>fr.o.m.</w:t>
      </w:r>
      <w:r w:rsidRPr="00841FB3">
        <w:t xml:space="preserve"> den 1 januari 2006, samtliga med en manda</w:t>
      </w:r>
      <w:r w:rsidRPr="00841FB3">
        <w:t>t</w:t>
      </w:r>
      <w:r w:rsidRPr="00841FB3">
        <w:t>period på sex år.</w:t>
      </w:r>
    </w:p>
    <w:p w:rsidR="008B4B25" w:rsidRPr="00841FB3" w:rsidRDefault="008B4B25" w:rsidP="008B4B25">
      <w:pPr>
        <w:pStyle w:val="Normaltindrag"/>
      </w:pPr>
      <w:r w:rsidRPr="00841FB3">
        <w:t>Direktionsledamöternas anställningsvillkor justerades i beslut den 20 maj samt den 21 oktober 2005. Anställningsvillkor för de enligt ovan nyvalda direktionsledamö</w:t>
      </w:r>
      <w:r w:rsidRPr="00841FB3">
        <w:softHyphen/>
        <w:t>terna fastställdes vid sammanträdet den 11 oktober</w:t>
      </w:r>
      <w:r w:rsidR="00AB3FE5" w:rsidRPr="00841FB3">
        <w:t xml:space="preserve"> 2005</w:t>
      </w:r>
      <w:r w:rsidRPr="00841FB3">
        <w:t>. E</w:t>
      </w:r>
      <w:r w:rsidRPr="00841FB3">
        <w:t>r</w:t>
      </w:r>
      <w:r w:rsidRPr="00841FB3">
        <w:t>sättning under karensperio</w:t>
      </w:r>
      <w:r w:rsidRPr="00841FB3">
        <w:softHyphen/>
        <w:t>den för de entledigade direktionsledamöterna samt pensionsvillkor för Villy Bergström beslutades vid sammanträdet den 11 oktober medan pensionsvillkor för Lars Heikensten fastställdes vid samma</w:t>
      </w:r>
      <w:r w:rsidRPr="00841FB3">
        <w:t>n</w:t>
      </w:r>
      <w:r w:rsidRPr="00841FB3">
        <w:t>trädet den 16 d</w:t>
      </w:r>
      <w:r w:rsidRPr="00841FB3">
        <w:t>e</w:t>
      </w:r>
      <w:r w:rsidRPr="00841FB3">
        <w:t>cember</w:t>
      </w:r>
      <w:r w:rsidR="002F3070" w:rsidRPr="00841FB3">
        <w:t xml:space="preserve"> 2005</w:t>
      </w:r>
      <w:r w:rsidRPr="00841FB3">
        <w:t>.</w:t>
      </w:r>
    </w:p>
    <w:p w:rsidR="008B4B25" w:rsidRPr="00841FB3" w:rsidRDefault="008B4B25" w:rsidP="008B4B25">
      <w:pPr>
        <w:pStyle w:val="Normaltindrag"/>
      </w:pPr>
      <w:r w:rsidRPr="00841FB3">
        <w:t>Fullmäktige beslutade vid sitt sammanträde den 2 februari 2005 att utse fyra repre</w:t>
      </w:r>
      <w:r w:rsidRPr="00841FB3">
        <w:softHyphen/>
        <w:t>sentanter till en av Riksbanken inrättad samråd</w:t>
      </w:r>
      <w:r w:rsidRPr="00841FB3">
        <w:t>s</w:t>
      </w:r>
      <w:r w:rsidR="002F3070" w:rsidRPr="00841FB3">
        <w:t>grupp, den s.</w:t>
      </w:r>
      <w:r w:rsidRPr="00841FB3">
        <w:t>k</w:t>
      </w:r>
      <w:r w:rsidR="002F3070" w:rsidRPr="00841FB3">
        <w:t>.</w:t>
      </w:r>
      <w:r w:rsidRPr="00841FB3">
        <w:t xml:space="preserve"> </w:t>
      </w:r>
      <w:r w:rsidRPr="00841FB3">
        <w:rPr>
          <w:i/>
        </w:rPr>
        <w:t>Gruppen för min</w:t>
      </w:r>
      <w:r w:rsidRPr="00841FB3">
        <w:rPr>
          <w:i/>
        </w:rPr>
        <w:softHyphen/>
        <w:t>nesmynt</w:t>
      </w:r>
      <w:r w:rsidR="00827E31" w:rsidRPr="00841FB3">
        <w:t>,</w:t>
      </w:r>
      <w:r w:rsidRPr="00841FB3">
        <w:t xml:space="preserve"> med företrädare från Historiska museet, Kungl</w:t>
      </w:r>
      <w:r w:rsidRPr="00841FB3">
        <w:t>i</w:t>
      </w:r>
      <w:r w:rsidRPr="00841FB3">
        <w:t xml:space="preserve">ga </w:t>
      </w:r>
      <w:r w:rsidR="002F3070" w:rsidRPr="00841FB3">
        <w:t>myntkabinettet</w:t>
      </w:r>
      <w:r w:rsidRPr="00841FB3">
        <w:t>, Stats</w:t>
      </w:r>
      <w:r w:rsidRPr="00841FB3">
        <w:softHyphen/>
        <w:t>heraldikern m.fl. Gruppen har till uppgift att förbereda förslag till motiv för utgiv</w:t>
      </w:r>
      <w:r w:rsidRPr="00841FB3">
        <w:softHyphen/>
        <w:t>ning av minnesmynt fr.o.m. 2006. Ful</w:t>
      </w:r>
      <w:r w:rsidRPr="00841FB3">
        <w:t>l</w:t>
      </w:r>
      <w:r w:rsidRPr="00841FB3">
        <w:t>mäktiges representanter har även under året utgjort samrådsgrupp med Rik</w:t>
      </w:r>
      <w:r w:rsidRPr="00841FB3">
        <w:t>s</w:t>
      </w:r>
      <w:r w:rsidRPr="00841FB3">
        <w:t>banken i arbetet med de minnesmynt som gavs ut under 2005.</w:t>
      </w:r>
    </w:p>
    <w:p w:rsidR="008B4B25" w:rsidRPr="00841FB3" w:rsidRDefault="008B4B25" w:rsidP="008B4B25">
      <w:pPr>
        <w:pStyle w:val="Normaltindrag"/>
      </w:pPr>
      <w:r w:rsidRPr="00841FB3">
        <w:t>Den 22 april 2005 fastställde fullmäktige utformningen av mi</w:t>
      </w:r>
      <w:r w:rsidRPr="00841FB3">
        <w:t>n</w:t>
      </w:r>
      <w:r w:rsidRPr="00841FB3">
        <w:t>nesmynt dels med anledning av 100-årsminnet av Dag Hamma</w:t>
      </w:r>
      <w:r w:rsidRPr="00841FB3">
        <w:t>r</w:t>
      </w:r>
      <w:r w:rsidRPr="00841FB3">
        <w:t>skjölds födelse</w:t>
      </w:r>
      <w:r w:rsidR="002F3070" w:rsidRPr="00841FB3">
        <w:t>,</w:t>
      </w:r>
      <w:r w:rsidRPr="00841FB3">
        <w:t xml:space="preserve"> dels med anledning av 150-årsjubileet av Sveriges första frimärke. Vid sa</w:t>
      </w:r>
      <w:r w:rsidRPr="00841FB3">
        <w:t>m</w:t>
      </w:r>
      <w:r w:rsidRPr="00841FB3">
        <w:t>ma sammanträde uppdrogs åt ordförande och vice ordförande att fastställa u</w:t>
      </w:r>
      <w:r w:rsidRPr="00841FB3">
        <w:t>t</w:t>
      </w:r>
      <w:r w:rsidRPr="00841FB3">
        <w:t>formningen av minnesmynt med anledning av 100-årsminnet av unionsup</w:t>
      </w:r>
      <w:r w:rsidRPr="00841FB3">
        <w:t>p</w:t>
      </w:r>
      <w:r w:rsidRPr="00841FB3">
        <w:t>lösningen Sverige</w:t>
      </w:r>
      <w:r w:rsidR="002F3070" w:rsidRPr="00841FB3">
        <w:t>–</w:t>
      </w:r>
      <w:r w:rsidRPr="00841FB3">
        <w:t>Norge 1905. Beslut fattades av ordföranden och vice or</w:t>
      </w:r>
      <w:r w:rsidRPr="00841FB3">
        <w:t>d</w:t>
      </w:r>
      <w:r w:rsidRPr="00841FB3">
        <w:t>föranden den 29 april 2005, vilket anmäldes vid fullmäktiges sa</w:t>
      </w:r>
      <w:r w:rsidRPr="00841FB3">
        <w:t>m</w:t>
      </w:r>
      <w:r w:rsidRPr="00841FB3">
        <w:t>manträde den 20 maj 2005.</w:t>
      </w:r>
    </w:p>
    <w:p w:rsidR="008B4B25" w:rsidRPr="00841FB3" w:rsidRDefault="008B4B25" w:rsidP="008B4B25">
      <w:pPr>
        <w:pStyle w:val="Normaltindrag"/>
      </w:pPr>
      <w:r w:rsidRPr="00841FB3">
        <w:t>Fullmäktige fick under våren 2005 rapporter om förberedelserna inför i</w:t>
      </w:r>
      <w:r w:rsidRPr="00841FB3">
        <w:t>n</w:t>
      </w:r>
      <w:r w:rsidRPr="00841FB3">
        <w:t>vigningen av Tumba Bruksmuseum. Fullmäktige närvarade vid invigningen av Tumba Bruks</w:t>
      </w:r>
      <w:r w:rsidRPr="00841FB3">
        <w:softHyphen/>
        <w:t>museum den 5 juni 2005. Rik</w:t>
      </w:r>
      <w:r w:rsidRPr="00841FB3">
        <w:t>s</w:t>
      </w:r>
      <w:r w:rsidRPr="00841FB3">
        <w:t>banksfullmäktiges ordförande presenterade även den minnessedel om 100 kr för Tumba Bruks 250-årsjubil</w:t>
      </w:r>
      <w:r w:rsidR="002F3070" w:rsidRPr="00841FB3">
        <w:t>e</w:t>
      </w:r>
      <w:r w:rsidRPr="00841FB3">
        <w:t xml:space="preserve">um som gavs ut den 26 maj 2005. Vid detta tillfälle presenterade även Postens </w:t>
      </w:r>
      <w:r w:rsidR="00827E31" w:rsidRPr="00841FB3">
        <w:t xml:space="preserve">vd </w:t>
      </w:r>
      <w:r w:rsidRPr="00841FB3">
        <w:t>Erik Olsson ett jubileums</w:t>
      </w:r>
      <w:r w:rsidRPr="00841FB3">
        <w:softHyphen/>
        <w:t xml:space="preserve">frimärke med anledning av Tumba Bruks 250-årsjubileum. </w:t>
      </w:r>
    </w:p>
    <w:p w:rsidR="008B4B25" w:rsidRPr="00841FB3" w:rsidRDefault="008B4B25" w:rsidP="00E551E3">
      <w:pPr>
        <w:pStyle w:val="Normaltindrag"/>
      </w:pPr>
      <w:r w:rsidRPr="00841FB3">
        <w:t>Fullmäktige genomförde i månadsskiftet augusti</w:t>
      </w:r>
      <w:r w:rsidR="00827E31" w:rsidRPr="00841FB3">
        <w:t>–</w:t>
      </w:r>
      <w:r w:rsidRPr="00841FB3">
        <w:t>september 2005 en st</w:t>
      </w:r>
      <w:r w:rsidRPr="00841FB3">
        <w:t>u</w:t>
      </w:r>
      <w:r w:rsidRPr="00841FB3">
        <w:t xml:space="preserve">dieresa till Kanada och USA. Institutioner som besöktes var bl.a. Bank of Canada, Board of Governors of the Federal Reserve System, Federal Reserve Bank of </w:t>
      </w:r>
      <w:smartTag w:uri="urn:schemas-microsoft-com:office:smarttags" w:element="State">
        <w:smartTag w:uri="urn:schemas-microsoft-com:office:smarttags" w:element="place">
          <w:r w:rsidRPr="00841FB3">
            <w:t>New York</w:t>
          </w:r>
        </w:smartTag>
      </w:smartTag>
      <w:r w:rsidRPr="00841FB3">
        <w:t>, Internationella Valutafonden och Världsba</w:t>
      </w:r>
      <w:r w:rsidRPr="00841FB3">
        <w:t>n</w:t>
      </w:r>
      <w:r w:rsidRPr="00841FB3">
        <w:t>ken.</w:t>
      </w:r>
    </w:p>
    <w:p w:rsidR="008B4B25" w:rsidRPr="00841FB3" w:rsidRDefault="008B4B25" w:rsidP="000B6AA3">
      <w:pPr>
        <w:pStyle w:val="Normaltindrag"/>
        <w:rPr>
          <w:spacing w:val="-2"/>
          <w:szCs w:val="19"/>
        </w:rPr>
      </w:pPr>
      <w:r w:rsidRPr="00841FB3">
        <w:rPr>
          <w:spacing w:val="-2"/>
          <w:szCs w:val="19"/>
        </w:rPr>
        <w:t>Föredragande i detta ärende har varit Mats Galvenius och Henrik Gar</w:t>
      </w:r>
      <w:r w:rsidRPr="00841FB3">
        <w:rPr>
          <w:spacing w:val="-2"/>
          <w:szCs w:val="19"/>
        </w:rPr>
        <w:t>d</w:t>
      </w:r>
      <w:r w:rsidRPr="00841FB3">
        <w:rPr>
          <w:spacing w:val="-2"/>
          <w:szCs w:val="19"/>
        </w:rPr>
        <w:t>holm.</w:t>
      </w:r>
    </w:p>
    <w:p w:rsidR="00827E31" w:rsidRPr="00841FB3" w:rsidRDefault="00827E31" w:rsidP="00827E31">
      <w:pPr>
        <w:pStyle w:val="OrtochDatum"/>
      </w:pPr>
    </w:p>
    <w:p w:rsidR="008B4B25" w:rsidRPr="00841FB3" w:rsidRDefault="00827E31" w:rsidP="00827E31">
      <w:pPr>
        <w:pStyle w:val="OrtochDatum"/>
      </w:pPr>
      <w:r w:rsidRPr="00841FB3">
        <w:t>Stockholm den 10 februari 2006</w:t>
      </w:r>
    </w:p>
    <w:p w:rsidR="008B4B25" w:rsidRPr="00841FB3" w:rsidRDefault="008B4B25" w:rsidP="008B4B25">
      <w:r w:rsidRPr="00841FB3">
        <w:t>På fullmäktiges vägnar:</w:t>
      </w:r>
    </w:p>
    <w:p w:rsidR="008B4B25" w:rsidRPr="00841FB3" w:rsidRDefault="008B4B25" w:rsidP="008B4B25">
      <w:pPr>
        <w:pStyle w:val="Ordfranden"/>
        <w:rPr>
          <w:noProof w:val="0"/>
        </w:rPr>
      </w:pPr>
      <w:r w:rsidRPr="00841FB3">
        <w:rPr>
          <w:noProof w:val="0"/>
        </w:rPr>
        <w:t>Jan Bergqvist</w:t>
      </w:r>
    </w:p>
    <w:p w:rsidR="008B4B25" w:rsidRPr="00841FB3" w:rsidRDefault="008B4B25" w:rsidP="008B4B25">
      <w:pPr>
        <w:pStyle w:val="Ordfranden"/>
        <w:rPr>
          <w:noProof w:val="0"/>
        </w:rPr>
      </w:pPr>
      <w:r w:rsidRPr="00841FB3">
        <w:rPr>
          <w:noProof w:val="0"/>
        </w:rPr>
        <w:tab/>
      </w:r>
      <w:r w:rsidRPr="00841FB3">
        <w:rPr>
          <w:noProof w:val="0"/>
        </w:rPr>
        <w:tab/>
      </w:r>
      <w:r w:rsidRPr="00841FB3">
        <w:rPr>
          <w:noProof w:val="0"/>
        </w:rPr>
        <w:tab/>
        <w:t>Maria Svalfors</w:t>
      </w:r>
    </w:p>
    <w:p w:rsidR="008B4B25" w:rsidRPr="00841FB3" w:rsidRDefault="008B4B25" w:rsidP="008B4B25">
      <w:pPr>
        <w:pStyle w:val="Deltagare"/>
        <w:rPr>
          <w:noProof w:val="0"/>
        </w:rPr>
      </w:pPr>
      <w:r w:rsidRPr="00841FB3">
        <w:rPr>
          <w:noProof w:val="0"/>
        </w:rPr>
        <w:t>Jan Ber</w:t>
      </w:r>
      <w:r w:rsidRPr="00841FB3">
        <w:rPr>
          <w:noProof w:val="0"/>
          <w:spacing w:val="-2"/>
          <w:szCs w:val="19"/>
        </w:rPr>
        <w:t xml:space="preserve">gqvist (ordförande), </w:t>
      </w:r>
      <w:smartTag w:uri="urn:schemas-microsoft-com:office:smarttags" w:element="PersonName">
        <w:smartTagPr>
          <w:attr w:name="ProductID" w:val="Johan Gernandt"/>
        </w:smartTagPr>
        <w:r w:rsidRPr="00841FB3">
          <w:rPr>
            <w:noProof w:val="0"/>
            <w:spacing w:val="-2"/>
            <w:szCs w:val="19"/>
          </w:rPr>
          <w:t>Johan Gernandt</w:t>
        </w:r>
      </w:smartTag>
      <w:r w:rsidRPr="00841FB3">
        <w:rPr>
          <w:noProof w:val="0"/>
          <w:spacing w:val="-2"/>
          <w:szCs w:val="19"/>
        </w:rPr>
        <w:t xml:space="preserve"> (vice ordförande), </w:t>
      </w:r>
      <w:smartTag w:uri="urn:schemas-microsoft-com:office:smarttags" w:element="PersonName">
        <w:smartTagPr>
          <w:attr w:name="ProductID" w:val="Sinikka Bohlin"/>
        </w:smartTagPr>
        <w:r w:rsidRPr="00841FB3">
          <w:rPr>
            <w:noProof w:val="0"/>
            <w:spacing w:val="-2"/>
            <w:szCs w:val="19"/>
          </w:rPr>
          <w:t>Sinikka Bohlin</w:t>
        </w:r>
      </w:smartTag>
      <w:r w:rsidRPr="00841FB3">
        <w:rPr>
          <w:noProof w:val="0"/>
          <w:spacing w:val="-2"/>
          <w:szCs w:val="19"/>
        </w:rPr>
        <w:t xml:space="preserve">, </w:t>
      </w:r>
      <w:smartTag w:uri="urn:schemas-microsoft-com:office:smarttags" w:element="PersonName">
        <w:smartTagPr>
          <w:attr w:name="ProductID" w:val="Bengt Westerberg"/>
        </w:smartTagPr>
        <w:r w:rsidRPr="00841FB3">
          <w:rPr>
            <w:noProof w:val="0"/>
            <w:spacing w:val="-2"/>
            <w:szCs w:val="19"/>
          </w:rPr>
          <w:t>Bengt Westerberg</w:t>
        </w:r>
      </w:smartTag>
      <w:r w:rsidRPr="00841FB3">
        <w:rPr>
          <w:noProof w:val="0"/>
          <w:spacing w:val="-2"/>
          <w:szCs w:val="19"/>
        </w:rPr>
        <w:t xml:space="preserve">, </w:t>
      </w:r>
      <w:smartTag w:uri="urn:schemas-microsoft-com:office:smarttags" w:element="PersonName">
        <w:smartTagPr>
          <w:attr w:name="ProductID" w:val="Lennart Nilsson,"/>
        </w:smartTagPr>
        <w:r w:rsidRPr="00841FB3">
          <w:rPr>
            <w:noProof w:val="0"/>
            <w:spacing w:val="-2"/>
            <w:szCs w:val="19"/>
          </w:rPr>
          <w:t>Lennart Nilsson,</w:t>
        </w:r>
      </w:smartTag>
      <w:r w:rsidRPr="00841FB3">
        <w:rPr>
          <w:noProof w:val="0"/>
          <w:spacing w:val="-2"/>
          <w:szCs w:val="19"/>
        </w:rPr>
        <w:t xml:space="preserve"> Kjell Nordström, </w:t>
      </w:r>
      <w:smartTag w:uri="urn:schemas-microsoft-com:office:smarttags" w:element="PersonName">
        <w:smartTagPr>
          <w:attr w:name="ProductID" w:val="Mats Odell"/>
        </w:smartTagPr>
        <w:r w:rsidRPr="00841FB3">
          <w:rPr>
            <w:noProof w:val="0"/>
            <w:spacing w:val="-2"/>
            <w:szCs w:val="19"/>
          </w:rPr>
          <w:t>Mats Odell</w:t>
        </w:r>
      </w:smartTag>
      <w:r w:rsidRPr="00841FB3">
        <w:rPr>
          <w:noProof w:val="0"/>
          <w:spacing w:val="-2"/>
          <w:szCs w:val="19"/>
        </w:rPr>
        <w:t xml:space="preserve">, </w:t>
      </w:r>
      <w:smartTag w:uri="urn:schemas-microsoft-com:office:smarttags" w:element="PersonName">
        <w:smartTagPr>
          <w:attr w:name="ProductID" w:val="Kenneth Kvist"/>
        </w:smartTagPr>
        <w:r w:rsidRPr="00841FB3">
          <w:rPr>
            <w:noProof w:val="0"/>
            <w:spacing w:val="-2"/>
            <w:szCs w:val="19"/>
          </w:rPr>
          <w:t>Kenneth Kvist</w:t>
        </w:r>
      </w:smartTag>
      <w:r w:rsidRPr="00841FB3">
        <w:rPr>
          <w:noProof w:val="0"/>
          <w:spacing w:val="-2"/>
          <w:szCs w:val="19"/>
        </w:rPr>
        <w:t>, Susanne</w:t>
      </w:r>
      <w:r w:rsidR="00827E31" w:rsidRPr="00841FB3">
        <w:rPr>
          <w:noProof w:val="0"/>
          <w:spacing w:val="-2"/>
          <w:szCs w:val="19"/>
        </w:rPr>
        <w:t xml:space="preserve"> </w:t>
      </w:r>
      <w:r w:rsidRPr="00841FB3">
        <w:rPr>
          <w:noProof w:val="0"/>
          <w:spacing w:val="-2"/>
          <w:szCs w:val="19"/>
        </w:rPr>
        <w:t xml:space="preserve">Eberstein, Peter Egardt och </w:t>
      </w:r>
      <w:smartTag w:uri="urn:schemas-microsoft-com:office:smarttags" w:element="PersonName">
        <w:smartTagPr>
          <w:attr w:name="ProductID" w:val="Karin Pils￤ter"/>
        </w:smartTagPr>
        <w:r w:rsidRPr="00841FB3">
          <w:rPr>
            <w:noProof w:val="0"/>
            <w:spacing w:val="-2"/>
            <w:szCs w:val="19"/>
          </w:rPr>
          <w:t>Karin Pilsäter</w:t>
        </w:r>
      </w:smartTag>
      <w:r w:rsidRPr="00841FB3">
        <w:rPr>
          <w:noProof w:val="0"/>
          <w:spacing w:val="-2"/>
          <w:szCs w:val="19"/>
        </w:rPr>
        <w:t xml:space="preserve"> har deltagit i beslutet.</w:t>
      </w:r>
    </w:p>
    <w:p w:rsidR="008F1FAD" w:rsidRPr="00841FB3" w:rsidRDefault="008F1FAD" w:rsidP="008F1FAD"/>
    <w:p w:rsidR="008F1FAD" w:rsidRPr="00841FB3" w:rsidRDefault="008F1FAD" w:rsidP="008F1FAD">
      <w:pPr>
        <w:pStyle w:val="Normaltindrag"/>
        <w:sectPr w:rsidR="008F1FAD" w:rsidRPr="00841FB3" w:rsidSect="000C48B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tbl>
      <w:tblPr>
        <w:tblW w:w="6861" w:type="dxa"/>
        <w:tblInd w:w="-8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564"/>
        <w:gridCol w:w="135"/>
        <w:gridCol w:w="1296"/>
        <w:gridCol w:w="1376"/>
        <w:gridCol w:w="2470"/>
      </w:tblGrid>
      <w:tr w:rsidR="00E551E3" w:rsidRPr="00841FB3">
        <w:trPr>
          <w:trHeight w:val="20"/>
        </w:trPr>
        <w:tc>
          <w:tcPr>
            <w:tcW w:w="68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6AA3" w:rsidRPr="00841FB3" w:rsidRDefault="000B6AA3" w:rsidP="000B6AA3">
            <w:pPr>
              <w:pStyle w:val="Bilaga"/>
            </w:pPr>
            <w:r w:rsidRPr="00841FB3">
              <w:t>Bilaga</w:t>
            </w:r>
          </w:p>
          <w:p w:rsidR="00E551E3" w:rsidRPr="00841FB3" w:rsidRDefault="00E551E3" w:rsidP="000B6AA3">
            <w:pPr>
              <w:pStyle w:val="Rubrik1"/>
              <w:spacing w:after="0"/>
              <w:rPr>
                <w:noProof w:val="0"/>
                <w:sz w:val="28"/>
                <w:szCs w:val="28"/>
              </w:rPr>
            </w:pPr>
            <w:r w:rsidRPr="00841FB3">
              <w:rPr>
                <w:noProof w:val="0"/>
                <w:sz w:val="28"/>
                <w:szCs w:val="28"/>
              </w:rPr>
              <w:t xml:space="preserve">Inleveransberäkning avseende Riksbankens resultat år 2005 </w:t>
            </w:r>
          </w:p>
          <w:p w:rsidR="00E551E3" w:rsidRPr="00841FB3" w:rsidRDefault="00E551E3" w:rsidP="000B6AA3">
            <w:pPr>
              <w:spacing w:before="0" w:line="200" w:lineRule="exact"/>
              <w:rPr>
                <w:bCs/>
                <w:sz w:val="24"/>
                <w:szCs w:val="24"/>
              </w:rPr>
            </w:pPr>
            <w:r w:rsidRPr="00841FB3">
              <w:rPr>
                <w:bCs/>
                <w:sz w:val="24"/>
                <w:szCs w:val="24"/>
              </w:rPr>
              <w:t>(</w:t>
            </w:r>
            <w:r w:rsidRPr="00841FB3">
              <w:rPr>
                <w:bCs/>
                <w:sz w:val="20"/>
              </w:rPr>
              <w:t>miljoner kronor</w:t>
            </w:r>
            <w:r w:rsidRPr="00841FB3">
              <w:rPr>
                <w:bCs/>
                <w:sz w:val="24"/>
                <w:szCs w:val="24"/>
              </w:rPr>
              <w:t>)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b/>
                <w:bCs/>
                <w:sz w:val="20"/>
              </w:rPr>
            </w:pPr>
          </w:p>
        </w:tc>
      </w:tr>
      <w:tr w:rsidR="007551A1" w:rsidRPr="00841FB3">
        <w:trPr>
          <w:gridAfter w:val="1"/>
          <w:wAfter w:w="2470" w:type="dxa"/>
          <w:trHeight w:val="20"/>
        </w:trPr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rPr>
                <w:b/>
                <w:bCs/>
                <w:sz w:val="20"/>
              </w:rPr>
            </w:pPr>
            <w:r w:rsidRPr="00841FB3">
              <w:rPr>
                <w:b/>
                <w:bCs/>
                <w:sz w:val="20"/>
              </w:rPr>
              <w:t>1. Inleveransgrundande resultat 2005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Redovisat resultat 2005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3 256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Realiserad valutakursförlust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875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Realiserad guldvinst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F778CB" w:rsidRPr="00841FB3">
              <w:rPr>
                <w:sz w:val="20"/>
              </w:rPr>
              <w:t>58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Orealiserad priseffektvinst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198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Summa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4 271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68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b/>
                <w:bCs/>
                <w:sz w:val="20"/>
              </w:rPr>
            </w:pPr>
            <w:r w:rsidRPr="00841FB3">
              <w:rPr>
                <w:b/>
                <w:bCs/>
                <w:sz w:val="20"/>
              </w:rPr>
              <w:t>2. Genomsnittligt inleveransgrundande resultat</w:t>
            </w: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2001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8 136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2002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12 316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2003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3 380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2004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4 904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2005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4 271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33 007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5-års genomsnitt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6 601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b/>
                <w:bCs/>
                <w:sz w:val="20"/>
              </w:rPr>
            </w:pPr>
            <w:r w:rsidRPr="00841FB3">
              <w:rPr>
                <w:b/>
                <w:bCs/>
                <w:sz w:val="20"/>
              </w:rPr>
              <w:t>3. Beräknad inleverans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6 601 * 80</w:t>
            </w:r>
            <w:r w:rsidR="00827E31" w:rsidRPr="00841FB3">
              <w:rPr>
                <w:sz w:val="20"/>
              </w:rPr>
              <w:t xml:space="preserve"> </w:t>
            </w:r>
            <w:r w:rsidRPr="00841FB3">
              <w:rPr>
                <w:sz w:val="20"/>
              </w:rPr>
              <w:t xml:space="preserve">%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= 5 281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Avrundat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5 300</w:t>
            </w:r>
          </w:p>
        </w:tc>
        <w:tc>
          <w:tcPr>
            <w:tcW w:w="247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247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b/>
                <w:bCs/>
                <w:sz w:val="20"/>
              </w:rPr>
            </w:pPr>
            <w:r w:rsidRPr="00841FB3">
              <w:rPr>
                <w:b/>
                <w:bCs/>
                <w:sz w:val="20"/>
              </w:rPr>
              <w:t>4. Beräknad fondering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i/>
                <w:iCs/>
                <w:sz w:val="20"/>
              </w:rPr>
            </w:pPr>
            <w:r w:rsidRPr="00841FB3">
              <w:rPr>
                <w:i/>
                <w:iCs/>
                <w:sz w:val="20"/>
              </w:rPr>
              <w:t>Från dispositionsfond förs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Valutakursförlust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F778CB" w:rsidRPr="00841FB3">
              <w:rPr>
                <w:sz w:val="20"/>
              </w:rPr>
              <w:t>875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Realiserad vinst guldförsäljning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58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10</w:t>
            </w:r>
            <w:r w:rsidR="00827E31" w:rsidRPr="00841FB3">
              <w:rPr>
                <w:sz w:val="20"/>
              </w:rPr>
              <w:t xml:space="preserve"> </w:t>
            </w:r>
            <w:r w:rsidRPr="00841FB3">
              <w:rPr>
                <w:sz w:val="20"/>
              </w:rPr>
              <w:t>% av 5-års genomsnitt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660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Summa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F778CB" w:rsidRPr="00841FB3">
              <w:rPr>
                <w:sz w:val="20"/>
              </w:rPr>
              <w:t>157</w:t>
            </w:r>
          </w:p>
        </w:tc>
      </w:tr>
      <w:tr w:rsidR="00F778CB" w:rsidRPr="00841FB3">
        <w:trPr>
          <w:gridAfter w:val="1"/>
          <w:wAfter w:w="2470" w:type="dxa"/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3B1503">
            <w:pPr>
              <w:spacing w:before="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left"/>
              <w:rPr>
                <w:i/>
                <w:iCs/>
                <w:sz w:val="20"/>
              </w:rPr>
            </w:pPr>
            <w:r w:rsidRPr="00841FB3">
              <w:rPr>
                <w:i/>
                <w:iCs/>
                <w:sz w:val="20"/>
              </w:rPr>
              <w:t>Från resultatutjämningsfond förs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18"/>
                <w:szCs w:val="18"/>
              </w:rPr>
            </w:pPr>
          </w:p>
        </w:tc>
      </w:tr>
      <w:tr w:rsidR="00F778CB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10</w:t>
            </w:r>
            <w:r w:rsidR="00827E31" w:rsidRPr="00841FB3">
              <w:rPr>
                <w:sz w:val="20"/>
              </w:rPr>
              <w:t xml:space="preserve"> </w:t>
            </w:r>
            <w:r w:rsidRPr="00841FB3">
              <w:rPr>
                <w:sz w:val="20"/>
              </w:rPr>
              <w:t>% av 5-års</w:t>
            </w:r>
            <w:r w:rsidR="00827E31" w:rsidRPr="00841FB3">
              <w:rPr>
                <w:sz w:val="20"/>
              </w:rPr>
              <w:t xml:space="preserve"> </w:t>
            </w:r>
            <w:r w:rsidRPr="00841FB3">
              <w:rPr>
                <w:sz w:val="20"/>
              </w:rPr>
              <w:t>genomsnitt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544891" w:rsidP="0054489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660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Priseffektvinst obligationsinn</w:t>
            </w:r>
            <w:r w:rsidRPr="00841FB3">
              <w:rPr>
                <w:sz w:val="20"/>
              </w:rPr>
              <w:t>e</w:t>
            </w:r>
            <w:r w:rsidRPr="00841FB3">
              <w:rPr>
                <w:sz w:val="20"/>
              </w:rPr>
              <w:t>hav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F778CB" w:rsidRPr="00841FB3">
              <w:rPr>
                <w:sz w:val="20"/>
              </w:rPr>
              <w:t>198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  <w:r w:rsidRPr="00841FB3">
              <w:rPr>
                <w:sz w:val="20"/>
              </w:rPr>
              <w:t>Avrundning inleverans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F778CB" w:rsidRPr="00841FB3">
              <w:rPr>
                <w:sz w:val="20"/>
              </w:rPr>
              <w:t>19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rPr>
                <w:sz w:val="20"/>
              </w:rPr>
            </w:pPr>
          </w:p>
        </w:tc>
      </w:tr>
      <w:tr w:rsidR="00F778CB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Årets inleveransgrundande resu</w:t>
            </w:r>
            <w:r w:rsidRPr="00841FB3">
              <w:rPr>
                <w:sz w:val="20"/>
              </w:rPr>
              <w:t>l</w:t>
            </w:r>
            <w:r w:rsidRPr="00841FB3">
              <w:rPr>
                <w:sz w:val="20"/>
              </w:rPr>
              <w:t>tat minskat med 5-års genomsnitt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78CB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F778CB" w:rsidRPr="00841FB3">
              <w:rPr>
                <w:sz w:val="20"/>
              </w:rPr>
              <w:t>2 330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78CB" w:rsidRPr="00841FB3" w:rsidRDefault="00F778CB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 xml:space="preserve">(4 271 </w:t>
            </w:r>
            <w:r w:rsidR="00827E31" w:rsidRPr="00841FB3">
              <w:rPr>
                <w:sz w:val="20"/>
              </w:rPr>
              <w:t xml:space="preserve">– </w:t>
            </w:r>
            <w:r w:rsidRPr="00841FB3">
              <w:rPr>
                <w:sz w:val="20"/>
              </w:rPr>
              <w:t xml:space="preserve">6 601= </w:t>
            </w:r>
            <w:r w:rsidR="00827E31" w:rsidRPr="00841FB3">
              <w:rPr>
                <w:sz w:val="20"/>
              </w:rPr>
              <w:t>–</w:t>
            </w:r>
            <w:r w:rsidRPr="00841FB3">
              <w:rPr>
                <w:sz w:val="20"/>
              </w:rPr>
              <w:t>2 330)</w:t>
            </w: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Summa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827E3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–</w:t>
            </w:r>
            <w:r w:rsidR="007551A1" w:rsidRPr="00841FB3">
              <w:rPr>
                <w:sz w:val="20"/>
              </w:rPr>
              <w:t>1 887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3B1503">
            <w:pPr>
              <w:spacing w:before="0" w:line="200" w:lineRule="exac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b/>
                <w:bCs/>
                <w:sz w:val="20"/>
              </w:rPr>
              <w:t>5. Förslag till vinstdisposition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Redovisat resultat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3 256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Från dispositionsfond förs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157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Från resultatutjämningsfond förs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1 887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</w:tr>
      <w:tr w:rsidR="007551A1" w:rsidRPr="00841FB3">
        <w:trPr>
          <w:trHeight w:val="20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left"/>
              <w:rPr>
                <w:sz w:val="20"/>
              </w:rPr>
            </w:pPr>
            <w:r w:rsidRPr="00841FB3">
              <w:rPr>
                <w:sz w:val="20"/>
              </w:rPr>
              <w:t>Inleverans till statsverket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  <w:r w:rsidRPr="00841FB3">
              <w:rPr>
                <w:sz w:val="20"/>
              </w:rPr>
              <w:t>5 300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51A1" w:rsidRPr="00841FB3" w:rsidRDefault="007551A1" w:rsidP="007551A1">
            <w:pPr>
              <w:spacing w:before="60" w:line="200" w:lineRule="exact"/>
              <w:jc w:val="right"/>
              <w:rPr>
                <w:sz w:val="20"/>
              </w:rPr>
            </w:pPr>
          </w:p>
        </w:tc>
      </w:tr>
    </w:tbl>
    <w:p w:rsidR="00567CAA" w:rsidRPr="00841FB3" w:rsidRDefault="00567CAA" w:rsidP="003B1503">
      <w:pPr>
        <w:pStyle w:val="Normaltindrag"/>
      </w:pPr>
    </w:p>
    <w:p w:rsidR="00567CAA" w:rsidRPr="00841FB3" w:rsidRDefault="00567CAA" w:rsidP="00567CAA">
      <w:pPr>
        <w:pStyle w:val="Tryckort"/>
        <w:framePr w:wrap="around"/>
        <w:jc w:val="right"/>
      </w:pPr>
      <w:r w:rsidRPr="00841FB3">
        <w:t>Elanders Gotab, Stockholm  2006</w:t>
      </w:r>
    </w:p>
    <w:p w:rsidR="00F53A97" w:rsidRPr="00841FB3" w:rsidRDefault="00F53A97" w:rsidP="00567CAA">
      <w:pPr>
        <w:pStyle w:val="Normaltindrag"/>
        <w:spacing w:line="20" w:lineRule="exact"/>
      </w:pPr>
    </w:p>
    <w:sectPr w:rsidR="00F53A97" w:rsidRPr="00841FB3" w:rsidSect="001E22E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8C8" w:rsidRPr="00841FB3" w:rsidRDefault="000708C8">
      <w:r w:rsidRPr="00841FB3">
        <w:separator/>
      </w:r>
    </w:p>
  </w:endnote>
  <w:endnote w:type="continuationSeparator" w:id="0">
    <w:p w:rsidR="000708C8" w:rsidRPr="00841FB3" w:rsidRDefault="000708C8">
      <w:r w:rsidRPr="00841F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="00B40BA3" w:rsidRPr="00841FB3">
      <w:t>2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H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Pr="00841FB3">
      <w:t>5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if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841FB3">
      <w:rPr>
        <w:noProof/>
      </w:rPr>
      <w:instrText>1</w:instrText>
    </w:r>
    <w:r w:rsidRPr="00841FB3">
      <w:fldChar w:fldCharType="end"/>
    </w:r>
    <w:r w:rsidRPr="00841FB3">
      <w:instrText xml:space="preserve">/2 </w:instrText>
    </w:r>
    <w:r w:rsidRPr="00841FB3">
      <w:fldChar w:fldCharType="separate"/>
    </w:r>
    <w:r w:rsidR="00841FB3">
      <w:rPr>
        <w:noProof/>
      </w:rPr>
      <w:instrText>0,5</w:instrText>
    </w:r>
    <w:r w:rsidRPr="00841FB3">
      <w:fldChar w:fldCharType="end"/>
    </w:r>
    <w:r w:rsidRPr="00841FB3">
      <w:instrText xml:space="preserve"> - </w:instrText>
    </w:r>
    <w:r w:rsidRPr="00841FB3">
      <w:fldChar w:fldCharType="begin" w:fldLock="1"/>
    </w:r>
    <w:r w:rsidRPr="00841FB3">
      <w:instrText xml:space="preserve"> = int(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841FB3">
      <w:rPr>
        <w:noProof/>
      </w:rPr>
      <w:instrText>1</w:instrText>
    </w:r>
    <w:r w:rsidRPr="00841FB3">
      <w:fldChar w:fldCharType="end"/>
    </w:r>
    <w:r w:rsidRPr="00841FB3">
      <w:instrText xml:space="preserve">/2) </w:instrText>
    </w:r>
    <w:r w:rsidRPr="00841FB3">
      <w:fldChar w:fldCharType="separate"/>
    </w:r>
    <w:r w:rsidR="00841FB3">
      <w:rPr>
        <w:noProof/>
      </w:rPr>
      <w:instrText>0</w:instrText>
    </w:r>
    <w:r w:rsidRPr="00841FB3">
      <w:fldChar w:fldCharType="end"/>
    </w:r>
    <w:r w:rsidRPr="00841FB3">
      <w:fldChar w:fldCharType="separate"/>
    </w:r>
    <w:r w:rsidR="00841FB3">
      <w:rPr>
        <w:noProof/>
      </w:rPr>
      <w:instrText>0,5</w:instrText>
    </w:r>
    <w:r w:rsidRPr="00841FB3">
      <w:fldChar w:fldCharType="end"/>
    </w:r>
    <w:r w:rsidRPr="00841FB3">
      <w:instrText xml:space="preserve"> = 0 "</w:instrText>
    </w: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Pr="00841FB3">
      <w:instrText>2</w:instrText>
    </w:r>
    <w:r w:rsidRPr="00841FB3">
      <w:fldChar w:fldCharType="end"/>
    </w:r>
  </w:p>
  <w:p w:rsidR="00775AA7" w:rsidRPr="00841FB3" w:rsidRDefault="00775AA7">
    <w:pPr>
      <w:pStyle w:val="SidfotH"/>
      <w:framePr w:w="8732" w:h="284" w:hRule="exact" w:hSpace="0" w:vSpace="0" w:wrap="around" w:xAlign="inside" w:y="13042" w:anchorLock="0"/>
    </w:pPr>
    <w:r w:rsidRPr="00841FB3">
      <w:instrText>""</w:instrText>
    </w: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="00841FB3">
      <w:rPr>
        <w:noProof/>
      </w:rPr>
      <w:instrText>1</w:instrText>
    </w:r>
    <w:r w:rsidRPr="00841FB3">
      <w:fldChar w:fldCharType="end"/>
    </w:r>
    <w:r w:rsidRPr="00841FB3">
      <w:instrText>"</w:instrText>
    </w:r>
    <w:r w:rsidRPr="00841FB3">
      <w:fldChar w:fldCharType="separate"/>
    </w:r>
    <w:r w:rsidR="00841FB3">
      <w:rPr>
        <w:noProof/>
      </w:rPr>
      <w:t>1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="00B40BA3" w:rsidRPr="00841FB3">
      <w:t>4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H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="00B40BA3" w:rsidRPr="00841FB3">
      <w:t>5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if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B40BA3" w:rsidRPr="00841FB3">
      <w:instrText>3</w:instrText>
    </w:r>
    <w:r w:rsidRPr="00841FB3">
      <w:fldChar w:fldCharType="end"/>
    </w:r>
    <w:r w:rsidRPr="00841FB3">
      <w:instrText xml:space="preserve">/2 </w:instrText>
    </w:r>
    <w:r w:rsidRPr="00841FB3">
      <w:fldChar w:fldCharType="separate"/>
    </w:r>
    <w:r w:rsidR="00B40BA3" w:rsidRPr="00841FB3">
      <w:instrText>1,5</w:instrText>
    </w:r>
    <w:r w:rsidRPr="00841FB3">
      <w:fldChar w:fldCharType="end"/>
    </w:r>
    <w:r w:rsidRPr="00841FB3">
      <w:instrText xml:space="preserve"> - </w:instrText>
    </w:r>
    <w:r w:rsidRPr="00841FB3">
      <w:fldChar w:fldCharType="begin" w:fldLock="1"/>
    </w:r>
    <w:r w:rsidRPr="00841FB3">
      <w:instrText xml:space="preserve"> = int(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B40BA3" w:rsidRPr="00841FB3">
      <w:instrText>3</w:instrText>
    </w:r>
    <w:r w:rsidRPr="00841FB3">
      <w:fldChar w:fldCharType="end"/>
    </w:r>
    <w:r w:rsidRPr="00841FB3">
      <w:instrText xml:space="preserve">/2) </w:instrText>
    </w:r>
    <w:r w:rsidRPr="00841FB3">
      <w:fldChar w:fldCharType="separate"/>
    </w:r>
    <w:r w:rsidR="00B40BA3" w:rsidRPr="00841FB3">
      <w:instrText>1</w:instrText>
    </w:r>
    <w:r w:rsidRPr="00841FB3">
      <w:fldChar w:fldCharType="end"/>
    </w:r>
    <w:r w:rsidRPr="00841FB3">
      <w:fldChar w:fldCharType="separate"/>
    </w:r>
    <w:r w:rsidR="00B40BA3" w:rsidRPr="00841FB3">
      <w:instrText>0,5</w:instrText>
    </w:r>
    <w:r w:rsidRPr="00841FB3">
      <w:fldChar w:fldCharType="end"/>
    </w:r>
    <w:r w:rsidRPr="00841FB3">
      <w:instrText xml:space="preserve"> = 0 "</w:instrText>
    </w: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Pr="00841FB3">
      <w:instrText>4</w:instrText>
    </w:r>
    <w:r w:rsidRPr="00841FB3">
      <w:fldChar w:fldCharType="end"/>
    </w:r>
  </w:p>
  <w:p w:rsidR="00775AA7" w:rsidRPr="00841FB3" w:rsidRDefault="00775AA7">
    <w:pPr>
      <w:pStyle w:val="SidfotH"/>
      <w:framePr w:w="8732" w:h="284" w:hRule="exact" w:hSpace="0" w:vSpace="0" w:wrap="around" w:xAlign="inside" w:y="13042" w:anchorLock="0"/>
    </w:pPr>
    <w:r w:rsidRPr="00841FB3">
      <w:instrText>""</w:instrText>
    </w: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="00B40BA3" w:rsidRPr="00841FB3">
      <w:instrText>3</w:instrText>
    </w:r>
    <w:r w:rsidRPr="00841FB3">
      <w:fldChar w:fldCharType="end"/>
    </w:r>
    <w:r w:rsidRPr="00841FB3">
      <w:instrText>"</w:instrText>
    </w:r>
    <w:r w:rsidRPr="00841FB3">
      <w:fldChar w:fldCharType="separate"/>
    </w:r>
    <w:r w:rsidR="00B40BA3" w:rsidRPr="00841FB3">
      <w:t>3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Pr="00841FB3">
      <w:t>8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H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Pr="00841FB3">
      <w:t>7</w:t>
    </w:r>
    <w:r w:rsidRPr="00841FB3">
      <w:fldChar w:fldCharType="end"/>
    </w:r>
  </w:p>
  <w:p w:rsidR="00775AA7" w:rsidRPr="00841FB3" w:rsidRDefault="00775AA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fldChar w:fldCharType="begin" w:fldLock="1"/>
    </w:r>
    <w:r w:rsidRPr="00841FB3">
      <w:instrText xml:space="preserve"> if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B40BA3" w:rsidRPr="00841FB3">
      <w:instrText>6</w:instrText>
    </w:r>
    <w:r w:rsidRPr="00841FB3">
      <w:fldChar w:fldCharType="end"/>
    </w:r>
    <w:r w:rsidRPr="00841FB3">
      <w:instrText xml:space="preserve">/2 </w:instrText>
    </w:r>
    <w:r w:rsidRPr="00841FB3">
      <w:fldChar w:fldCharType="separate"/>
    </w:r>
    <w:r w:rsidR="00B40BA3" w:rsidRPr="00841FB3">
      <w:instrText>3</w:instrText>
    </w:r>
    <w:r w:rsidRPr="00841FB3">
      <w:fldChar w:fldCharType="end"/>
    </w:r>
    <w:r w:rsidRPr="00841FB3">
      <w:instrText xml:space="preserve"> - </w:instrText>
    </w:r>
    <w:r w:rsidRPr="00841FB3">
      <w:fldChar w:fldCharType="begin" w:fldLock="1"/>
    </w:r>
    <w:r w:rsidRPr="00841FB3">
      <w:instrText xml:space="preserve"> = int(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B40BA3" w:rsidRPr="00841FB3">
      <w:instrText>6</w:instrText>
    </w:r>
    <w:r w:rsidRPr="00841FB3">
      <w:fldChar w:fldCharType="end"/>
    </w:r>
    <w:r w:rsidRPr="00841FB3">
      <w:instrText xml:space="preserve">/2) </w:instrText>
    </w:r>
    <w:r w:rsidRPr="00841FB3">
      <w:fldChar w:fldCharType="separate"/>
    </w:r>
    <w:r w:rsidR="00B40BA3" w:rsidRPr="00841FB3">
      <w:instrText>3</w:instrText>
    </w:r>
    <w:r w:rsidRPr="00841FB3">
      <w:fldChar w:fldCharType="end"/>
    </w:r>
    <w:r w:rsidRPr="00841FB3">
      <w:fldChar w:fldCharType="separate"/>
    </w:r>
    <w:r w:rsidR="00B40BA3" w:rsidRPr="00841FB3">
      <w:instrText>0</w:instrText>
    </w:r>
    <w:r w:rsidRPr="00841FB3">
      <w:fldChar w:fldCharType="end"/>
    </w:r>
    <w:r w:rsidRPr="00841FB3">
      <w:instrText xml:space="preserve"> = 0 "</w:instrText>
    </w: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="00B40BA3" w:rsidRPr="00841FB3">
      <w:instrText>6</w:instrText>
    </w:r>
    <w:r w:rsidRPr="00841FB3">
      <w:fldChar w:fldCharType="end"/>
    </w:r>
  </w:p>
  <w:p w:rsidR="00B40BA3" w:rsidRPr="00841FB3" w:rsidRDefault="00775AA7">
    <w:pPr>
      <w:pStyle w:val="SidfotV"/>
      <w:framePr w:w="8732" w:h="284" w:hRule="exact" w:hSpace="0" w:vSpace="0" w:wrap="around" w:xAlign="inside" w:y="13042" w:anchorLock="0"/>
    </w:pPr>
    <w:r w:rsidRPr="00841FB3">
      <w:instrText>""</w:instrText>
    </w:r>
    <w:r w:rsidRPr="00841FB3">
      <w:fldChar w:fldCharType="begin" w:fldLock="1"/>
    </w:r>
    <w:r w:rsidRPr="00841FB3">
      <w:instrText xml:space="preserve"> P</w:instrText>
    </w:r>
    <w:r w:rsidRPr="00841FB3">
      <w:instrText>A</w:instrText>
    </w:r>
    <w:r w:rsidRPr="00841FB3">
      <w:instrText xml:space="preserve">GE </w:instrText>
    </w:r>
    <w:r w:rsidRPr="00841FB3">
      <w:fldChar w:fldCharType="separate"/>
    </w:r>
    <w:r w:rsidRPr="00841FB3">
      <w:instrText>7</w:instrText>
    </w:r>
    <w:r w:rsidRPr="00841FB3">
      <w:fldChar w:fldCharType="end"/>
    </w:r>
    <w:r w:rsidRPr="00841FB3">
      <w:instrText>"</w:instrText>
    </w:r>
    <w:r w:rsidRPr="00841FB3">
      <w:fldChar w:fldCharType="separate"/>
    </w:r>
    <w:r w:rsidR="00B40BA3" w:rsidRPr="00841FB3">
      <w:t>6</w:t>
    </w:r>
  </w:p>
  <w:p w:rsidR="00775AA7" w:rsidRPr="00841FB3" w:rsidRDefault="00775AA7">
    <w:pPr>
      <w:pStyle w:val="SidfotH"/>
      <w:framePr w:w="8732" w:h="284" w:hRule="exact" w:hSpace="0" w:vSpace="0" w:wrap="around" w:xAlign="inside" w:y="13042" w:anchorLock="0"/>
    </w:pPr>
    <w:r w:rsidRPr="00841FB3">
      <w:fldChar w:fldCharType="end"/>
    </w:r>
  </w:p>
  <w:p w:rsidR="00775AA7" w:rsidRPr="00841FB3" w:rsidRDefault="00775A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8C8" w:rsidRPr="00841FB3" w:rsidRDefault="000708C8">
      <w:r w:rsidRPr="00841FB3">
        <w:separator/>
      </w:r>
    </w:p>
  </w:footnote>
  <w:footnote w:type="continuationSeparator" w:id="0">
    <w:p w:rsidR="000708C8" w:rsidRPr="00841FB3" w:rsidRDefault="000708C8">
      <w:r w:rsidRPr="00841F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t>2005/06:RB2</w:t>
    </w:r>
    <w:r w:rsidRPr="00841FB3">
      <w:t xml:space="preserve">     </w:t>
    </w:r>
    <w:r w:rsidRPr="00841FB3">
      <w:rPr>
        <w:rStyle w:val="SidhuvudBilaga"/>
      </w:rPr>
      <w:t xml:space="preserve"> </w:t>
    </w:r>
    <w:r w:rsidR="00B40BA3" w:rsidRPr="00841FB3">
      <w:rPr>
        <w:rStyle w:val="SidhuvudRubrikReferens"/>
      </w:rPr>
      <w:t>Förslag till vinstdisposition för år 2005</w:t>
    </w:r>
  </w:p>
  <w:p w:rsidR="00775AA7" w:rsidRPr="00841FB3" w:rsidRDefault="00775AA7">
    <w:pPr>
      <w:pStyle w:val="SidhuvudKantJmn"/>
      <w:framePr w:w="8732" w:h="567" w:hRule="exact" w:vSpace="0" w:wrap="around" w:vAnchor="page" w:y="341" w:anchorLock="0"/>
    </w:pPr>
  </w:p>
  <w:p w:rsidR="00775AA7" w:rsidRPr="00841FB3" w:rsidRDefault="00775AA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huvudKantUdda"/>
      <w:framePr w:w="8732" w:h="567" w:hRule="exact" w:vSpace="0" w:wrap="around" w:vAnchor="page" w:y="341" w:anchorLock="0"/>
    </w:pPr>
    <w:r w:rsidRPr="00841FB3">
      <w:rPr>
        <w:rStyle w:val="SidhuvudRubrikReferens"/>
      </w:rPr>
      <w:fldChar w:fldCharType="begin" w:fldLock="1"/>
    </w:r>
    <w:r w:rsidRPr="00841FB3">
      <w:rPr>
        <w:rStyle w:val="SidhuvudRubrikReferens"/>
      </w:rPr>
      <w:instrText xml:space="preserve"> StyleREF "Rubrik 1" </w:instrText>
    </w:r>
    <w:r w:rsidRPr="00841FB3">
      <w:rPr>
        <w:rStyle w:val="SidhuvudRubrikReferens"/>
      </w:rPr>
      <w:fldChar w:fldCharType="separate"/>
    </w:r>
    <w:r w:rsidRPr="00841FB3">
      <w:rPr>
        <w:rStyle w:val="SidhuvudRubrikReferens"/>
      </w:rPr>
      <w:t>Förslag till vinstdisposition för år 2005</w:t>
    </w:r>
    <w:r w:rsidRPr="00841FB3">
      <w:rPr>
        <w:rStyle w:val="SidhuvudRubrikReferens"/>
      </w:rPr>
      <w:fldChar w:fldCharType="end"/>
    </w:r>
    <w:r w:rsidRPr="00841FB3">
      <w:rPr>
        <w:rStyle w:val="SidhuvudBilaga"/>
      </w:rPr>
      <w:t xml:space="preserve"> </w:t>
    </w:r>
    <w:r w:rsidRPr="00841FB3">
      <w:t xml:space="preserve">     </w: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BetänkandeÅr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2005/06</w: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t>:</w: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</w:instrText>
    </w:r>
    <w:r w:rsidRPr="00841FB3">
      <w:instrText xml:space="preserve"> </w:instrText>
    </w:r>
    <w:r w:rsidRPr="00841FB3">
      <w:rPr>
        <w:rStyle w:val="SidhuvudUtskott"/>
      </w:rPr>
      <w:instrText>Utskott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RB</w: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</w:instrText>
    </w:r>
    <w:r w:rsidRPr="00841FB3">
      <w:rPr>
        <w:rStyle w:val="SidhuvudUtskott"/>
      </w:rPr>
      <w:instrText>n</w:instrText>
    </w:r>
    <w:r w:rsidRPr="00841FB3">
      <w:rPr>
        <w:rStyle w:val="SidhuvudUtskott"/>
      </w:rPr>
      <w:instrText>kandeNr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2</w: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KantUdda"/>
      <w:framePr w:w="8732" w:h="567" w:hRule="exact" w:vSpace="0" w:wrap="around" w:vAnchor="page" w:y="341" w:anchorLock="0"/>
    </w:pP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if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"UtkastDatum"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Nej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 = "Ja" "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PRINTDATE \@ "yyyy-MM-dd HH.mm    " 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2000-08-11 16.42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" 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</w:instrText>
    </w:r>
    <w:r w:rsidRPr="00841FB3">
      <w:rPr>
        <w:rStyle w:val="SidhuvudUtskott"/>
      </w:rPr>
      <w:instrText>O</w:instrText>
    </w:r>
    <w:r w:rsidRPr="00841FB3">
      <w:rPr>
        <w:rStyle w:val="SidhuvudUtskott"/>
      </w:rPr>
      <w:instrText>PERTY Status</w:instrTex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fldChar w:fldCharType="begin" w:fldLock="1"/>
    </w:r>
    <w:r w:rsidRPr="00841FB3">
      <w:instrText xml:space="preserve"> if 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="00841FB3">
      <w:rPr>
        <w:noProof/>
      </w:rPr>
      <w:instrText>1</w:instrText>
    </w:r>
    <w:r w:rsidRPr="00841FB3">
      <w:fldChar w:fldCharType="end"/>
    </w:r>
    <w:r w:rsidRPr="00841FB3">
      <w:instrText xml:space="preserve"> &gt; 1 "</w:instrText>
    </w:r>
    <w:r w:rsidRPr="00841FB3">
      <w:fldChar w:fldCharType="begin" w:fldLock="1"/>
    </w:r>
    <w:r w:rsidRPr="00841FB3">
      <w:instrText xml:space="preserve"> if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= 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Pr="00841FB3">
      <w:instrText>2</w:instrText>
    </w:r>
    <w:r w:rsidRPr="00841FB3">
      <w:fldChar w:fldCharType="end"/>
    </w:r>
    <w:r w:rsidRPr="00841FB3">
      <w:instrText xml:space="preserve">/2 </w:instrText>
    </w:r>
    <w:r w:rsidRPr="00841FB3">
      <w:fldChar w:fldCharType="separate"/>
    </w:r>
    <w:r w:rsidRPr="00841FB3">
      <w:instrText>1</w:instrText>
    </w:r>
    <w:r w:rsidRPr="00841FB3">
      <w:fldChar w:fldCharType="end"/>
    </w:r>
    <w:r w:rsidRPr="00841FB3">
      <w:instrText xml:space="preserve"> - </w:instrText>
    </w:r>
    <w:r w:rsidRPr="00841FB3">
      <w:fldChar w:fldCharType="begin" w:fldLock="1"/>
    </w:r>
    <w:r w:rsidRPr="00841FB3">
      <w:instrText xml:space="preserve"> = int(</w:instrText>
    </w:r>
    <w:r w:rsidRPr="00841FB3">
      <w:fldChar w:fldCharType="begin" w:fldLock="1"/>
    </w:r>
    <w:r w:rsidRPr="00841FB3">
      <w:instrText xml:space="preserve"> page</w:instrText>
    </w:r>
    <w:r w:rsidRPr="00841FB3">
      <w:fldChar w:fldCharType="separate"/>
    </w:r>
    <w:r w:rsidRPr="00841FB3">
      <w:instrText>2</w:instrText>
    </w:r>
    <w:r w:rsidRPr="00841FB3">
      <w:fldChar w:fldCharType="end"/>
    </w:r>
    <w:r w:rsidRPr="00841FB3">
      <w:instrText xml:space="preserve">/2) </w:instrText>
    </w:r>
    <w:r w:rsidRPr="00841FB3">
      <w:fldChar w:fldCharType="separate"/>
    </w:r>
    <w:r w:rsidRPr="00841FB3">
      <w:instrText>1</w:instrText>
    </w:r>
    <w:r w:rsidRPr="00841FB3">
      <w:fldChar w:fldCharType="end"/>
    </w:r>
    <w:r w:rsidRPr="00841FB3">
      <w:fldChar w:fldCharType="separate"/>
    </w:r>
    <w:r w:rsidRPr="00841FB3">
      <w:instrText>0</w:instrText>
    </w:r>
    <w:r w:rsidRPr="00841FB3">
      <w:fldChar w:fldCharType="end"/>
    </w:r>
    <w:r w:rsidRPr="00841FB3">
      <w:instrText xml:space="preserve"> = 0 "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BetänkandeÅr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2005/06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>: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</w:instrText>
    </w:r>
    <w:r w:rsidRPr="00841FB3">
      <w:rPr>
        <w:rStyle w:val="SidhuvudUtskott"/>
      </w:rPr>
      <w:instrText>O</w:instrText>
    </w:r>
    <w:r w:rsidRPr="00841FB3">
      <w:rPr>
        <w:rStyle w:val="SidhuvudUtskott"/>
      </w:rPr>
      <w:instrText>PERTY Utskott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RB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BetänkandeNr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</w:instrText>
    </w:r>
    <w:r w:rsidRPr="00841FB3">
      <w:rPr>
        <w:rStyle w:val="SidhuvudUtskott"/>
      </w:rPr>
      <w:fldChar w:fldCharType="end"/>
    </w:r>
    <w:r w:rsidRPr="00841FB3">
      <w:instrText xml:space="preserve">    </w:instrText>
    </w:r>
  </w:p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Status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Utkast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if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"UtkastDatum"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Nej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 = "Ja" "   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PRINTDATE \@ "yyyy-MM-dd HH.mm" 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2000-08-11 16.42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" </w:instrTex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KantUdda"/>
      <w:framePr w:w="8732" w:h="567" w:hRule="exact" w:vSpace="0" w:wrap="around" w:vAnchor="page" w:y="341" w:anchorLock="0"/>
    </w:pPr>
    <w:r w:rsidRPr="00841FB3">
      <w:rPr>
        <w:rStyle w:val="SidhuvudRubrikReferens"/>
        <w:smallCaps w:val="0"/>
      </w:rPr>
      <w:instrText xml:space="preserve"> </w:instrText>
    </w:r>
    <w:r w:rsidRPr="00841FB3">
      <w:instrText xml:space="preserve">"  " 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BetänkandeÅr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1999/2000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>: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Utskott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BoU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BetänkandeNr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6678</w:instrTex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if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"UtkastDatum"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Nej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 = "Ja" "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PRINTDATE \@ "yyyy-MM-dd HH.mm    " 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2000-08-11 16.42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" 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</w:instrText>
    </w:r>
    <w:r w:rsidRPr="00841FB3">
      <w:rPr>
        <w:rStyle w:val="SidhuvudUtskott"/>
      </w:rPr>
      <w:instrText>O</w:instrText>
    </w:r>
    <w:r w:rsidRPr="00841FB3">
      <w:rPr>
        <w:rStyle w:val="SidhuvudUtskott"/>
      </w:rPr>
      <w:instrText>PERTY Status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Utkast 2</w:instrText>
    </w:r>
    <w:r w:rsidRPr="00841FB3">
      <w:rPr>
        <w:rStyle w:val="SidhuvudUtskott"/>
      </w:rPr>
      <w:fldChar w:fldCharType="end"/>
    </w:r>
    <w:r w:rsidRPr="00841FB3">
      <w:instrText>"</w:instrText>
    </w:r>
    <w:r w:rsidRPr="00841FB3">
      <w:fldChar w:fldCharType="separate"/>
    </w:r>
    <w:r w:rsidRPr="00841FB3">
      <w:rPr>
        <w:rStyle w:val="SidhuvudUtskott"/>
      </w:rPr>
      <w:instrText>2005/06:RB2</w:instrText>
    </w:r>
    <w:r w:rsidRPr="00841FB3">
      <w:instrText xml:space="preserve">    </w:instrText>
    </w:r>
  </w:p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instrText>Utkast</w:instrText>
    </w:r>
  </w:p>
  <w:p w:rsidR="00775AA7" w:rsidRPr="00841FB3" w:rsidRDefault="00775AA7">
    <w:pPr>
      <w:pStyle w:val="SidhuvudKantUdda"/>
      <w:framePr w:w="8732" w:h="567" w:hRule="exact" w:vSpace="0" w:wrap="around" w:vAnchor="page" w:y="341" w:anchorLock="0"/>
    </w:pPr>
    <w:r w:rsidRPr="00841FB3">
      <w:rPr>
        <w:rStyle w:val="SidhuvudRubrikReferens"/>
        <w:smallCaps w:val="0"/>
      </w:rPr>
      <w:instrText xml:space="preserve"> </w:instrText>
    </w:r>
    <w:r w:rsidRPr="00841FB3">
      <w:fldChar w:fldCharType="end"/>
    </w:r>
    <w:r w:rsidRPr="00841FB3">
      <w:instrText>" " "</w:instrText>
    </w:r>
    <w:r w:rsidRPr="00841FB3">
      <w:fldChar w:fldCharType="separate"/>
    </w:r>
    <w:r w:rsidR="00841FB3" w:rsidRPr="00841FB3">
      <w:rPr>
        <w:noProof/>
      </w:rPr>
      <w:t xml:space="preserve"> </w:t>
    </w:r>
    <w:r w:rsidRPr="00841FB3">
      <w:fldChar w:fldCharType="end"/>
    </w:r>
  </w:p>
  <w:p w:rsidR="00775AA7" w:rsidRPr="00841FB3" w:rsidRDefault="00775AA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t>2005/06:RB2</w:t>
    </w:r>
    <w:r w:rsidRPr="00841FB3">
      <w:t xml:space="preserve">     </w:t>
    </w:r>
    <w:r w:rsidRPr="00841FB3">
      <w:rPr>
        <w:rStyle w:val="SidhuvudBilaga"/>
      </w:rPr>
      <w:t xml:space="preserve"> </w:t>
    </w:r>
    <w:r w:rsidR="00B40BA3" w:rsidRPr="00841FB3">
      <w:rPr>
        <w:rStyle w:val="SidhuvudRubrikReferens"/>
      </w:rPr>
      <w:t>Fullmäktiges verksamhet år 2005</w:t>
    </w:r>
  </w:p>
  <w:p w:rsidR="00775AA7" w:rsidRPr="00841FB3" w:rsidRDefault="00775AA7">
    <w:pPr>
      <w:pStyle w:val="SidhuvudKantJmn"/>
      <w:framePr w:w="8732" w:h="567" w:hRule="exact" w:vSpace="0" w:wrap="around" w:vAnchor="page" w:y="341" w:anchorLock="0"/>
    </w:pPr>
  </w:p>
  <w:p w:rsidR="00775AA7" w:rsidRPr="00841FB3" w:rsidRDefault="00775AA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B40BA3">
    <w:pPr>
      <w:pStyle w:val="SidhuvudKantUdda"/>
      <w:framePr w:w="8732" w:h="567" w:hRule="exact" w:vSpace="0" w:wrap="around" w:vAnchor="page" w:y="341" w:anchorLock="0"/>
    </w:pPr>
    <w:r w:rsidRPr="00841FB3">
      <w:rPr>
        <w:rStyle w:val="SidhuvudRubrikReferens"/>
      </w:rPr>
      <w:t>Fullmäktiges verksamhet år 2005</w:t>
    </w:r>
    <w:r w:rsidR="00775AA7" w:rsidRPr="00841FB3">
      <w:rPr>
        <w:rStyle w:val="SidhuvudBilaga"/>
      </w:rPr>
      <w:t xml:space="preserve"> </w:t>
    </w:r>
    <w:r w:rsidR="00775AA7" w:rsidRPr="00841FB3">
      <w:t xml:space="preserve">     </w:t>
    </w:r>
    <w:r w:rsidR="00775AA7" w:rsidRPr="00841FB3">
      <w:rPr>
        <w:rStyle w:val="SidhuvudUtskott"/>
      </w:rPr>
      <w:t>2005/06:RB2</w:t>
    </w:r>
  </w:p>
  <w:p w:rsidR="00775AA7" w:rsidRPr="00841FB3" w:rsidRDefault="00775AA7">
    <w:pPr>
      <w:pStyle w:val="SidhuvudKantUdda"/>
      <w:framePr w:w="8732" w:h="567" w:hRule="exact" w:vSpace="0" w:wrap="around" w:vAnchor="page" w:y="341" w:anchorLock="0"/>
    </w:pPr>
  </w:p>
  <w:p w:rsidR="00775AA7" w:rsidRPr="00841FB3" w:rsidRDefault="00775AA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BA3" w:rsidRPr="00841FB3" w:rsidRDefault="00B40BA3">
    <w:pPr>
      <w:pStyle w:val="SidhuvudKantUdda"/>
      <w:framePr w:w="8732" w:h="567" w:hRule="exact" w:vSpace="0" w:wrap="around" w:vAnchor="page" w:y="341" w:anchorLock="0"/>
    </w:pPr>
    <w:r w:rsidRPr="00841FB3">
      <w:t xml:space="preserve">  </w:t>
    </w:r>
    <w:r w:rsidRPr="00841FB3">
      <w:rPr>
        <w:rStyle w:val="SidhuvudUtskott"/>
      </w:rPr>
      <w:t>2005/06:RB2</w:t>
    </w:r>
  </w:p>
  <w:p w:rsidR="00775AA7" w:rsidRPr="00841FB3" w:rsidRDefault="00775AA7">
    <w:pPr>
      <w:pStyle w:val="SidhuvudKantUdda"/>
      <w:framePr w:w="8732" w:h="567" w:hRule="exact" w:vSpace="0" w:wrap="around" w:vAnchor="page" w:y="341" w:anchorLock="0"/>
    </w:pPr>
  </w:p>
  <w:p w:rsidR="00775AA7" w:rsidRPr="00841FB3" w:rsidRDefault="00775AA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BetänkandeÅr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2005/06</w: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t>:</w: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Utskott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RB</w: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BetänkandeNr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2</w:t>
    </w:r>
    <w:r w:rsidRPr="00841FB3">
      <w:rPr>
        <w:rStyle w:val="SidhuvudUtskott"/>
      </w:rPr>
      <w:fldChar w:fldCharType="end"/>
    </w:r>
    <w:r w:rsidRPr="00841FB3">
      <w:t xml:space="preserve">     </w:t>
    </w:r>
    <w:r w:rsidRPr="00841FB3">
      <w:rPr>
        <w:rStyle w:val="SidhuvudBilaga"/>
      </w:rPr>
      <w:t xml:space="preserve"> Bilaga   </w:t>
    </w:r>
    <w:r w:rsidRPr="00841FB3">
      <w:rPr>
        <w:rStyle w:val="SidhuvudRubrikReferens"/>
      </w:rPr>
      <w:fldChar w:fldCharType="begin" w:fldLock="1"/>
    </w:r>
    <w:r w:rsidRPr="00841FB3">
      <w:rPr>
        <w:rStyle w:val="SidhuvudRubrikReferens"/>
      </w:rPr>
      <w:instrText xml:space="preserve"> StyleREF "Rubrik 1" </w:instrText>
    </w:r>
    <w:r w:rsidRPr="00841FB3">
      <w:rPr>
        <w:rStyle w:val="SidhuvudRubrikReferens"/>
      </w:rPr>
      <w:fldChar w:fldCharType="separate"/>
    </w:r>
    <w:r w:rsidRPr="00841FB3">
      <w:rPr>
        <w:rStyle w:val="SidhuvudRubrikReferens"/>
      </w:rPr>
      <w:t>Fullmäktiges verksamhet år 2005</w:t>
    </w:r>
    <w:r w:rsidRPr="00841FB3">
      <w:rPr>
        <w:rStyle w:val="SidhuvudRubrikReferens"/>
      </w:rPr>
      <w:fldChar w:fldCharType="end"/>
    </w:r>
  </w:p>
  <w:p w:rsidR="00775AA7" w:rsidRPr="00841FB3" w:rsidRDefault="00775AA7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Status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if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"UtkastDatum"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Nej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 = "Ja" "   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PRINTDATE \@ "yyyy-MM-dd HH.mm" 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2000-08-11 16.42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" </w:instrTex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AA7" w:rsidRPr="00841FB3" w:rsidRDefault="00775AA7">
    <w:pPr>
      <w:pStyle w:val="SidhuvudKantUdda"/>
      <w:framePr w:w="8732" w:h="567" w:hRule="exact" w:vSpace="0" w:wrap="around" w:vAnchor="page" w:y="341" w:anchorLock="0"/>
    </w:pPr>
    <w:r w:rsidRPr="00841FB3">
      <w:rPr>
        <w:rStyle w:val="SidhuvudRubrikReferens"/>
      </w:rPr>
      <w:fldChar w:fldCharType="begin" w:fldLock="1"/>
    </w:r>
    <w:r w:rsidRPr="00841FB3">
      <w:rPr>
        <w:rStyle w:val="SidhuvudRubrikReferens"/>
      </w:rPr>
      <w:instrText xml:space="preserve"> StyleREF "Rubrik 1" </w:instrText>
    </w:r>
    <w:r w:rsidRPr="00841FB3">
      <w:rPr>
        <w:rStyle w:val="SidhuvudRubrikReferens"/>
      </w:rPr>
      <w:fldChar w:fldCharType="separate"/>
    </w:r>
    <w:r w:rsidRPr="00841FB3">
      <w:rPr>
        <w:rStyle w:val="SidhuvudRubrikReferens"/>
      </w:rPr>
      <w:t>Fullmäktiges verksamhet år 2005</w:t>
    </w:r>
    <w:r w:rsidRPr="00841FB3">
      <w:rPr>
        <w:rStyle w:val="SidhuvudRubrikReferens"/>
      </w:rPr>
      <w:fldChar w:fldCharType="end"/>
    </w:r>
    <w:r w:rsidRPr="00841FB3">
      <w:rPr>
        <w:rStyle w:val="SidhuvudBilaga"/>
      </w:rPr>
      <w:t xml:space="preserve">   Bilaga </w:t>
    </w:r>
    <w:r w:rsidRPr="00841FB3">
      <w:t xml:space="preserve">     </w: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BetänkandeÅr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2005/06</w: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t>:</w: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</w:instrText>
    </w:r>
    <w:r w:rsidRPr="00841FB3">
      <w:instrText xml:space="preserve"> </w:instrText>
    </w:r>
    <w:r w:rsidRPr="00841FB3">
      <w:rPr>
        <w:rStyle w:val="SidhuvudUtskott"/>
      </w:rPr>
      <w:instrText>Utskott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RB</w: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</w:instrText>
    </w:r>
    <w:r w:rsidRPr="00841FB3">
      <w:rPr>
        <w:rStyle w:val="SidhuvudUtskott"/>
      </w:rPr>
      <w:instrText>C</w:instrText>
    </w:r>
    <w:r w:rsidRPr="00841FB3">
      <w:rPr>
        <w:rStyle w:val="SidhuvudUtskott"/>
      </w:rPr>
      <w:instrText>PROPERTY Betä</w:instrText>
    </w:r>
    <w:r w:rsidRPr="00841FB3">
      <w:rPr>
        <w:rStyle w:val="SidhuvudUtskott"/>
      </w:rPr>
      <w:instrText>n</w:instrText>
    </w:r>
    <w:r w:rsidRPr="00841FB3">
      <w:rPr>
        <w:rStyle w:val="SidhuvudUtskott"/>
      </w:rPr>
      <w:instrText>kandeNr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t>2</w: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KantUdda"/>
      <w:framePr w:w="8732" w:h="567" w:hRule="exact" w:vSpace="0" w:wrap="around" w:vAnchor="page" w:y="341" w:anchorLock="0"/>
    </w:pP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if 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DOCPROPERTY "UtkastDatum"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Nej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 = "Ja" "</w:instrText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PRINTDATE \@ "yyyy-MM-dd HH.mm    " </w:instrText>
    </w:r>
    <w:r w:rsidRPr="00841FB3">
      <w:rPr>
        <w:rStyle w:val="SidhuvudUtskott"/>
      </w:rPr>
      <w:fldChar w:fldCharType="separate"/>
    </w:r>
    <w:r w:rsidRPr="00841FB3">
      <w:rPr>
        <w:rStyle w:val="SidhuvudUtskott"/>
      </w:rPr>
      <w:instrText>2000-08-11 16.42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instrText xml:space="preserve">" </w:instrText>
    </w:r>
    <w:r w:rsidRPr="00841FB3">
      <w:rPr>
        <w:rStyle w:val="SidhuvudUtskott"/>
      </w:rPr>
      <w:fldChar w:fldCharType="end"/>
    </w:r>
    <w:r w:rsidRPr="00841FB3">
      <w:rPr>
        <w:rStyle w:val="SidhuvudUtskott"/>
      </w:rPr>
      <w:fldChar w:fldCharType="begin" w:fldLock="1"/>
    </w:r>
    <w:r w:rsidRPr="00841FB3">
      <w:rPr>
        <w:rStyle w:val="SidhuvudUtskott"/>
      </w:rPr>
      <w:instrText xml:space="preserve"> DOCPR</w:instrText>
    </w:r>
    <w:r w:rsidRPr="00841FB3">
      <w:rPr>
        <w:rStyle w:val="SidhuvudUtskott"/>
      </w:rPr>
      <w:instrText>O</w:instrText>
    </w:r>
    <w:r w:rsidRPr="00841FB3">
      <w:rPr>
        <w:rStyle w:val="SidhuvudUtskott"/>
      </w:rPr>
      <w:instrText>PERTY Status</w:instrText>
    </w:r>
    <w:r w:rsidRPr="00841FB3">
      <w:rPr>
        <w:rStyle w:val="SidhuvudUtskott"/>
      </w:rPr>
      <w:fldChar w:fldCharType="end"/>
    </w:r>
  </w:p>
  <w:p w:rsidR="00775AA7" w:rsidRPr="00841FB3" w:rsidRDefault="00775AA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BA3" w:rsidRPr="00841FB3" w:rsidRDefault="00B40BA3">
    <w:pPr>
      <w:pStyle w:val="SidhuvudKantJmn"/>
      <w:framePr w:w="8732" w:h="567" w:hRule="exact" w:vSpace="0" w:wrap="around" w:vAnchor="page" w:y="341" w:anchorLock="0"/>
    </w:pPr>
    <w:r w:rsidRPr="00841FB3">
      <w:rPr>
        <w:rStyle w:val="SidhuvudUtskott"/>
      </w:rPr>
      <w:t>2005/06:RB2</w:t>
    </w:r>
    <w:r w:rsidRPr="00841FB3">
      <w:t xml:space="preserve">    </w:t>
    </w:r>
  </w:p>
  <w:p w:rsidR="00B40BA3" w:rsidRPr="00841FB3" w:rsidRDefault="00B40BA3">
    <w:pPr>
      <w:pStyle w:val="SidhuvudKantJmn"/>
      <w:framePr w:w="8732" w:h="567" w:hRule="exact" w:vSpace="0" w:wrap="around" w:vAnchor="page" w:y="341" w:anchorLock="0"/>
    </w:pPr>
  </w:p>
  <w:p w:rsidR="00775AA7" w:rsidRPr="00841FB3" w:rsidRDefault="00B40BA3">
    <w:pPr>
      <w:pStyle w:val="SidhuvudKantUdda"/>
      <w:framePr w:w="8732" w:h="567" w:hRule="exact" w:vSpace="0" w:wrap="around" w:vAnchor="page" w:y="341" w:anchorLock="0"/>
    </w:pPr>
    <w:r w:rsidRPr="00841FB3">
      <w:rPr>
        <w:rStyle w:val="SidhuvudRubrikReferens"/>
        <w:smallCaps w:val="0"/>
      </w:rPr>
      <w:t xml:space="preserve"> </w:t>
    </w:r>
  </w:p>
  <w:p w:rsidR="00775AA7" w:rsidRPr="00841FB3" w:rsidRDefault="00775AA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7E16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096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F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E8A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46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BCF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B0EA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A84D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46993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3A9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181F90"/>
    <w:multiLevelType w:val="hybridMultilevel"/>
    <w:tmpl w:val="10F2952A"/>
    <w:lvl w:ilvl="0" w:tplc="B20CE91E">
      <w:start w:val="1"/>
      <w:numFmt w:val="bullet"/>
      <w:lvlText w:val=""/>
      <w:lvlJc w:val="left"/>
      <w:pPr>
        <w:tabs>
          <w:tab w:val="num" w:pos="647"/>
        </w:tabs>
        <w:ind w:left="647" w:hanging="227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B2F6216"/>
    <w:multiLevelType w:val="hybridMultilevel"/>
    <w:tmpl w:val="23DE5740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6470220"/>
    <w:multiLevelType w:val="hybridMultilevel"/>
    <w:tmpl w:val="D4B840FE"/>
    <w:lvl w:ilvl="0" w:tplc="B5BA526C">
      <w:start w:val="1"/>
      <w:numFmt w:val="bullet"/>
      <w:pStyle w:val="UpprkningStreck"/>
      <w:lvlText w:val="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773A5"/>
    <w:multiLevelType w:val="hybridMultilevel"/>
    <w:tmpl w:val="84925048"/>
    <w:lvl w:ilvl="0" w:tplc="54606B60">
      <w:start w:val="1"/>
      <w:numFmt w:val="bullet"/>
      <w:pStyle w:val="UpprkningBomb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677302">
    <w:abstractNumId w:val="10"/>
  </w:num>
  <w:num w:numId="2" w16cid:durableId="2005433093">
    <w:abstractNumId w:val="8"/>
  </w:num>
  <w:num w:numId="3" w16cid:durableId="1214073420">
    <w:abstractNumId w:val="3"/>
  </w:num>
  <w:num w:numId="4" w16cid:durableId="26687417">
    <w:abstractNumId w:val="2"/>
  </w:num>
  <w:num w:numId="5" w16cid:durableId="1787121368">
    <w:abstractNumId w:val="1"/>
  </w:num>
  <w:num w:numId="6" w16cid:durableId="7417420">
    <w:abstractNumId w:val="0"/>
  </w:num>
  <w:num w:numId="7" w16cid:durableId="1603538519">
    <w:abstractNumId w:val="9"/>
  </w:num>
  <w:num w:numId="8" w16cid:durableId="1244223420">
    <w:abstractNumId w:val="7"/>
  </w:num>
  <w:num w:numId="9" w16cid:durableId="366376865">
    <w:abstractNumId w:val="6"/>
  </w:num>
  <w:num w:numId="10" w16cid:durableId="974718357">
    <w:abstractNumId w:val="5"/>
  </w:num>
  <w:num w:numId="11" w16cid:durableId="1401364213">
    <w:abstractNumId w:val="4"/>
  </w:num>
  <w:num w:numId="12" w16cid:durableId="1493524199">
    <w:abstractNumId w:val="8"/>
  </w:num>
  <w:num w:numId="13" w16cid:durableId="216280783">
    <w:abstractNumId w:val="14"/>
  </w:num>
  <w:num w:numId="14" w16cid:durableId="171648738">
    <w:abstractNumId w:val="13"/>
  </w:num>
  <w:num w:numId="15" w16cid:durableId="1734506447">
    <w:abstractNumId w:val="8"/>
  </w:num>
  <w:num w:numId="16" w16cid:durableId="74665176">
    <w:abstractNumId w:val="14"/>
  </w:num>
  <w:num w:numId="17" w16cid:durableId="891621576">
    <w:abstractNumId w:val="13"/>
  </w:num>
  <w:num w:numId="18" w16cid:durableId="1815683921">
    <w:abstractNumId w:val="12"/>
  </w:num>
  <w:num w:numId="19" w16cid:durableId="382368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testutskottets"/>
    <w:docVar w:name="Skapår" w:val="0506"/>
  </w:docVars>
  <w:rsids>
    <w:rsidRoot w:val="002E238C"/>
    <w:rsid w:val="000708C8"/>
    <w:rsid w:val="00077604"/>
    <w:rsid w:val="000B6AA3"/>
    <w:rsid w:val="000C48B1"/>
    <w:rsid w:val="0019102E"/>
    <w:rsid w:val="001E22E6"/>
    <w:rsid w:val="002B58FD"/>
    <w:rsid w:val="002E238C"/>
    <w:rsid w:val="002E3D9A"/>
    <w:rsid w:val="002F3070"/>
    <w:rsid w:val="00355BE3"/>
    <w:rsid w:val="003B1503"/>
    <w:rsid w:val="003D3E89"/>
    <w:rsid w:val="0040693B"/>
    <w:rsid w:val="00544891"/>
    <w:rsid w:val="00567CAA"/>
    <w:rsid w:val="0058562B"/>
    <w:rsid w:val="005A0464"/>
    <w:rsid w:val="0066438F"/>
    <w:rsid w:val="007551A1"/>
    <w:rsid w:val="00775AA7"/>
    <w:rsid w:val="00827E31"/>
    <w:rsid w:val="00841FB3"/>
    <w:rsid w:val="008B4B25"/>
    <w:rsid w:val="008F1FAD"/>
    <w:rsid w:val="00A762CF"/>
    <w:rsid w:val="00AB3FE5"/>
    <w:rsid w:val="00B40BA3"/>
    <w:rsid w:val="00BB665A"/>
    <w:rsid w:val="00BC3201"/>
    <w:rsid w:val="00BE418D"/>
    <w:rsid w:val="00C72AC3"/>
    <w:rsid w:val="00CA7151"/>
    <w:rsid w:val="00D301F8"/>
    <w:rsid w:val="00E551E3"/>
    <w:rsid w:val="00F00BB1"/>
    <w:rsid w:val="00F53A97"/>
    <w:rsid w:val="00F65E8D"/>
    <w:rsid w:val="00F778CB"/>
    <w:rsid w:val="00FA716D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3C7951-7598-44EA-B1CA-BB6630BC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3D3E89"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D3E89"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rsid w:val="003D3E89"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rsid w:val="003D3E89"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rsid w:val="003D3E89"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rsid w:val="003D3E89"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rsid w:val="003D3E89"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rsid w:val="003D3E89"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rsid w:val="003D3E89"/>
    <w:pPr>
      <w:outlineLvl w:val="7"/>
    </w:pPr>
    <w:rPr>
      <w:i/>
    </w:rPr>
  </w:style>
  <w:style w:type="paragraph" w:styleId="Rubrik9">
    <w:name w:val="heading 9"/>
    <w:basedOn w:val="Normal"/>
    <w:next w:val="Normal"/>
    <w:qFormat/>
    <w:rsid w:val="003D3E89"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  <w:rsid w:val="003D3E8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D3E89"/>
  </w:style>
  <w:style w:type="paragraph" w:styleId="Normaltindrag">
    <w:name w:val="Normal Indent"/>
    <w:aliases w:val="Normal_indrag,Normal Indrag"/>
    <w:basedOn w:val="Normal"/>
    <w:rsid w:val="003D3E89"/>
    <w:pPr>
      <w:spacing w:before="0"/>
      <w:ind w:firstLine="227"/>
    </w:pPr>
  </w:style>
  <w:style w:type="paragraph" w:customStyle="1" w:styleId="Bilaga">
    <w:name w:val="Bilaga"/>
    <w:basedOn w:val="Rubrik2"/>
    <w:rsid w:val="003D3E89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rsid w:val="003D3E89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  <w:rsid w:val="003D3E89"/>
  </w:style>
  <w:style w:type="paragraph" w:styleId="Citat">
    <w:name w:val="Quote"/>
    <w:basedOn w:val="Normal"/>
    <w:next w:val="CitatIndrag"/>
    <w:qFormat/>
    <w:rsid w:val="003D3E89"/>
    <w:pPr>
      <w:spacing w:before="0" w:line="200" w:lineRule="exact"/>
      <w:ind w:left="340"/>
    </w:pPr>
  </w:style>
  <w:style w:type="paragraph" w:customStyle="1" w:styleId="CitatIndrag">
    <w:name w:val="CitatIndrag"/>
    <w:basedOn w:val="Citat"/>
    <w:rsid w:val="003D3E89"/>
    <w:pPr>
      <w:ind w:firstLine="227"/>
    </w:pPr>
  </w:style>
  <w:style w:type="paragraph" w:customStyle="1" w:styleId="Deltagare">
    <w:name w:val="Deltagare"/>
    <w:basedOn w:val="Normal"/>
    <w:next w:val="Normal"/>
    <w:rsid w:val="003D3E89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  <w:rsid w:val="003D3E89"/>
  </w:style>
  <w:style w:type="paragraph" w:customStyle="1" w:styleId="DokumentRubrik">
    <w:name w:val="DokumentRubrik"/>
    <w:basedOn w:val="Normal"/>
    <w:rsid w:val="003D3E89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rsid w:val="003D3E89"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rsid w:val="003D3E89"/>
    <w:pPr>
      <w:ind w:left="380" w:hanging="380"/>
    </w:pPr>
  </w:style>
  <w:style w:type="paragraph" w:customStyle="1" w:styleId="Frslagspunkt">
    <w:name w:val="Förslagspunkt"/>
    <w:basedOn w:val="Rubrik3"/>
    <w:rsid w:val="003D3E89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rsid w:val="003D3E89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  <w:rsid w:val="003D3E89"/>
  </w:style>
  <w:style w:type="character" w:styleId="Fotnotsreferens">
    <w:name w:val="footnote reference"/>
    <w:basedOn w:val="Standardstycketeckensnitt"/>
    <w:rsid w:val="003D3E89"/>
    <w:rPr>
      <w:rFonts w:ascii="Times New Roman" w:hAnsi="Times New Roman"/>
      <w:sz w:val="19"/>
      <w:szCs w:val="19"/>
      <w:vertAlign w:val="superscript"/>
    </w:rPr>
  </w:style>
  <w:style w:type="paragraph" w:styleId="Fotnotstext">
    <w:name w:val="footnote text"/>
    <w:basedOn w:val="Normal"/>
    <w:next w:val="Fotnotstextindrag"/>
    <w:rsid w:val="003D3E89"/>
    <w:pPr>
      <w:spacing w:before="0" w:line="170" w:lineRule="exact"/>
      <w:jc w:val="left"/>
    </w:pPr>
    <w:rPr>
      <w:sz w:val="16"/>
      <w:szCs w:val="16"/>
    </w:rPr>
  </w:style>
  <w:style w:type="paragraph" w:customStyle="1" w:styleId="Fotnotstextindrag">
    <w:name w:val="Fotnotstext indrag"/>
    <w:basedOn w:val="Fotnotstext"/>
    <w:rsid w:val="003D3E89"/>
    <w:pPr>
      <w:ind w:left="113"/>
    </w:pPr>
  </w:style>
  <w:style w:type="paragraph" w:customStyle="1" w:styleId="Frslagstext">
    <w:name w:val="Förslagstext"/>
    <w:basedOn w:val="Normal"/>
    <w:rsid w:val="003D3E89"/>
    <w:pPr>
      <w:spacing w:before="0"/>
      <w:ind w:left="340"/>
    </w:pPr>
  </w:style>
  <w:style w:type="paragraph" w:customStyle="1" w:styleId="HuvudRubrik">
    <w:name w:val="HuvudRubrik"/>
    <w:basedOn w:val="Normal"/>
    <w:rsid w:val="003D3E89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  <w:rsid w:val="003D3E89"/>
  </w:style>
  <w:style w:type="paragraph" w:customStyle="1" w:styleId="Innehll">
    <w:name w:val="Innehåll"/>
    <w:basedOn w:val="Rubrik1"/>
    <w:next w:val="Normal"/>
    <w:rsid w:val="003D3E89"/>
  </w:style>
  <w:style w:type="paragraph" w:styleId="Innehll1">
    <w:name w:val="toc 1"/>
    <w:basedOn w:val="Normal"/>
    <w:semiHidden/>
    <w:rsid w:val="003D3E89"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rsid w:val="003D3E89"/>
    <w:pPr>
      <w:ind w:left="568" w:hanging="284"/>
    </w:pPr>
  </w:style>
  <w:style w:type="paragraph" w:styleId="Innehll3">
    <w:name w:val="toc 3"/>
    <w:basedOn w:val="Innehll1"/>
    <w:semiHidden/>
    <w:rsid w:val="003D3E89"/>
    <w:pPr>
      <w:ind w:left="851" w:hanging="284"/>
    </w:pPr>
  </w:style>
  <w:style w:type="paragraph" w:styleId="Innehll4">
    <w:name w:val="toc 4"/>
    <w:basedOn w:val="Innehll1"/>
    <w:semiHidden/>
    <w:rsid w:val="003D3E89"/>
    <w:pPr>
      <w:ind w:left="1135" w:hanging="284"/>
    </w:pPr>
  </w:style>
  <w:style w:type="paragraph" w:styleId="Innehll5">
    <w:name w:val="toc 5"/>
    <w:basedOn w:val="Innehll4"/>
    <w:next w:val="Normal"/>
    <w:semiHidden/>
    <w:rsid w:val="003D3E89"/>
    <w:pPr>
      <w:ind w:left="907"/>
    </w:pPr>
  </w:style>
  <w:style w:type="paragraph" w:styleId="Innehll6">
    <w:name w:val="toc 6"/>
    <w:basedOn w:val="Innehll5"/>
    <w:next w:val="Normal"/>
    <w:semiHidden/>
    <w:rsid w:val="003D3E89"/>
    <w:pPr>
      <w:ind w:left="1134"/>
    </w:pPr>
  </w:style>
  <w:style w:type="paragraph" w:styleId="Innehll7">
    <w:name w:val="toc 7"/>
    <w:basedOn w:val="Innehll6"/>
    <w:next w:val="Normal"/>
    <w:semiHidden/>
    <w:rsid w:val="003D3E89"/>
    <w:pPr>
      <w:ind w:left="1361"/>
    </w:pPr>
  </w:style>
  <w:style w:type="paragraph" w:styleId="Innehll8">
    <w:name w:val="toc 8"/>
    <w:basedOn w:val="Innehll7"/>
    <w:next w:val="Normal"/>
    <w:semiHidden/>
    <w:rsid w:val="003D3E89"/>
    <w:pPr>
      <w:ind w:left="1588"/>
    </w:pPr>
  </w:style>
  <w:style w:type="paragraph" w:styleId="Innehll9">
    <w:name w:val="toc 9"/>
    <w:basedOn w:val="Normal"/>
    <w:next w:val="Normal"/>
    <w:semiHidden/>
    <w:rsid w:val="003D3E89"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rsid w:val="003D3E89"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sid w:val="003D3E89"/>
    <w:rPr>
      <w:sz w:val="16"/>
    </w:rPr>
  </w:style>
  <w:style w:type="paragraph" w:customStyle="1" w:styleId="Lagtext">
    <w:name w:val="Lagtext"/>
    <w:basedOn w:val="Normal"/>
    <w:rsid w:val="003D3E89"/>
    <w:pPr>
      <w:spacing w:before="0" w:line="220" w:lineRule="exact"/>
    </w:pPr>
  </w:style>
  <w:style w:type="paragraph" w:customStyle="1" w:styleId="LagtextIndrag">
    <w:name w:val="LagtextIndrag"/>
    <w:basedOn w:val="Lagtext"/>
    <w:rsid w:val="003D3E89"/>
    <w:pPr>
      <w:ind w:firstLine="170"/>
    </w:pPr>
  </w:style>
  <w:style w:type="paragraph" w:customStyle="1" w:styleId="LagtextRubrik">
    <w:name w:val="LagtextRubrik"/>
    <w:basedOn w:val="Normal"/>
    <w:next w:val="LagtextIndrag"/>
    <w:rsid w:val="003D3E89"/>
    <w:pPr>
      <w:spacing w:before="0" w:after="220" w:line="220" w:lineRule="exact"/>
    </w:pPr>
    <w:rPr>
      <w:i/>
    </w:rPr>
  </w:style>
  <w:style w:type="paragraph" w:styleId="Makrotext">
    <w:name w:val="macro"/>
    <w:semiHidden/>
    <w:rsid w:val="003D3E89"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rsid w:val="003D3E89"/>
    <w:pPr>
      <w:spacing w:before="188"/>
      <w:jc w:val="left"/>
    </w:pPr>
    <w:rPr>
      <w:i/>
    </w:rPr>
  </w:style>
  <w:style w:type="paragraph" w:styleId="Oformateradtext">
    <w:name w:val="Plain Text"/>
    <w:basedOn w:val="Normal"/>
    <w:rsid w:val="003D3E89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rsid w:val="003D3E89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rsid w:val="003D3E89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rsid w:val="003D3E89"/>
    <w:pPr>
      <w:keepNext/>
      <w:spacing w:before="250"/>
    </w:pPr>
  </w:style>
  <w:style w:type="paragraph" w:customStyle="1" w:styleId="R1">
    <w:name w:val="R1"/>
    <w:basedOn w:val="Normal"/>
    <w:next w:val="Normal"/>
    <w:rsid w:val="003D3E89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rsid w:val="003D3E89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rsid w:val="003D3E89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rsid w:val="003D3E89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  <w:rsid w:val="003D3E89"/>
  </w:style>
  <w:style w:type="paragraph" w:customStyle="1" w:styleId="Reservanter">
    <w:name w:val="Reservanter"/>
    <w:basedOn w:val="Normaltindrag"/>
    <w:rsid w:val="003D3E89"/>
    <w:pPr>
      <w:ind w:left="340" w:firstLine="0"/>
    </w:pPr>
  </w:style>
  <w:style w:type="paragraph" w:customStyle="1" w:styleId="Reservantfrslag">
    <w:name w:val="Reservantförslag"/>
    <w:basedOn w:val="Normal"/>
    <w:rsid w:val="003D3E89"/>
    <w:pPr>
      <w:spacing w:before="0"/>
    </w:pPr>
  </w:style>
  <w:style w:type="paragraph" w:customStyle="1" w:styleId="Reservationshnvisning">
    <w:name w:val="Reservationshänvisning"/>
    <w:basedOn w:val="Normal"/>
    <w:rsid w:val="003D3E89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sid w:val="003D3E89"/>
    <w:rPr>
      <w:b/>
    </w:rPr>
  </w:style>
  <w:style w:type="paragraph" w:customStyle="1" w:styleId="Rubrik2b">
    <w:name w:val="Rubrik 2b"/>
    <w:basedOn w:val="Rubrik2"/>
    <w:rsid w:val="003D3E89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sid w:val="003D3E89"/>
    <w:rPr>
      <w:i/>
      <w:sz w:val="23"/>
    </w:rPr>
  </w:style>
  <w:style w:type="paragraph" w:customStyle="1" w:styleId="RubrikBetNrDeldokument">
    <w:name w:val="Rubrik BetNr Deldokument"/>
    <w:basedOn w:val="Normal"/>
    <w:rsid w:val="003D3E89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rsid w:val="003D3E89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rsid w:val="003D3E89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rsid w:val="003D3E89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rsid w:val="003D3E89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rsid w:val="003D3E89"/>
    <w:pPr>
      <w:framePr w:wrap="around"/>
      <w:jc w:val="left"/>
    </w:pPr>
  </w:style>
  <w:style w:type="paragraph" w:styleId="Sidhuvud">
    <w:name w:val="header"/>
    <w:basedOn w:val="Normal"/>
    <w:rsid w:val="003D3E89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sid w:val="003D3E89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sid w:val="003D3E89"/>
    <w:rPr>
      <w:smallCaps/>
      <w:spacing w:val="14"/>
      <w:sz w:val="16"/>
    </w:rPr>
  </w:style>
  <w:style w:type="paragraph" w:customStyle="1" w:styleId="SidhuvudKant">
    <w:name w:val="SidhuvudKant"/>
    <w:basedOn w:val="Sidhuvud"/>
    <w:rsid w:val="003D3E89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rsid w:val="003D3E89"/>
    <w:pPr>
      <w:framePr w:wrap="around"/>
    </w:pPr>
  </w:style>
  <w:style w:type="paragraph" w:customStyle="1" w:styleId="SidhuvudKantUdda">
    <w:name w:val="SidhuvudKantUdda"/>
    <w:basedOn w:val="SidhuvudKant"/>
    <w:rsid w:val="003D3E89"/>
    <w:pPr>
      <w:framePr w:wrap="around"/>
      <w:jc w:val="right"/>
    </w:pPr>
  </w:style>
  <w:style w:type="character" w:customStyle="1" w:styleId="SidhuvudUtskott">
    <w:name w:val="SidhuvudUtskott"/>
    <w:basedOn w:val="Standardstycketeckensnitt"/>
    <w:rsid w:val="003D3E89"/>
    <w:rPr>
      <w:spacing w:val="14"/>
      <w:sz w:val="16"/>
    </w:rPr>
  </w:style>
  <w:style w:type="character" w:styleId="Sidnummer">
    <w:name w:val="page number"/>
    <w:basedOn w:val="Standardstycketeckensnitt"/>
    <w:rsid w:val="003D3E89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rsid w:val="003D3E89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rsid w:val="003D3E89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rsid w:val="003D3E89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sid w:val="003D3E89"/>
    <w:rPr>
      <w:sz w:val="12"/>
    </w:rPr>
  </w:style>
  <w:style w:type="paragraph" w:customStyle="1" w:styleId="TabellrubrikLinjerverochunder">
    <w:name w:val="Tabellrubrik Linjer över och under"/>
    <w:basedOn w:val="Tabelltext"/>
    <w:rsid w:val="003D3E89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rsid w:val="003D3E89"/>
    <w:pPr>
      <w:jc w:val="right"/>
    </w:pPr>
  </w:style>
  <w:style w:type="paragraph" w:customStyle="1" w:styleId="Tryckort">
    <w:name w:val="Tryckort"/>
    <w:basedOn w:val="Normal"/>
    <w:rsid w:val="003D3E89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rsid w:val="003D3E89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rsid w:val="003D3E89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rsid w:val="003D3E89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rsid w:val="003D3E89"/>
    <w:pPr>
      <w:keepNext/>
      <w:spacing w:before="0" w:after="125"/>
    </w:pPr>
  </w:style>
  <w:style w:type="paragraph" w:customStyle="1" w:styleId="UtskriftsdatumSida1">
    <w:name w:val="Utskriftsdatum Sida1"/>
    <w:basedOn w:val="SidhuvudKant"/>
    <w:rsid w:val="003D3E89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rsid w:val="003D3E89"/>
    <w:pPr>
      <w:ind w:left="227" w:hanging="227"/>
    </w:pPr>
  </w:style>
  <w:style w:type="paragraph" w:customStyle="1" w:styleId="Yttrandepunkt">
    <w:name w:val="Yttrandepunkt"/>
    <w:basedOn w:val="Reservationspunkt"/>
    <w:next w:val="Reservanter"/>
    <w:rsid w:val="003D3E89"/>
  </w:style>
  <w:style w:type="paragraph" w:customStyle="1" w:styleId="InnehllsfrteckningUtanNr">
    <w:name w:val="InnehållsförteckningUtanNr"/>
    <w:basedOn w:val="Rubrik1"/>
    <w:next w:val="Normal"/>
    <w:rsid w:val="003D3E89"/>
    <w:pPr>
      <w:tabs>
        <w:tab w:val="left" w:pos="567"/>
      </w:tabs>
      <w:spacing w:after="360"/>
    </w:pPr>
  </w:style>
  <w:style w:type="paragraph" w:customStyle="1" w:styleId="Rubrik2ejnummer">
    <w:name w:val="Rubrik2ejnummer"/>
    <w:basedOn w:val="Rubrik2"/>
    <w:rsid w:val="003D3E89"/>
    <w:pPr>
      <w:tabs>
        <w:tab w:val="left" w:pos="567"/>
      </w:tabs>
    </w:pPr>
    <w:rPr>
      <w:sz w:val="25"/>
      <w:szCs w:val="25"/>
    </w:rPr>
  </w:style>
  <w:style w:type="character" w:styleId="AnvndHyperlnk">
    <w:name w:val="FollowedHyperlink"/>
    <w:basedOn w:val="Standardstycketeckensnitt"/>
    <w:rsid w:val="003D3E89"/>
    <w:rPr>
      <w:color w:val="800080"/>
      <w:u w:val="single"/>
    </w:rPr>
  </w:style>
  <w:style w:type="paragraph" w:styleId="Ballongtext">
    <w:name w:val="Balloon Text"/>
    <w:basedOn w:val="Normal"/>
    <w:semiHidden/>
    <w:rsid w:val="003D3E89"/>
    <w:rPr>
      <w:rFonts w:ascii="Tahoma" w:hAnsi="Tahoma" w:cs="Tahoma"/>
      <w:sz w:val="16"/>
      <w:szCs w:val="16"/>
    </w:rPr>
  </w:style>
  <w:style w:type="paragraph" w:customStyle="1" w:styleId="Bembo10">
    <w:name w:val="Bembo10"/>
    <w:basedOn w:val="Normal"/>
    <w:rsid w:val="003D3E89"/>
    <w:pPr>
      <w:spacing w:before="40" w:line="240" w:lineRule="auto"/>
      <w:jc w:val="left"/>
    </w:pPr>
    <w:rPr>
      <w:rFonts w:ascii="Bembo" w:hAnsi="Bembo"/>
      <w:sz w:val="20"/>
    </w:rPr>
  </w:style>
  <w:style w:type="paragraph" w:customStyle="1" w:styleId="Bembo1014Versaler">
    <w:name w:val="Bembo10/14Versaler"/>
    <w:basedOn w:val="Normal"/>
    <w:rsid w:val="003D3E89"/>
    <w:pPr>
      <w:spacing w:before="0" w:line="280" w:lineRule="atLeast"/>
      <w:jc w:val="left"/>
    </w:pPr>
    <w:rPr>
      <w:rFonts w:ascii="Bembo" w:hAnsi="Bembo"/>
      <w:caps/>
      <w:spacing w:val="40"/>
      <w:sz w:val="20"/>
    </w:rPr>
  </w:style>
  <w:style w:type="paragraph" w:customStyle="1" w:styleId="Bembo10Kursiv">
    <w:name w:val="Bembo10/Kursiv"/>
    <w:basedOn w:val="Normal"/>
    <w:rsid w:val="003D3E89"/>
    <w:pPr>
      <w:spacing w:before="0" w:line="240" w:lineRule="auto"/>
      <w:jc w:val="left"/>
    </w:pPr>
    <w:rPr>
      <w:rFonts w:ascii="Bembo" w:hAnsi="Bembo"/>
      <w:i/>
      <w:sz w:val="20"/>
    </w:rPr>
  </w:style>
  <w:style w:type="paragraph" w:customStyle="1" w:styleId="BemboFrvaltningskontor">
    <w:name w:val="BemboFörvaltningskontor"/>
    <w:basedOn w:val="Normal"/>
    <w:rsid w:val="003D3E89"/>
    <w:pPr>
      <w:pBdr>
        <w:bottom w:val="single" w:sz="4" w:space="1" w:color="auto"/>
      </w:pBdr>
      <w:spacing w:before="0" w:line="280" w:lineRule="atLeast"/>
      <w:ind w:right="284"/>
      <w:jc w:val="left"/>
    </w:pPr>
    <w:rPr>
      <w:rFonts w:ascii="Bembo" w:hAnsi="Bembo"/>
      <w:caps/>
      <w:spacing w:val="40"/>
      <w:sz w:val="20"/>
    </w:rPr>
  </w:style>
  <w:style w:type="table" w:styleId="Enkeltabell1">
    <w:name w:val="Table Simple 1"/>
    <w:basedOn w:val="Normaltabell"/>
    <w:rsid w:val="003D3E89"/>
    <w:pPr>
      <w:spacing w:before="62" w:line="200" w:lineRule="exact"/>
      <w:jc w:val="both"/>
    </w:pPr>
    <w:rPr>
      <w:sz w:val="16"/>
      <w:szCs w:val="16"/>
    </w:rPr>
    <w:tblPr>
      <w:tblBorders>
        <w:top w:val="single" w:sz="6" w:space="0" w:color="auto"/>
        <w:bottom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-frformaterad">
    <w:name w:val="HTML Preformatted"/>
    <w:aliases w:val=" förformaterad"/>
    <w:basedOn w:val="Normal"/>
    <w:rsid w:val="003D3E89"/>
    <w:pPr>
      <w:spacing w:before="0" w:line="280" w:lineRule="atLeast"/>
      <w:jc w:val="left"/>
    </w:pPr>
    <w:rPr>
      <w:rFonts w:ascii="Courier New" w:hAnsi="Courier New" w:cs="Courier New"/>
      <w:sz w:val="20"/>
    </w:rPr>
  </w:style>
  <w:style w:type="character" w:styleId="Hyperlnk">
    <w:name w:val="Hyperlink"/>
    <w:basedOn w:val="Standardstycketeckensnitt"/>
    <w:rsid w:val="003D3E89"/>
    <w:rPr>
      <w:color w:val="0000FF"/>
      <w:u w:val="single"/>
    </w:rPr>
  </w:style>
  <w:style w:type="paragraph" w:customStyle="1" w:styleId="KantHuvud">
    <w:name w:val="KantHuvud"/>
    <w:basedOn w:val="Normal"/>
    <w:rsid w:val="003D3E89"/>
    <w:pPr>
      <w:framePr w:w="2552" w:hSpace="284" w:wrap="around" w:vAnchor="page" w:hAnchor="page" w:x="8279" w:y="2326" w:anchorLock="1"/>
      <w:spacing w:before="0" w:line="280" w:lineRule="atLeast"/>
      <w:jc w:val="left"/>
    </w:pPr>
    <w:rPr>
      <w:rFonts w:ascii="Bembo" w:hAnsi="Bembo"/>
      <w:sz w:val="24"/>
    </w:rPr>
  </w:style>
  <w:style w:type="paragraph" w:customStyle="1" w:styleId="logo">
    <w:name w:val="logo"/>
    <w:basedOn w:val="Normal"/>
    <w:rsid w:val="003D3E89"/>
    <w:pPr>
      <w:framePr w:wrap="around" w:vAnchor="page" w:hAnchor="page" w:x="7939" w:y="511" w:anchorLock="1"/>
      <w:spacing w:before="0" w:line="240" w:lineRule="auto"/>
      <w:jc w:val="left"/>
    </w:pPr>
    <w:rPr>
      <w:rFonts w:ascii="Bembo" w:hAnsi="Bembo"/>
      <w:sz w:val="20"/>
    </w:rPr>
  </w:style>
  <w:style w:type="paragraph" w:customStyle="1" w:styleId="logo2">
    <w:name w:val="logo2"/>
    <w:basedOn w:val="logo"/>
    <w:rsid w:val="003D3E89"/>
    <w:pPr>
      <w:framePr w:wrap="around" w:x="9016"/>
    </w:pPr>
  </w:style>
  <w:style w:type="paragraph" w:customStyle="1" w:styleId="normal0">
    <w:name w:val="normal"/>
    <w:basedOn w:val="Normal"/>
    <w:rsid w:val="003D3E89"/>
    <w:pPr>
      <w:spacing w:before="100" w:after="60" w:line="180" w:lineRule="atLeast"/>
      <w:jc w:val="left"/>
    </w:pPr>
    <w:rPr>
      <w:rFonts w:ascii="Verdana" w:hAnsi="Verdana"/>
      <w:color w:val="1D2F68"/>
      <w:spacing w:val="6"/>
      <w:sz w:val="15"/>
      <w:szCs w:val="15"/>
    </w:rPr>
  </w:style>
  <w:style w:type="paragraph" w:styleId="Normalwebb">
    <w:name w:val="Normal (Web)"/>
    <w:basedOn w:val="Normal"/>
    <w:rsid w:val="003D3E89"/>
    <w:pPr>
      <w:spacing w:before="100" w:beforeAutospacing="1" w:after="100" w:afterAutospacing="1" w:line="195" w:lineRule="atLeast"/>
      <w:jc w:val="left"/>
    </w:pPr>
    <w:rPr>
      <w:rFonts w:ascii="Arial" w:hAnsi="Arial" w:cs="Arial"/>
      <w:color w:val="003A66"/>
      <w:sz w:val="18"/>
      <w:szCs w:val="18"/>
    </w:rPr>
  </w:style>
  <w:style w:type="paragraph" w:customStyle="1" w:styleId="NormalCourier">
    <w:name w:val="NormalCourier"/>
    <w:basedOn w:val="Normal"/>
    <w:rsid w:val="003D3E89"/>
    <w:pPr>
      <w:spacing w:before="0" w:line="280" w:lineRule="atLeast"/>
      <w:jc w:val="left"/>
    </w:pPr>
    <w:rPr>
      <w:rFonts w:ascii="Courier" w:hAnsi="Courier"/>
      <w:sz w:val="24"/>
    </w:rPr>
  </w:style>
  <w:style w:type="character" w:customStyle="1" w:styleId="NormaltindragChar1">
    <w:name w:val="Normalt indrag Char1"/>
    <w:basedOn w:val="Standardstycketeckensnitt"/>
    <w:rsid w:val="003D3E89"/>
    <w:rPr>
      <w:sz w:val="19"/>
      <w:lang w:val="sv-SE" w:eastAsia="sv-SE" w:bidi="ar-SA"/>
    </w:rPr>
  </w:style>
  <w:style w:type="paragraph" w:styleId="Numreradlista">
    <w:name w:val="List Number"/>
    <w:basedOn w:val="Normal"/>
    <w:rsid w:val="003D3E89"/>
    <w:pPr>
      <w:numPr>
        <w:numId w:val="15"/>
      </w:numPr>
    </w:pPr>
  </w:style>
  <w:style w:type="character" w:styleId="Stark">
    <w:name w:val="Strong"/>
    <w:basedOn w:val="Standardstycketeckensnitt"/>
    <w:qFormat/>
    <w:rsid w:val="003D3E89"/>
    <w:rPr>
      <w:b/>
      <w:bCs/>
    </w:rPr>
  </w:style>
  <w:style w:type="paragraph" w:customStyle="1" w:styleId="UpprkningBomb">
    <w:name w:val="UppräkningBomb"/>
    <w:basedOn w:val="Normal"/>
    <w:autoRedefine/>
    <w:rsid w:val="003D3E89"/>
    <w:pPr>
      <w:numPr>
        <w:numId w:val="16"/>
      </w:numPr>
      <w:spacing w:before="0" w:line="250" w:lineRule="exact"/>
      <w:jc w:val="left"/>
    </w:pPr>
  </w:style>
  <w:style w:type="paragraph" w:customStyle="1" w:styleId="UpprkningStreck">
    <w:name w:val="UppräkningStreck"/>
    <w:basedOn w:val="UpprkningBomb"/>
    <w:rsid w:val="003D3E89"/>
    <w:pPr>
      <w:numPr>
        <w:numId w:val="17"/>
      </w:numPr>
    </w:pPr>
  </w:style>
  <w:style w:type="paragraph" w:styleId="Brdtext">
    <w:name w:val="Body Text"/>
    <w:basedOn w:val="Normal"/>
    <w:rsid w:val="008B4B25"/>
    <w:pPr>
      <w:spacing w:before="0" w:after="120" w:line="240" w:lineRule="auto"/>
      <w:jc w:val="left"/>
    </w:pPr>
    <w:rPr>
      <w:rFonts w:ascii="New Baskerville" w:hAnsi="New Baskerville"/>
      <w:sz w:val="22"/>
    </w:rPr>
  </w:style>
  <w:style w:type="table" w:styleId="Tabellrutnt">
    <w:name w:val="Table Grid"/>
    <w:basedOn w:val="Normaltabell"/>
    <w:rsid w:val="008B4B25"/>
    <w:pPr>
      <w:spacing w:before="62" w:line="25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1405</Words>
  <Characters>9389</Characters>
  <Application>Microsoft Office Word</Application>
  <DocSecurity>4</DocSecurity>
  <Lines>302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Testutskottets betänkande</vt:lpstr>
    </vt:vector>
  </TitlesOfParts>
  <Company>Riksdagen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Testutskottets betänkande</dc:title>
  <dc:subject>Testutskottets betänkande</dc:subject>
  <dc:creator>Riksdagen</dc:creator>
  <cp:keywords>Riksdagen</cp:keywords>
  <dc:description/>
  <cp:lastModifiedBy>Lars Brink</cp:lastModifiedBy>
  <cp:revision>2</cp:revision>
  <cp:lastPrinted>2006-02-23T12:08:00Z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RB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