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946" w:rsidRPr="00BC0946" w:rsidRDefault="00BC0946">
      <w:pPr>
        <w:pStyle w:val="RubrikSammanf"/>
        <w:shd w:val="clear" w:color="000000" w:fill="auto"/>
        <w:spacing w:before="600"/>
      </w:pPr>
      <w:r w:rsidRPr="00BC0946">
        <w:t>Sammanfattning</w:t>
      </w:r>
    </w:p>
    <w:p w:rsidR="00BC0946" w:rsidRPr="00BC0946" w:rsidRDefault="00BC0946">
      <w:pPr>
        <w:shd w:val="clear" w:color="000000" w:fill="auto"/>
      </w:pPr>
      <w:r w:rsidRPr="00BC0946">
        <w:t>Miljöpartiet de gröna vill verka för jämställda löner. Medel avsätts därför för att minska löneskillnader mellan män och kvinnor i den statliga verksamh</w:t>
      </w:r>
      <w:r w:rsidRPr="00BC0946">
        <w:t>e</w:t>
      </w:r>
      <w:r w:rsidRPr="00BC0946">
        <w:t>ten. Som en del av vårt myndighetssparprogram, tillsammans med Sociald</w:t>
      </w:r>
      <w:r w:rsidRPr="00BC0946">
        <w:t>e</w:t>
      </w:r>
      <w:r w:rsidRPr="00BC0946">
        <w:t>mokraterna och Vänsterpartiet, tilldelas Ekonomistyrningsverket medel för att arbeta med ökad statlig inköpssamordning.</w:t>
      </w:r>
    </w:p>
    <w:p w:rsidR="00BC0946" w:rsidRPr="00BC0946" w:rsidRDefault="00BC0946">
      <w:pPr>
        <w:pStyle w:val="Normaltindrag"/>
        <w:shd w:val="clear" w:color="000000" w:fill="auto"/>
      </w:pPr>
      <w:r w:rsidRPr="00BC0946">
        <w:t>Vi utökar statsbidragen för att möjliggöra en utvidgning av rätten till m</w:t>
      </w:r>
      <w:r w:rsidRPr="00BC0946">
        <w:t>o</w:t>
      </w:r>
      <w:r w:rsidRPr="00BC0946">
        <w:t>dersmål och för att skapa fler platser i komvux. Vi vill också genomföra ett skolkökslyft som ger måltidspersonalen kunskaper och verktyg för att höja kvaliteten på skolmaten. Vi föreslår också ett utökat konjunkturstöd till ko</w:t>
      </w:r>
      <w:r w:rsidRPr="00BC0946">
        <w:t>m</w:t>
      </w:r>
      <w:r w:rsidRPr="00BC0946">
        <w:t>munsektorn under 2011 och 2012 på tre respektive två miljarder samt en permanent höjning av statsbidragen på två miljarder kronor från 2013.</w:t>
      </w:r>
    </w:p>
    <w:p w:rsidR="00BC0946" w:rsidRPr="00BC0946" w:rsidRDefault="00BC0946">
      <w:pPr>
        <w:pStyle w:val="Normaltindrag"/>
        <w:shd w:val="clear" w:color="000000" w:fill="auto"/>
      </w:pPr>
      <w:r w:rsidRPr="00BC0946">
        <w:t>Vidare justerar vi statsbidragen på grund av reformer inom områdena soc</w:t>
      </w:r>
      <w:r w:rsidRPr="00BC0946">
        <w:t>i</w:t>
      </w:r>
      <w:r w:rsidRPr="00BC0946">
        <w:t>ala avgifter, arbetslöshetsersättningen, sjukpenningen och grundavdraget för pensionärerna.</w:t>
      </w:r>
    </w:p>
    <w:p w:rsidR="00BC0946" w:rsidRPr="00BC0946" w:rsidRDefault="00BC0946">
      <w:pPr>
        <w:pStyle w:val="Frslagsrubrik"/>
        <w:shd w:val="clear" w:color="000000" w:fill="auto"/>
        <w:spacing w:before="360"/>
      </w:pPr>
      <w:r w:rsidRPr="00BC0946">
        <w:t>Förslag till riksdagsbeslut</w:t>
      </w:r>
    </w:p>
    <w:p w:rsidR="00BC0946" w:rsidRPr="00BC0946" w:rsidRDefault="00BC0946">
      <w:pPr>
        <w:pStyle w:val="Hemstlatt"/>
        <w:numPr>
          <w:ilvl w:val="0"/>
          <w:numId w:val="1"/>
        </w:numPr>
        <w:shd w:val="clear" w:color="000000" w:fill="auto"/>
      </w:pPr>
      <w:r w:rsidRPr="00BC0946">
        <w:t>Riksdagen anvisar med följande ändringar i fö</w:t>
      </w:r>
      <w:r w:rsidRPr="00BC0946">
        <w:t>r</w:t>
      </w:r>
      <w:r w:rsidRPr="00BC0946">
        <w:t>hållande till regeringens förslag anslagen under utgiftsområde 2 Sa</w:t>
      </w:r>
      <w:r w:rsidRPr="00BC0946">
        <w:t>m</w:t>
      </w:r>
      <w:r w:rsidRPr="00BC0946">
        <w:t>hällsekonomi och finansförvaltning:</w:t>
      </w:r>
    </w:p>
    <w:tbl>
      <w:tblPr>
        <w:tblW w:w="5954" w:type="dxa"/>
        <w:tblLayout w:type="fixed"/>
        <w:tblCellMar>
          <w:left w:w="70" w:type="dxa"/>
          <w:right w:w="70" w:type="dxa"/>
        </w:tblCellMar>
        <w:tblLook w:val="0000" w:firstRow="0" w:lastRow="0" w:firstColumn="0" w:lastColumn="0" w:noHBand="0" w:noVBand="0"/>
      </w:tblPr>
      <w:tblGrid>
        <w:gridCol w:w="777"/>
        <w:gridCol w:w="3151"/>
        <w:gridCol w:w="655"/>
        <w:gridCol w:w="680"/>
        <w:gridCol w:w="691"/>
      </w:tblGrid>
      <w:tr w:rsidR="00000000" w:rsidRPr="00BC0946">
        <w:trPr>
          <w:trHeight w:val="20"/>
        </w:trPr>
        <w:tc>
          <w:tcPr>
            <w:tcW w:w="653" w:type="pct"/>
            <w:tcBorders>
              <w:top w:val="single" w:sz="4" w:space="0" w:color="auto"/>
              <w:left w:val="nil"/>
              <w:right w:val="nil"/>
            </w:tcBorders>
            <w:noWrap/>
          </w:tcPr>
          <w:p w:rsidR="00BC0946" w:rsidRPr="00BC0946" w:rsidRDefault="00BC0946">
            <w:pPr>
              <w:shd w:val="clear" w:color="000000" w:fill="auto"/>
              <w:spacing w:line="180" w:lineRule="exact"/>
              <w:rPr>
                <w:sz w:val="16"/>
              </w:rPr>
            </w:pPr>
          </w:p>
        </w:tc>
        <w:tc>
          <w:tcPr>
            <w:tcW w:w="2645" w:type="pct"/>
            <w:tcBorders>
              <w:top w:val="single" w:sz="4" w:space="0" w:color="auto"/>
              <w:left w:val="nil"/>
              <w:right w:val="nil"/>
            </w:tcBorders>
            <w:noWrap/>
          </w:tcPr>
          <w:p w:rsidR="00BC0946" w:rsidRPr="00BC0946" w:rsidRDefault="00BC0946">
            <w:pPr>
              <w:shd w:val="clear" w:color="000000" w:fill="auto"/>
              <w:spacing w:line="180" w:lineRule="exact"/>
              <w:rPr>
                <w:sz w:val="16"/>
              </w:rPr>
            </w:pPr>
          </w:p>
        </w:tc>
        <w:tc>
          <w:tcPr>
            <w:tcW w:w="1701" w:type="pct"/>
            <w:gridSpan w:val="3"/>
            <w:tcBorders>
              <w:top w:val="single" w:sz="4" w:space="0" w:color="auto"/>
              <w:left w:val="nil"/>
              <w:right w:val="nil"/>
            </w:tcBorders>
            <w:noWrap/>
          </w:tcPr>
          <w:p w:rsidR="00BC0946" w:rsidRPr="00BC0946" w:rsidRDefault="00BC0946">
            <w:pPr>
              <w:shd w:val="clear" w:color="000000" w:fill="auto"/>
              <w:spacing w:line="180" w:lineRule="exact"/>
              <w:jc w:val="center"/>
              <w:rPr>
                <w:b/>
                <w:sz w:val="16"/>
              </w:rPr>
            </w:pPr>
            <w:r w:rsidRPr="00BC0946">
              <w:rPr>
                <w:b/>
                <w:sz w:val="16"/>
              </w:rPr>
              <w:t>Anslagsförändringar</w:t>
            </w:r>
            <w:r w:rsidRPr="00BC0946">
              <w:rPr>
                <w:b/>
                <w:sz w:val="16"/>
              </w:rPr>
              <w:br/>
              <w:t xml:space="preserve"> (miljoner kronor)</w:t>
            </w:r>
          </w:p>
        </w:tc>
      </w:tr>
      <w:tr w:rsidR="00000000" w:rsidRPr="00BC0946">
        <w:trPr>
          <w:trHeight w:val="20"/>
        </w:trPr>
        <w:tc>
          <w:tcPr>
            <w:tcW w:w="653" w:type="pct"/>
            <w:tcBorders>
              <w:left w:val="nil"/>
              <w:bottom w:val="single" w:sz="4" w:space="0" w:color="auto"/>
              <w:right w:val="nil"/>
            </w:tcBorders>
          </w:tcPr>
          <w:p w:rsidR="00BC0946" w:rsidRPr="00BC0946" w:rsidRDefault="00BC0946">
            <w:pPr>
              <w:shd w:val="clear" w:color="000000" w:fill="auto"/>
              <w:spacing w:before="60" w:line="180" w:lineRule="exact"/>
              <w:rPr>
                <w:b/>
                <w:sz w:val="16"/>
              </w:rPr>
            </w:pPr>
            <w:r w:rsidRPr="00BC0946">
              <w:rPr>
                <w:b/>
                <w:sz w:val="16"/>
              </w:rPr>
              <w:t>Anslag</w:t>
            </w:r>
          </w:p>
        </w:tc>
        <w:tc>
          <w:tcPr>
            <w:tcW w:w="2645" w:type="pct"/>
            <w:tcBorders>
              <w:left w:val="nil"/>
              <w:bottom w:val="single" w:sz="4" w:space="0" w:color="auto"/>
              <w:right w:val="nil"/>
            </w:tcBorders>
          </w:tcPr>
          <w:p w:rsidR="00BC0946" w:rsidRPr="00BC0946" w:rsidRDefault="00BC0946">
            <w:pPr>
              <w:shd w:val="clear" w:color="000000" w:fill="auto"/>
              <w:spacing w:before="60" w:line="180" w:lineRule="exact"/>
              <w:rPr>
                <w:b/>
                <w:sz w:val="16"/>
              </w:rPr>
            </w:pPr>
          </w:p>
        </w:tc>
        <w:tc>
          <w:tcPr>
            <w:tcW w:w="550" w:type="pct"/>
            <w:tcBorders>
              <w:left w:val="nil"/>
              <w:bottom w:val="single" w:sz="4" w:space="0" w:color="auto"/>
              <w:right w:val="nil"/>
            </w:tcBorders>
            <w:noWrap/>
          </w:tcPr>
          <w:p w:rsidR="00BC0946" w:rsidRPr="00BC0946" w:rsidRDefault="00BC0946">
            <w:pPr>
              <w:shd w:val="clear" w:color="000000" w:fill="auto"/>
              <w:spacing w:before="60" w:line="180" w:lineRule="exact"/>
              <w:jc w:val="right"/>
              <w:rPr>
                <w:b/>
                <w:sz w:val="16"/>
              </w:rPr>
            </w:pPr>
            <w:r w:rsidRPr="00BC0946">
              <w:rPr>
                <w:b/>
                <w:sz w:val="16"/>
              </w:rPr>
              <w:t>2010</w:t>
            </w:r>
          </w:p>
        </w:tc>
        <w:tc>
          <w:tcPr>
            <w:tcW w:w="571" w:type="pct"/>
            <w:tcBorders>
              <w:left w:val="nil"/>
              <w:bottom w:val="single" w:sz="4" w:space="0" w:color="auto"/>
              <w:right w:val="nil"/>
            </w:tcBorders>
            <w:noWrap/>
          </w:tcPr>
          <w:p w:rsidR="00BC0946" w:rsidRPr="00BC0946" w:rsidRDefault="00BC0946">
            <w:pPr>
              <w:shd w:val="clear" w:color="000000" w:fill="auto"/>
              <w:spacing w:before="60" w:line="180" w:lineRule="exact"/>
              <w:jc w:val="right"/>
              <w:rPr>
                <w:b/>
                <w:sz w:val="16"/>
              </w:rPr>
            </w:pPr>
            <w:r w:rsidRPr="00BC0946">
              <w:rPr>
                <w:b/>
                <w:sz w:val="16"/>
              </w:rPr>
              <w:t>2011</w:t>
            </w:r>
          </w:p>
        </w:tc>
        <w:tc>
          <w:tcPr>
            <w:tcW w:w="580" w:type="pct"/>
            <w:tcBorders>
              <w:left w:val="nil"/>
              <w:bottom w:val="single" w:sz="4" w:space="0" w:color="auto"/>
              <w:right w:val="nil"/>
            </w:tcBorders>
            <w:noWrap/>
          </w:tcPr>
          <w:p w:rsidR="00BC0946" w:rsidRPr="00BC0946" w:rsidRDefault="00BC0946">
            <w:pPr>
              <w:shd w:val="clear" w:color="000000" w:fill="auto"/>
              <w:spacing w:before="60" w:line="180" w:lineRule="exact"/>
              <w:jc w:val="right"/>
              <w:rPr>
                <w:b/>
                <w:sz w:val="16"/>
              </w:rPr>
            </w:pPr>
            <w:r w:rsidRPr="00BC0946">
              <w:rPr>
                <w:b/>
                <w:sz w:val="16"/>
              </w:rPr>
              <w:t>2012</w:t>
            </w:r>
          </w:p>
        </w:tc>
      </w:tr>
      <w:tr w:rsidR="00000000" w:rsidRPr="00BC0946">
        <w:trPr>
          <w:trHeight w:val="20"/>
        </w:trPr>
        <w:tc>
          <w:tcPr>
            <w:tcW w:w="653" w:type="pct"/>
            <w:tcBorders>
              <w:top w:val="single" w:sz="4" w:space="0" w:color="auto"/>
              <w:left w:val="nil"/>
              <w:bottom w:val="nil"/>
              <w:right w:val="nil"/>
            </w:tcBorders>
            <w:noWrap/>
          </w:tcPr>
          <w:p w:rsidR="00BC0946" w:rsidRPr="00BC0946" w:rsidRDefault="00BC0946">
            <w:pPr>
              <w:shd w:val="clear" w:color="000000" w:fill="auto"/>
              <w:spacing w:before="60" w:line="180" w:lineRule="exact"/>
              <w:rPr>
                <w:sz w:val="16"/>
              </w:rPr>
            </w:pPr>
            <w:r w:rsidRPr="00BC0946">
              <w:rPr>
                <w:sz w:val="16"/>
              </w:rPr>
              <w:t>1:4</w:t>
            </w:r>
          </w:p>
        </w:tc>
        <w:tc>
          <w:tcPr>
            <w:tcW w:w="2645" w:type="pct"/>
            <w:tcBorders>
              <w:top w:val="single" w:sz="4" w:space="0" w:color="auto"/>
              <w:left w:val="nil"/>
              <w:bottom w:val="nil"/>
              <w:right w:val="nil"/>
            </w:tcBorders>
            <w:noWrap/>
          </w:tcPr>
          <w:p w:rsidR="00BC0946" w:rsidRPr="00BC0946" w:rsidRDefault="00BC0946">
            <w:pPr>
              <w:shd w:val="clear" w:color="000000" w:fill="auto"/>
              <w:spacing w:before="60" w:line="180" w:lineRule="exact"/>
              <w:rPr>
                <w:sz w:val="16"/>
              </w:rPr>
            </w:pPr>
            <w:r w:rsidRPr="00BC0946">
              <w:rPr>
                <w:sz w:val="16"/>
              </w:rPr>
              <w:t>Arbetsgivarpolitiska frågor</w:t>
            </w:r>
          </w:p>
        </w:tc>
        <w:tc>
          <w:tcPr>
            <w:tcW w:w="550" w:type="pct"/>
            <w:tcBorders>
              <w:top w:val="single" w:sz="4" w:space="0" w:color="auto"/>
              <w:left w:val="nil"/>
              <w:bottom w:val="nil"/>
              <w:right w:val="nil"/>
            </w:tcBorders>
            <w:noWrap/>
          </w:tcPr>
          <w:p w:rsidR="00BC0946" w:rsidRPr="00BC0946" w:rsidRDefault="00BC0946">
            <w:pPr>
              <w:shd w:val="clear" w:color="000000" w:fill="auto"/>
              <w:spacing w:before="60" w:line="180" w:lineRule="exact"/>
              <w:jc w:val="right"/>
              <w:rPr>
                <w:sz w:val="16"/>
              </w:rPr>
            </w:pPr>
            <w:r w:rsidRPr="00BC0946">
              <w:rPr>
                <w:sz w:val="16"/>
              </w:rPr>
              <w:t>170</w:t>
            </w:r>
          </w:p>
        </w:tc>
        <w:tc>
          <w:tcPr>
            <w:tcW w:w="571" w:type="pct"/>
            <w:tcBorders>
              <w:top w:val="single" w:sz="4" w:space="0" w:color="auto"/>
              <w:left w:val="nil"/>
              <w:bottom w:val="nil"/>
              <w:right w:val="nil"/>
            </w:tcBorders>
            <w:noWrap/>
          </w:tcPr>
          <w:p w:rsidR="00BC0946" w:rsidRPr="00BC0946" w:rsidRDefault="00BC0946">
            <w:pPr>
              <w:shd w:val="clear" w:color="000000" w:fill="auto"/>
              <w:spacing w:before="60" w:line="180" w:lineRule="exact"/>
              <w:jc w:val="right"/>
              <w:rPr>
                <w:sz w:val="16"/>
              </w:rPr>
            </w:pPr>
            <w:r w:rsidRPr="00BC0946">
              <w:rPr>
                <w:sz w:val="16"/>
              </w:rPr>
              <w:t>340</w:t>
            </w:r>
          </w:p>
        </w:tc>
        <w:tc>
          <w:tcPr>
            <w:tcW w:w="580" w:type="pct"/>
            <w:tcBorders>
              <w:top w:val="single" w:sz="4" w:space="0" w:color="auto"/>
              <w:left w:val="nil"/>
              <w:bottom w:val="nil"/>
              <w:right w:val="nil"/>
            </w:tcBorders>
            <w:noWrap/>
          </w:tcPr>
          <w:p w:rsidR="00BC0946" w:rsidRPr="00BC0946" w:rsidRDefault="00BC0946">
            <w:pPr>
              <w:shd w:val="clear" w:color="000000" w:fill="auto"/>
              <w:spacing w:before="60" w:line="180" w:lineRule="exact"/>
              <w:jc w:val="right"/>
              <w:rPr>
                <w:sz w:val="16"/>
              </w:rPr>
            </w:pPr>
            <w:r w:rsidRPr="00BC0946">
              <w:rPr>
                <w:sz w:val="16"/>
              </w:rPr>
              <w:t>500</w:t>
            </w:r>
          </w:p>
        </w:tc>
      </w:tr>
      <w:tr w:rsidR="00000000" w:rsidRPr="00BC0946">
        <w:trPr>
          <w:trHeight w:val="20"/>
        </w:trPr>
        <w:tc>
          <w:tcPr>
            <w:tcW w:w="653" w:type="pct"/>
            <w:tcBorders>
              <w:top w:val="nil"/>
              <w:left w:val="nil"/>
              <w:right w:val="nil"/>
            </w:tcBorders>
            <w:noWrap/>
          </w:tcPr>
          <w:p w:rsidR="00BC0946" w:rsidRPr="00BC0946" w:rsidRDefault="00BC0946">
            <w:pPr>
              <w:shd w:val="clear" w:color="000000" w:fill="auto"/>
              <w:spacing w:before="60" w:line="180" w:lineRule="exact"/>
              <w:rPr>
                <w:sz w:val="16"/>
              </w:rPr>
            </w:pPr>
            <w:r w:rsidRPr="00BC0946">
              <w:rPr>
                <w:sz w:val="16"/>
              </w:rPr>
              <w:t>1:8</w:t>
            </w:r>
          </w:p>
        </w:tc>
        <w:tc>
          <w:tcPr>
            <w:tcW w:w="2645" w:type="pct"/>
            <w:tcBorders>
              <w:top w:val="nil"/>
              <w:left w:val="nil"/>
              <w:right w:val="nil"/>
            </w:tcBorders>
            <w:noWrap/>
          </w:tcPr>
          <w:p w:rsidR="00BC0946" w:rsidRPr="00BC0946" w:rsidRDefault="00BC0946">
            <w:pPr>
              <w:shd w:val="clear" w:color="000000" w:fill="auto"/>
              <w:spacing w:before="60" w:line="180" w:lineRule="exact"/>
              <w:rPr>
                <w:sz w:val="16"/>
              </w:rPr>
            </w:pPr>
            <w:r w:rsidRPr="00BC0946">
              <w:rPr>
                <w:sz w:val="16"/>
              </w:rPr>
              <w:t>Ekonomistyrningsverket</w:t>
            </w:r>
          </w:p>
        </w:tc>
        <w:tc>
          <w:tcPr>
            <w:tcW w:w="550" w:type="pct"/>
            <w:tcBorders>
              <w:top w:val="nil"/>
              <w:left w:val="nil"/>
              <w:right w:val="nil"/>
            </w:tcBorders>
            <w:noWrap/>
          </w:tcPr>
          <w:p w:rsidR="00BC0946" w:rsidRPr="00BC0946" w:rsidRDefault="00BC0946">
            <w:pPr>
              <w:shd w:val="clear" w:color="000000" w:fill="auto"/>
              <w:spacing w:before="60" w:line="180" w:lineRule="exact"/>
              <w:jc w:val="right"/>
              <w:rPr>
                <w:sz w:val="16"/>
              </w:rPr>
            </w:pPr>
            <w:r w:rsidRPr="00BC0946">
              <w:rPr>
                <w:sz w:val="16"/>
              </w:rPr>
              <w:t>5</w:t>
            </w:r>
          </w:p>
        </w:tc>
        <w:tc>
          <w:tcPr>
            <w:tcW w:w="571" w:type="pct"/>
            <w:tcBorders>
              <w:top w:val="nil"/>
              <w:left w:val="nil"/>
              <w:right w:val="nil"/>
            </w:tcBorders>
            <w:noWrap/>
          </w:tcPr>
          <w:p w:rsidR="00BC0946" w:rsidRPr="00BC0946" w:rsidRDefault="00BC0946">
            <w:pPr>
              <w:shd w:val="clear" w:color="000000" w:fill="auto"/>
              <w:spacing w:before="60" w:line="180" w:lineRule="exact"/>
              <w:jc w:val="right"/>
              <w:rPr>
                <w:sz w:val="16"/>
              </w:rPr>
            </w:pPr>
            <w:r w:rsidRPr="00BC0946">
              <w:rPr>
                <w:sz w:val="16"/>
              </w:rPr>
              <w:t>5</w:t>
            </w:r>
          </w:p>
        </w:tc>
        <w:tc>
          <w:tcPr>
            <w:tcW w:w="580" w:type="pct"/>
            <w:tcBorders>
              <w:top w:val="nil"/>
              <w:left w:val="nil"/>
              <w:right w:val="nil"/>
            </w:tcBorders>
            <w:noWrap/>
          </w:tcPr>
          <w:p w:rsidR="00BC0946" w:rsidRPr="00BC0946" w:rsidRDefault="00BC0946">
            <w:pPr>
              <w:shd w:val="clear" w:color="000000" w:fill="auto"/>
              <w:spacing w:before="60" w:line="180" w:lineRule="exact"/>
              <w:jc w:val="right"/>
              <w:rPr>
                <w:sz w:val="16"/>
              </w:rPr>
            </w:pPr>
          </w:p>
        </w:tc>
      </w:tr>
      <w:tr w:rsidR="00000000" w:rsidRPr="00BC0946">
        <w:trPr>
          <w:trHeight w:val="20"/>
        </w:trPr>
        <w:tc>
          <w:tcPr>
            <w:tcW w:w="653" w:type="pct"/>
            <w:tcBorders>
              <w:top w:val="nil"/>
              <w:left w:val="nil"/>
              <w:right w:val="nil"/>
            </w:tcBorders>
            <w:noWrap/>
          </w:tcPr>
          <w:p w:rsidR="00BC0946" w:rsidRPr="00BC0946" w:rsidRDefault="00BC0946">
            <w:pPr>
              <w:shd w:val="clear" w:color="000000" w:fill="auto"/>
              <w:spacing w:before="60" w:line="180" w:lineRule="exact"/>
              <w:rPr>
                <w:sz w:val="16"/>
              </w:rPr>
            </w:pPr>
            <w:r w:rsidRPr="00BC0946">
              <w:rPr>
                <w:sz w:val="16"/>
              </w:rPr>
              <w:lastRenderedPageBreak/>
              <w:t>Nytt</w:t>
            </w:r>
          </w:p>
        </w:tc>
        <w:tc>
          <w:tcPr>
            <w:tcW w:w="2645" w:type="pct"/>
            <w:tcBorders>
              <w:top w:val="nil"/>
              <w:left w:val="nil"/>
              <w:right w:val="nil"/>
            </w:tcBorders>
            <w:noWrap/>
          </w:tcPr>
          <w:p w:rsidR="00BC0946" w:rsidRPr="00BC0946" w:rsidRDefault="00BC0946">
            <w:pPr>
              <w:shd w:val="clear" w:color="000000" w:fill="auto"/>
              <w:spacing w:before="60" w:line="180" w:lineRule="exact"/>
              <w:rPr>
                <w:sz w:val="16"/>
              </w:rPr>
            </w:pPr>
            <w:r w:rsidRPr="00BC0946">
              <w:rPr>
                <w:sz w:val="16"/>
              </w:rPr>
              <w:t>Praktik i statliga myndigheter</w:t>
            </w:r>
          </w:p>
        </w:tc>
        <w:tc>
          <w:tcPr>
            <w:tcW w:w="550" w:type="pct"/>
            <w:tcBorders>
              <w:top w:val="nil"/>
              <w:left w:val="nil"/>
              <w:right w:val="nil"/>
            </w:tcBorders>
            <w:noWrap/>
          </w:tcPr>
          <w:p w:rsidR="00BC0946" w:rsidRPr="00BC0946" w:rsidRDefault="00BC0946">
            <w:pPr>
              <w:shd w:val="clear" w:color="000000" w:fill="auto"/>
              <w:spacing w:before="60" w:line="180" w:lineRule="exact"/>
              <w:jc w:val="right"/>
              <w:rPr>
                <w:sz w:val="16"/>
              </w:rPr>
            </w:pPr>
            <w:r w:rsidRPr="00BC0946">
              <w:rPr>
                <w:sz w:val="16"/>
              </w:rPr>
              <w:t>200</w:t>
            </w:r>
          </w:p>
        </w:tc>
        <w:tc>
          <w:tcPr>
            <w:tcW w:w="571" w:type="pct"/>
            <w:tcBorders>
              <w:top w:val="nil"/>
              <w:left w:val="nil"/>
              <w:right w:val="nil"/>
            </w:tcBorders>
            <w:noWrap/>
          </w:tcPr>
          <w:p w:rsidR="00BC0946" w:rsidRPr="00BC0946" w:rsidRDefault="00BC0946">
            <w:pPr>
              <w:shd w:val="clear" w:color="000000" w:fill="auto"/>
              <w:spacing w:before="60" w:line="180" w:lineRule="exact"/>
              <w:jc w:val="right"/>
              <w:rPr>
                <w:sz w:val="16"/>
              </w:rPr>
            </w:pPr>
            <w:r w:rsidRPr="00BC0946">
              <w:rPr>
                <w:sz w:val="16"/>
              </w:rPr>
              <w:t>200</w:t>
            </w:r>
          </w:p>
        </w:tc>
        <w:tc>
          <w:tcPr>
            <w:tcW w:w="580" w:type="pct"/>
            <w:tcBorders>
              <w:top w:val="nil"/>
              <w:left w:val="nil"/>
              <w:right w:val="nil"/>
            </w:tcBorders>
            <w:noWrap/>
          </w:tcPr>
          <w:p w:rsidR="00BC0946" w:rsidRPr="00BC0946" w:rsidRDefault="00BC0946">
            <w:pPr>
              <w:shd w:val="clear" w:color="000000" w:fill="auto"/>
              <w:spacing w:before="60" w:line="180" w:lineRule="exact"/>
              <w:jc w:val="right"/>
              <w:rPr>
                <w:sz w:val="16"/>
              </w:rPr>
            </w:pPr>
          </w:p>
        </w:tc>
      </w:tr>
      <w:tr w:rsidR="00000000" w:rsidRPr="00BC0946">
        <w:trPr>
          <w:trHeight w:val="20"/>
        </w:trPr>
        <w:tc>
          <w:tcPr>
            <w:tcW w:w="3299" w:type="pct"/>
            <w:gridSpan w:val="2"/>
            <w:tcBorders>
              <w:top w:val="nil"/>
              <w:left w:val="nil"/>
              <w:bottom w:val="single" w:sz="4" w:space="0" w:color="auto"/>
              <w:right w:val="nil"/>
            </w:tcBorders>
            <w:noWrap/>
          </w:tcPr>
          <w:p w:rsidR="00BC0946" w:rsidRPr="00BC0946" w:rsidRDefault="00BC0946">
            <w:pPr>
              <w:shd w:val="clear" w:color="000000" w:fill="auto"/>
              <w:spacing w:before="60" w:line="180" w:lineRule="exact"/>
              <w:rPr>
                <w:b/>
                <w:sz w:val="16"/>
              </w:rPr>
            </w:pPr>
            <w:r w:rsidRPr="00BC0946">
              <w:rPr>
                <w:b/>
                <w:sz w:val="16"/>
              </w:rPr>
              <w:t>Summa för utgiftsområdet</w:t>
            </w:r>
          </w:p>
        </w:tc>
        <w:tc>
          <w:tcPr>
            <w:tcW w:w="550" w:type="pct"/>
            <w:tcBorders>
              <w:top w:val="nil"/>
              <w:left w:val="nil"/>
              <w:bottom w:val="single" w:sz="4" w:space="0" w:color="auto"/>
              <w:right w:val="nil"/>
            </w:tcBorders>
            <w:noWrap/>
          </w:tcPr>
          <w:p w:rsidR="00BC0946" w:rsidRPr="00BC0946" w:rsidRDefault="00BC0946">
            <w:pPr>
              <w:shd w:val="clear" w:color="000000" w:fill="auto"/>
              <w:spacing w:before="60" w:line="180" w:lineRule="exact"/>
              <w:jc w:val="right"/>
              <w:rPr>
                <w:b/>
                <w:sz w:val="16"/>
              </w:rPr>
            </w:pPr>
            <w:r w:rsidRPr="00BC0946">
              <w:rPr>
                <w:b/>
                <w:sz w:val="16"/>
              </w:rPr>
              <w:t>375</w:t>
            </w:r>
          </w:p>
        </w:tc>
        <w:tc>
          <w:tcPr>
            <w:tcW w:w="571" w:type="pct"/>
            <w:tcBorders>
              <w:top w:val="nil"/>
              <w:left w:val="nil"/>
              <w:bottom w:val="single" w:sz="4" w:space="0" w:color="auto"/>
              <w:right w:val="nil"/>
            </w:tcBorders>
            <w:noWrap/>
          </w:tcPr>
          <w:p w:rsidR="00BC0946" w:rsidRPr="00BC0946" w:rsidRDefault="00BC0946">
            <w:pPr>
              <w:shd w:val="clear" w:color="000000" w:fill="auto"/>
              <w:spacing w:before="60" w:line="180" w:lineRule="exact"/>
              <w:jc w:val="right"/>
              <w:rPr>
                <w:b/>
                <w:sz w:val="16"/>
              </w:rPr>
            </w:pPr>
            <w:r w:rsidRPr="00BC0946">
              <w:rPr>
                <w:b/>
                <w:sz w:val="16"/>
              </w:rPr>
              <w:t>545</w:t>
            </w:r>
          </w:p>
        </w:tc>
        <w:tc>
          <w:tcPr>
            <w:tcW w:w="580" w:type="pct"/>
            <w:tcBorders>
              <w:top w:val="nil"/>
              <w:left w:val="nil"/>
              <w:bottom w:val="single" w:sz="4" w:space="0" w:color="auto"/>
              <w:right w:val="nil"/>
            </w:tcBorders>
            <w:noWrap/>
          </w:tcPr>
          <w:p w:rsidR="00BC0946" w:rsidRPr="00BC0946" w:rsidRDefault="00BC0946">
            <w:pPr>
              <w:shd w:val="clear" w:color="000000" w:fill="auto"/>
              <w:spacing w:before="60" w:line="180" w:lineRule="exact"/>
              <w:jc w:val="right"/>
              <w:rPr>
                <w:b/>
                <w:sz w:val="16"/>
              </w:rPr>
            </w:pPr>
            <w:r w:rsidRPr="00BC0946">
              <w:rPr>
                <w:b/>
                <w:sz w:val="16"/>
              </w:rPr>
              <w:t>500</w:t>
            </w:r>
          </w:p>
        </w:tc>
      </w:tr>
    </w:tbl>
    <w:p w:rsidR="00BC0946" w:rsidRPr="00BC0946" w:rsidRDefault="00BC0946">
      <w:pPr>
        <w:pStyle w:val="Hemstlatt"/>
        <w:numPr>
          <w:ilvl w:val="0"/>
          <w:numId w:val="1"/>
        </w:numPr>
        <w:shd w:val="clear" w:color="000000" w:fill="auto"/>
      </w:pPr>
      <w:r w:rsidRPr="00BC0946">
        <w:t>Riksdagen anvisar med följande ändringar i förhållande till regeringens förslag anslagen under utgiftsområde 25 Allmänna statsb</w:t>
      </w:r>
      <w:r w:rsidRPr="00BC0946">
        <w:t>i</w:t>
      </w:r>
      <w:r w:rsidRPr="00BC0946">
        <w:t>drag till kommuner:</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77"/>
        <w:gridCol w:w="3151"/>
        <w:gridCol w:w="653"/>
        <w:gridCol w:w="680"/>
        <w:gridCol w:w="693"/>
      </w:tblGrid>
      <w:tr w:rsidR="00000000" w:rsidRPr="00BC0946">
        <w:trPr>
          <w:trHeight w:val="20"/>
        </w:trPr>
        <w:tc>
          <w:tcPr>
            <w:tcW w:w="653" w:type="pct"/>
            <w:tcBorders>
              <w:bottom w:val="nil"/>
            </w:tcBorders>
            <w:noWrap/>
          </w:tcPr>
          <w:p w:rsidR="00BC0946" w:rsidRPr="00BC0946" w:rsidRDefault="00BC0946">
            <w:pPr>
              <w:shd w:val="clear" w:color="000000" w:fill="auto"/>
              <w:spacing w:line="180" w:lineRule="exact"/>
              <w:rPr>
                <w:b/>
                <w:sz w:val="16"/>
              </w:rPr>
            </w:pPr>
          </w:p>
        </w:tc>
        <w:tc>
          <w:tcPr>
            <w:tcW w:w="2646" w:type="pct"/>
            <w:tcBorders>
              <w:bottom w:val="nil"/>
            </w:tcBorders>
            <w:noWrap/>
          </w:tcPr>
          <w:p w:rsidR="00BC0946" w:rsidRPr="00BC0946" w:rsidRDefault="00BC0946">
            <w:pPr>
              <w:shd w:val="clear" w:color="000000" w:fill="auto"/>
              <w:spacing w:line="180" w:lineRule="exact"/>
              <w:rPr>
                <w:sz w:val="16"/>
              </w:rPr>
            </w:pPr>
          </w:p>
        </w:tc>
        <w:tc>
          <w:tcPr>
            <w:tcW w:w="1701" w:type="pct"/>
            <w:gridSpan w:val="3"/>
            <w:tcBorders>
              <w:bottom w:val="nil"/>
            </w:tcBorders>
            <w:noWrap/>
          </w:tcPr>
          <w:p w:rsidR="00BC0946" w:rsidRPr="00BC0946" w:rsidRDefault="00BC0946">
            <w:pPr>
              <w:shd w:val="clear" w:color="000000" w:fill="auto"/>
              <w:spacing w:line="180" w:lineRule="exact"/>
              <w:jc w:val="center"/>
              <w:rPr>
                <w:b/>
                <w:sz w:val="16"/>
              </w:rPr>
            </w:pPr>
            <w:r w:rsidRPr="00BC0946">
              <w:rPr>
                <w:b/>
                <w:sz w:val="16"/>
              </w:rPr>
              <w:t>Anslagsförändringar</w:t>
            </w:r>
            <w:r w:rsidRPr="00BC0946">
              <w:rPr>
                <w:b/>
                <w:sz w:val="16"/>
              </w:rPr>
              <w:br/>
              <w:t xml:space="preserve"> (miljoner kronor)</w:t>
            </w:r>
          </w:p>
        </w:tc>
      </w:tr>
      <w:tr w:rsidR="00000000" w:rsidRPr="00BC0946">
        <w:trPr>
          <w:trHeight w:val="20"/>
        </w:trPr>
        <w:tc>
          <w:tcPr>
            <w:tcW w:w="653" w:type="pct"/>
            <w:tcBorders>
              <w:top w:val="nil"/>
              <w:bottom w:val="single" w:sz="4" w:space="0" w:color="auto"/>
            </w:tcBorders>
          </w:tcPr>
          <w:p w:rsidR="00BC0946" w:rsidRPr="00BC0946" w:rsidRDefault="00BC0946">
            <w:pPr>
              <w:shd w:val="clear" w:color="000000" w:fill="auto"/>
              <w:spacing w:before="60" w:line="180" w:lineRule="exact"/>
              <w:rPr>
                <w:b/>
                <w:sz w:val="16"/>
              </w:rPr>
            </w:pPr>
            <w:r w:rsidRPr="00BC0946">
              <w:rPr>
                <w:b/>
                <w:sz w:val="16"/>
              </w:rPr>
              <w:t>Anslag</w:t>
            </w:r>
          </w:p>
        </w:tc>
        <w:tc>
          <w:tcPr>
            <w:tcW w:w="2646" w:type="pct"/>
            <w:tcBorders>
              <w:top w:val="nil"/>
              <w:bottom w:val="single" w:sz="4" w:space="0" w:color="auto"/>
            </w:tcBorders>
          </w:tcPr>
          <w:p w:rsidR="00BC0946" w:rsidRPr="00BC0946" w:rsidRDefault="00BC0946">
            <w:pPr>
              <w:shd w:val="clear" w:color="000000" w:fill="auto"/>
              <w:spacing w:before="60" w:line="180" w:lineRule="exact"/>
              <w:rPr>
                <w:b/>
                <w:sz w:val="16"/>
              </w:rPr>
            </w:pPr>
          </w:p>
        </w:tc>
        <w:tc>
          <w:tcPr>
            <w:tcW w:w="548" w:type="pct"/>
            <w:tcBorders>
              <w:top w:val="nil"/>
              <w:bottom w:val="single" w:sz="4" w:space="0" w:color="auto"/>
            </w:tcBorders>
            <w:noWrap/>
          </w:tcPr>
          <w:p w:rsidR="00BC0946" w:rsidRPr="00BC0946" w:rsidRDefault="00BC0946">
            <w:pPr>
              <w:shd w:val="clear" w:color="000000" w:fill="auto"/>
              <w:spacing w:before="60" w:line="180" w:lineRule="exact"/>
              <w:jc w:val="right"/>
              <w:rPr>
                <w:b/>
                <w:sz w:val="16"/>
              </w:rPr>
            </w:pPr>
            <w:r w:rsidRPr="00BC0946">
              <w:rPr>
                <w:b/>
                <w:sz w:val="16"/>
              </w:rPr>
              <w:t>2010</w:t>
            </w:r>
          </w:p>
        </w:tc>
        <w:tc>
          <w:tcPr>
            <w:tcW w:w="571" w:type="pct"/>
            <w:tcBorders>
              <w:top w:val="nil"/>
              <w:bottom w:val="single" w:sz="4" w:space="0" w:color="auto"/>
            </w:tcBorders>
            <w:noWrap/>
          </w:tcPr>
          <w:p w:rsidR="00BC0946" w:rsidRPr="00BC0946" w:rsidRDefault="00BC0946">
            <w:pPr>
              <w:shd w:val="clear" w:color="000000" w:fill="auto"/>
              <w:spacing w:before="60" w:line="180" w:lineRule="exact"/>
              <w:jc w:val="right"/>
              <w:rPr>
                <w:b/>
                <w:sz w:val="16"/>
              </w:rPr>
            </w:pPr>
            <w:r w:rsidRPr="00BC0946">
              <w:rPr>
                <w:b/>
                <w:sz w:val="16"/>
              </w:rPr>
              <w:t>2011</w:t>
            </w:r>
          </w:p>
        </w:tc>
        <w:tc>
          <w:tcPr>
            <w:tcW w:w="582" w:type="pct"/>
            <w:tcBorders>
              <w:top w:val="nil"/>
              <w:bottom w:val="single" w:sz="4" w:space="0" w:color="auto"/>
            </w:tcBorders>
            <w:noWrap/>
          </w:tcPr>
          <w:p w:rsidR="00BC0946" w:rsidRPr="00BC0946" w:rsidRDefault="00BC0946">
            <w:pPr>
              <w:shd w:val="clear" w:color="000000" w:fill="auto"/>
              <w:spacing w:before="60" w:line="180" w:lineRule="exact"/>
              <w:jc w:val="right"/>
              <w:rPr>
                <w:b/>
                <w:sz w:val="16"/>
              </w:rPr>
            </w:pPr>
            <w:r w:rsidRPr="00BC0946">
              <w:rPr>
                <w:b/>
                <w:sz w:val="16"/>
              </w:rPr>
              <w:t>2012</w:t>
            </w:r>
          </w:p>
        </w:tc>
      </w:tr>
      <w:tr w:rsidR="00000000" w:rsidRPr="00BC0946">
        <w:trPr>
          <w:trHeight w:val="20"/>
        </w:trPr>
        <w:tc>
          <w:tcPr>
            <w:tcW w:w="653" w:type="pct"/>
            <w:tcBorders>
              <w:top w:val="single" w:sz="4" w:space="0" w:color="auto"/>
            </w:tcBorders>
          </w:tcPr>
          <w:p w:rsidR="00BC0946" w:rsidRPr="00BC0946" w:rsidRDefault="00BC0946">
            <w:pPr>
              <w:shd w:val="clear" w:color="000000" w:fill="auto"/>
              <w:spacing w:before="60" w:line="180" w:lineRule="exact"/>
              <w:rPr>
                <w:b/>
                <w:sz w:val="16"/>
              </w:rPr>
            </w:pPr>
            <w:r w:rsidRPr="00BC0946">
              <w:rPr>
                <w:sz w:val="16"/>
                <w:szCs w:val="16"/>
              </w:rPr>
              <w:t>1:1</w:t>
            </w:r>
          </w:p>
        </w:tc>
        <w:tc>
          <w:tcPr>
            <w:tcW w:w="2646" w:type="pct"/>
            <w:tcBorders>
              <w:top w:val="single" w:sz="4" w:space="0" w:color="auto"/>
            </w:tcBorders>
          </w:tcPr>
          <w:p w:rsidR="00BC0946" w:rsidRPr="00BC0946" w:rsidRDefault="00BC0946">
            <w:pPr>
              <w:shd w:val="clear" w:color="000000" w:fill="auto"/>
              <w:spacing w:before="60" w:line="180" w:lineRule="exact"/>
              <w:rPr>
                <w:b/>
                <w:sz w:val="16"/>
              </w:rPr>
            </w:pPr>
            <w:r w:rsidRPr="00BC0946">
              <w:rPr>
                <w:sz w:val="16"/>
                <w:szCs w:val="16"/>
              </w:rPr>
              <w:t>Statsbidrag (utvidgad rätt modersmål)</w:t>
            </w:r>
          </w:p>
        </w:tc>
        <w:tc>
          <w:tcPr>
            <w:tcW w:w="548" w:type="pct"/>
            <w:tcBorders>
              <w:top w:val="single" w:sz="4" w:space="0" w:color="auto"/>
            </w:tcBorders>
            <w:noWrap/>
          </w:tcPr>
          <w:p w:rsidR="00BC0946" w:rsidRPr="00BC0946" w:rsidRDefault="00BC0946">
            <w:pPr>
              <w:shd w:val="clear" w:color="000000" w:fill="auto"/>
              <w:spacing w:before="60" w:line="180" w:lineRule="exact"/>
              <w:jc w:val="right"/>
              <w:rPr>
                <w:b/>
                <w:sz w:val="16"/>
              </w:rPr>
            </w:pPr>
            <w:r w:rsidRPr="00BC0946">
              <w:rPr>
                <w:sz w:val="16"/>
                <w:szCs w:val="16"/>
              </w:rPr>
              <w:t>50</w:t>
            </w:r>
          </w:p>
        </w:tc>
        <w:tc>
          <w:tcPr>
            <w:tcW w:w="571" w:type="pct"/>
            <w:tcBorders>
              <w:top w:val="single" w:sz="4" w:space="0" w:color="auto"/>
            </w:tcBorders>
            <w:noWrap/>
          </w:tcPr>
          <w:p w:rsidR="00BC0946" w:rsidRPr="00BC0946" w:rsidRDefault="00BC0946">
            <w:pPr>
              <w:shd w:val="clear" w:color="000000" w:fill="auto"/>
              <w:spacing w:before="60" w:line="180" w:lineRule="exact"/>
              <w:jc w:val="right"/>
              <w:rPr>
                <w:sz w:val="16"/>
              </w:rPr>
            </w:pPr>
            <w:r w:rsidRPr="00BC0946">
              <w:rPr>
                <w:sz w:val="16"/>
                <w:szCs w:val="16"/>
              </w:rPr>
              <w:t>100</w:t>
            </w:r>
          </w:p>
        </w:tc>
        <w:tc>
          <w:tcPr>
            <w:tcW w:w="582" w:type="pct"/>
            <w:tcBorders>
              <w:top w:val="single" w:sz="4" w:space="0" w:color="auto"/>
            </w:tcBorders>
            <w:noWrap/>
          </w:tcPr>
          <w:p w:rsidR="00BC0946" w:rsidRPr="00BC0946" w:rsidRDefault="00BC0946">
            <w:pPr>
              <w:shd w:val="clear" w:color="000000" w:fill="auto"/>
              <w:spacing w:before="60" w:line="180" w:lineRule="exact"/>
              <w:jc w:val="right"/>
              <w:rPr>
                <w:b/>
                <w:sz w:val="16"/>
              </w:rPr>
            </w:pPr>
            <w:r w:rsidRPr="00BC0946">
              <w:rPr>
                <w:sz w:val="16"/>
                <w:szCs w:val="16"/>
              </w:rPr>
              <w:t>170</w:t>
            </w:r>
          </w:p>
        </w:tc>
      </w:tr>
      <w:tr w:rsidR="00000000" w:rsidRPr="00BC0946">
        <w:trPr>
          <w:trHeight w:val="20"/>
        </w:trPr>
        <w:tc>
          <w:tcPr>
            <w:tcW w:w="653" w:type="pct"/>
          </w:tcPr>
          <w:p w:rsidR="00BC0946" w:rsidRPr="00BC0946" w:rsidRDefault="00BC0946">
            <w:pPr>
              <w:shd w:val="clear" w:color="000000" w:fill="auto"/>
              <w:spacing w:before="60" w:line="180" w:lineRule="exact"/>
              <w:rPr>
                <w:b/>
                <w:sz w:val="16"/>
              </w:rPr>
            </w:pPr>
            <w:r w:rsidRPr="00BC0946">
              <w:rPr>
                <w:sz w:val="16"/>
                <w:szCs w:val="16"/>
              </w:rPr>
              <w:t>1:1</w:t>
            </w:r>
          </w:p>
        </w:tc>
        <w:tc>
          <w:tcPr>
            <w:tcW w:w="2646" w:type="pct"/>
          </w:tcPr>
          <w:p w:rsidR="00BC0946" w:rsidRPr="00BC0946" w:rsidRDefault="00BC0946">
            <w:pPr>
              <w:shd w:val="clear" w:color="000000" w:fill="auto"/>
              <w:spacing w:before="60" w:line="180" w:lineRule="exact"/>
              <w:rPr>
                <w:b/>
                <w:sz w:val="16"/>
              </w:rPr>
            </w:pPr>
            <w:r w:rsidRPr="00BC0946">
              <w:rPr>
                <w:sz w:val="16"/>
                <w:szCs w:val="16"/>
              </w:rPr>
              <w:t>Kompensation för höjda arbetsgivaravgifter för unga</w:t>
            </w:r>
          </w:p>
        </w:tc>
        <w:tc>
          <w:tcPr>
            <w:tcW w:w="548" w:type="pct"/>
            <w:noWrap/>
            <w:vAlign w:val="bottom"/>
          </w:tcPr>
          <w:p w:rsidR="00BC0946" w:rsidRPr="00BC0946" w:rsidRDefault="00BC0946">
            <w:pPr>
              <w:shd w:val="clear" w:color="000000" w:fill="auto"/>
              <w:spacing w:before="60" w:line="180" w:lineRule="exact"/>
              <w:jc w:val="right"/>
              <w:rPr>
                <w:b/>
                <w:sz w:val="16"/>
              </w:rPr>
            </w:pPr>
            <w:r w:rsidRPr="00BC0946">
              <w:rPr>
                <w:sz w:val="16"/>
                <w:szCs w:val="16"/>
              </w:rPr>
              <w:t>1 500</w:t>
            </w:r>
          </w:p>
        </w:tc>
        <w:tc>
          <w:tcPr>
            <w:tcW w:w="571" w:type="pct"/>
            <w:noWrap/>
            <w:vAlign w:val="bottom"/>
          </w:tcPr>
          <w:p w:rsidR="00BC0946" w:rsidRPr="00BC0946" w:rsidRDefault="00BC0946">
            <w:pPr>
              <w:shd w:val="clear" w:color="000000" w:fill="auto"/>
              <w:spacing w:before="60" w:line="180" w:lineRule="exact"/>
              <w:jc w:val="right"/>
              <w:rPr>
                <w:b/>
                <w:sz w:val="16"/>
              </w:rPr>
            </w:pPr>
            <w:r w:rsidRPr="00BC0946">
              <w:rPr>
                <w:sz w:val="16"/>
                <w:szCs w:val="16"/>
              </w:rPr>
              <w:t>1 500</w:t>
            </w:r>
          </w:p>
        </w:tc>
        <w:tc>
          <w:tcPr>
            <w:tcW w:w="582" w:type="pct"/>
            <w:noWrap/>
            <w:vAlign w:val="bottom"/>
          </w:tcPr>
          <w:p w:rsidR="00BC0946" w:rsidRPr="00BC0946" w:rsidRDefault="00BC0946">
            <w:pPr>
              <w:shd w:val="clear" w:color="000000" w:fill="auto"/>
              <w:spacing w:before="60" w:line="180" w:lineRule="exact"/>
              <w:jc w:val="right"/>
              <w:rPr>
                <w:b/>
                <w:sz w:val="16"/>
              </w:rPr>
            </w:pPr>
            <w:r w:rsidRPr="00BC0946">
              <w:rPr>
                <w:sz w:val="16"/>
                <w:szCs w:val="16"/>
              </w:rPr>
              <w:t>1 500</w:t>
            </w:r>
          </w:p>
        </w:tc>
      </w:tr>
      <w:tr w:rsidR="00000000" w:rsidRPr="00BC0946">
        <w:trPr>
          <w:trHeight w:val="20"/>
        </w:trPr>
        <w:tc>
          <w:tcPr>
            <w:tcW w:w="653" w:type="pct"/>
          </w:tcPr>
          <w:p w:rsidR="00BC0946" w:rsidRPr="00BC0946" w:rsidRDefault="00BC0946">
            <w:pPr>
              <w:shd w:val="clear" w:color="000000" w:fill="auto"/>
              <w:spacing w:before="60" w:line="180" w:lineRule="exact"/>
              <w:rPr>
                <w:b/>
                <w:sz w:val="16"/>
              </w:rPr>
            </w:pPr>
            <w:r w:rsidRPr="00BC0946">
              <w:rPr>
                <w:sz w:val="16"/>
                <w:szCs w:val="16"/>
              </w:rPr>
              <w:t>1:1</w:t>
            </w:r>
          </w:p>
        </w:tc>
        <w:tc>
          <w:tcPr>
            <w:tcW w:w="2646" w:type="pct"/>
          </w:tcPr>
          <w:p w:rsidR="00BC0946" w:rsidRPr="00BC0946" w:rsidRDefault="00BC0946">
            <w:pPr>
              <w:shd w:val="clear" w:color="000000" w:fill="auto"/>
              <w:spacing w:before="60" w:line="180" w:lineRule="exact"/>
              <w:rPr>
                <w:b/>
                <w:sz w:val="16"/>
              </w:rPr>
            </w:pPr>
            <w:r w:rsidRPr="00BC0946">
              <w:rPr>
                <w:sz w:val="16"/>
                <w:szCs w:val="16"/>
              </w:rPr>
              <w:t>Avräkning statsbidrag pga höjd a-kassa 80 %</w:t>
            </w:r>
          </w:p>
        </w:tc>
        <w:tc>
          <w:tcPr>
            <w:tcW w:w="548" w:type="pct"/>
            <w:noWrap/>
          </w:tcPr>
          <w:p w:rsidR="00BC0946" w:rsidRPr="00BC0946" w:rsidRDefault="00BC0946">
            <w:pPr>
              <w:shd w:val="clear" w:color="000000" w:fill="auto"/>
              <w:spacing w:before="60" w:line="180" w:lineRule="exact"/>
              <w:jc w:val="right"/>
              <w:rPr>
                <w:b/>
                <w:sz w:val="16"/>
              </w:rPr>
            </w:pPr>
            <w:r w:rsidRPr="00BC0946">
              <w:rPr>
                <w:sz w:val="16"/>
                <w:szCs w:val="16"/>
              </w:rPr>
              <w:t>–100</w:t>
            </w:r>
          </w:p>
        </w:tc>
        <w:tc>
          <w:tcPr>
            <w:tcW w:w="571" w:type="pct"/>
            <w:noWrap/>
          </w:tcPr>
          <w:p w:rsidR="00BC0946" w:rsidRPr="00BC0946" w:rsidRDefault="00BC0946">
            <w:pPr>
              <w:shd w:val="clear" w:color="000000" w:fill="auto"/>
              <w:spacing w:before="60" w:line="180" w:lineRule="exact"/>
              <w:jc w:val="right"/>
              <w:rPr>
                <w:b/>
                <w:sz w:val="16"/>
              </w:rPr>
            </w:pPr>
            <w:r w:rsidRPr="00BC0946">
              <w:rPr>
                <w:sz w:val="16"/>
                <w:szCs w:val="16"/>
              </w:rPr>
              <w:t>–100</w:t>
            </w:r>
          </w:p>
        </w:tc>
        <w:tc>
          <w:tcPr>
            <w:tcW w:w="582" w:type="pct"/>
            <w:noWrap/>
          </w:tcPr>
          <w:p w:rsidR="00BC0946" w:rsidRPr="00BC0946" w:rsidRDefault="00BC0946">
            <w:pPr>
              <w:shd w:val="clear" w:color="000000" w:fill="auto"/>
              <w:spacing w:before="60" w:line="180" w:lineRule="exact"/>
              <w:jc w:val="right"/>
              <w:rPr>
                <w:b/>
                <w:sz w:val="16"/>
              </w:rPr>
            </w:pPr>
            <w:r w:rsidRPr="00BC0946">
              <w:rPr>
                <w:sz w:val="16"/>
                <w:szCs w:val="16"/>
              </w:rPr>
              <w:t>–100</w:t>
            </w:r>
          </w:p>
        </w:tc>
      </w:tr>
      <w:tr w:rsidR="00000000" w:rsidRPr="00BC0946">
        <w:trPr>
          <w:trHeight w:val="20"/>
        </w:trPr>
        <w:tc>
          <w:tcPr>
            <w:tcW w:w="653" w:type="pct"/>
          </w:tcPr>
          <w:p w:rsidR="00BC0946" w:rsidRPr="00BC0946" w:rsidRDefault="00BC0946">
            <w:pPr>
              <w:shd w:val="clear" w:color="000000" w:fill="auto"/>
              <w:spacing w:before="60" w:line="180" w:lineRule="exact"/>
              <w:rPr>
                <w:b/>
                <w:sz w:val="16"/>
              </w:rPr>
            </w:pPr>
            <w:r w:rsidRPr="00BC0946">
              <w:rPr>
                <w:sz w:val="16"/>
                <w:szCs w:val="16"/>
              </w:rPr>
              <w:t>1:1</w:t>
            </w:r>
          </w:p>
        </w:tc>
        <w:tc>
          <w:tcPr>
            <w:tcW w:w="2646" w:type="pct"/>
          </w:tcPr>
          <w:p w:rsidR="00BC0946" w:rsidRPr="00BC0946" w:rsidRDefault="00BC0946">
            <w:pPr>
              <w:shd w:val="clear" w:color="000000" w:fill="auto"/>
              <w:spacing w:before="60" w:line="180" w:lineRule="exact"/>
              <w:rPr>
                <w:b/>
                <w:sz w:val="16"/>
              </w:rPr>
            </w:pPr>
            <w:r w:rsidRPr="00BC0946">
              <w:rPr>
                <w:sz w:val="16"/>
                <w:szCs w:val="16"/>
              </w:rPr>
              <w:t>Avräkning statsbidrag pga höjt tak a-kassan</w:t>
            </w:r>
          </w:p>
        </w:tc>
        <w:tc>
          <w:tcPr>
            <w:tcW w:w="548" w:type="pct"/>
            <w:noWrap/>
          </w:tcPr>
          <w:p w:rsidR="00BC0946" w:rsidRPr="00BC0946" w:rsidRDefault="00BC0946">
            <w:pPr>
              <w:shd w:val="clear" w:color="000000" w:fill="auto"/>
              <w:spacing w:before="60" w:line="180" w:lineRule="exact"/>
              <w:jc w:val="right"/>
              <w:rPr>
                <w:b/>
                <w:sz w:val="16"/>
              </w:rPr>
            </w:pPr>
          </w:p>
        </w:tc>
        <w:tc>
          <w:tcPr>
            <w:tcW w:w="571" w:type="pct"/>
            <w:noWrap/>
          </w:tcPr>
          <w:p w:rsidR="00BC0946" w:rsidRPr="00BC0946" w:rsidRDefault="00BC0946">
            <w:pPr>
              <w:shd w:val="clear" w:color="000000" w:fill="auto"/>
              <w:spacing w:before="60" w:line="180" w:lineRule="exact"/>
              <w:jc w:val="right"/>
              <w:rPr>
                <w:b/>
                <w:sz w:val="16"/>
              </w:rPr>
            </w:pPr>
          </w:p>
        </w:tc>
        <w:tc>
          <w:tcPr>
            <w:tcW w:w="582" w:type="pct"/>
            <w:noWrap/>
          </w:tcPr>
          <w:p w:rsidR="00BC0946" w:rsidRPr="00BC0946" w:rsidRDefault="00BC0946">
            <w:pPr>
              <w:shd w:val="clear" w:color="000000" w:fill="auto"/>
              <w:spacing w:before="60" w:line="180" w:lineRule="exact"/>
              <w:jc w:val="right"/>
              <w:rPr>
                <w:b/>
                <w:sz w:val="16"/>
              </w:rPr>
            </w:pPr>
            <w:r w:rsidRPr="00BC0946">
              <w:rPr>
                <w:sz w:val="16"/>
                <w:szCs w:val="16"/>
              </w:rPr>
              <w:t>–1 200</w:t>
            </w:r>
          </w:p>
        </w:tc>
      </w:tr>
      <w:tr w:rsidR="00000000" w:rsidRPr="00BC0946">
        <w:trPr>
          <w:trHeight w:val="20"/>
        </w:trPr>
        <w:tc>
          <w:tcPr>
            <w:tcW w:w="653" w:type="pct"/>
          </w:tcPr>
          <w:p w:rsidR="00BC0946" w:rsidRPr="00BC0946" w:rsidRDefault="00BC0946">
            <w:pPr>
              <w:shd w:val="clear" w:color="000000" w:fill="auto"/>
              <w:spacing w:before="60" w:line="180" w:lineRule="exact"/>
              <w:rPr>
                <w:b/>
                <w:sz w:val="16"/>
              </w:rPr>
            </w:pPr>
            <w:r w:rsidRPr="00BC0946">
              <w:rPr>
                <w:sz w:val="16"/>
                <w:szCs w:val="16"/>
              </w:rPr>
              <w:t>1:1</w:t>
            </w:r>
          </w:p>
        </w:tc>
        <w:tc>
          <w:tcPr>
            <w:tcW w:w="2646" w:type="pct"/>
          </w:tcPr>
          <w:p w:rsidR="00BC0946" w:rsidRPr="00BC0946" w:rsidRDefault="00BC0946">
            <w:pPr>
              <w:shd w:val="clear" w:color="000000" w:fill="auto"/>
              <w:spacing w:before="60" w:line="180" w:lineRule="exact"/>
              <w:rPr>
                <w:b/>
                <w:sz w:val="16"/>
              </w:rPr>
            </w:pPr>
            <w:r w:rsidRPr="00BC0946">
              <w:rPr>
                <w:sz w:val="16"/>
                <w:szCs w:val="16"/>
              </w:rPr>
              <w:t>Avräkning statsbidrag pga sjukpenning</w:t>
            </w:r>
          </w:p>
        </w:tc>
        <w:tc>
          <w:tcPr>
            <w:tcW w:w="548" w:type="pct"/>
            <w:noWrap/>
          </w:tcPr>
          <w:p w:rsidR="00BC0946" w:rsidRPr="00BC0946" w:rsidRDefault="00BC0946">
            <w:pPr>
              <w:shd w:val="clear" w:color="000000" w:fill="auto"/>
              <w:spacing w:before="60" w:line="180" w:lineRule="exact"/>
              <w:jc w:val="right"/>
              <w:rPr>
                <w:b/>
                <w:sz w:val="16"/>
              </w:rPr>
            </w:pPr>
            <w:r w:rsidRPr="00BC0946">
              <w:rPr>
                <w:sz w:val="16"/>
                <w:szCs w:val="16"/>
              </w:rPr>
              <w:t>–700</w:t>
            </w:r>
          </w:p>
        </w:tc>
        <w:tc>
          <w:tcPr>
            <w:tcW w:w="571" w:type="pct"/>
            <w:noWrap/>
          </w:tcPr>
          <w:p w:rsidR="00BC0946" w:rsidRPr="00BC0946" w:rsidRDefault="00BC0946">
            <w:pPr>
              <w:shd w:val="clear" w:color="000000" w:fill="auto"/>
              <w:spacing w:before="60" w:line="180" w:lineRule="exact"/>
              <w:jc w:val="right"/>
              <w:rPr>
                <w:b/>
                <w:sz w:val="16"/>
              </w:rPr>
            </w:pPr>
            <w:r w:rsidRPr="00BC0946">
              <w:rPr>
                <w:sz w:val="16"/>
                <w:szCs w:val="16"/>
              </w:rPr>
              <w:t>–700</w:t>
            </w:r>
          </w:p>
        </w:tc>
        <w:tc>
          <w:tcPr>
            <w:tcW w:w="582" w:type="pct"/>
            <w:noWrap/>
          </w:tcPr>
          <w:p w:rsidR="00BC0946" w:rsidRPr="00BC0946" w:rsidRDefault="00BC0946">
            <w:pPr>
              <w:shd w:val="clear" w:color="000000" w:fill="auto"/>
              <w:spacing w:before="60" w:line="180" w:lineRule="exact"/>
              <w:jc w:val="right"/>
              <w:rPr>
                <w:b/>
                <w:sz w:val="16"/>
              </w:rPr>
            </w:pPr>
            <w:r w:rsidRPr="00BC0946">
              <w:rPr>
                <w:sz w:val="16"/>
                <w:szCs w:val="16"/>
              </w:rPr>
              <w:t>–700</w:t>
            </w:r>
          </w:p>
        </w:tc>
      </w:tr>
      <w:tr w:rsidR="00000000" w:rsidRPr="00BC0946">
        <w:trPr>
          <w:trHeight w:val="20"/>
        </w:trPr>
        <w:tc>
          <w:tcPr>
            <w:tcW w:w="653" w:type="pct"/>
          </w:tcPr>
          <w:p w:rsidR="00BC0946" w:rsidRPr="00BC0946" w:rsidRDefault="00BC0946">
            <w:pPr>
              <w:shd w:val="clear" w:color="000000" w:fill="auto"/>
              <w:spacing w:before="60" w:line="180" w:lineRule="exact"/>
              <w:rPr>
                <w:b/>
                <w:sz w:val="16"/>
              </w:rPr>
            </w:pPr>
            <w:r w:rsidRPr="00BC0946">
              <w:rPr>
                <w:sz w:val="16"/>
                <w:szCs w:val="16"/>
              </w:rPr>
              <w:t>1:1</w:t>
            </w:r>
          </w:p>
        </w:tc>
        <w:tc>
          <w:tcPr>
            <w:tcW w:w="2646" w:type="pct"/>
          </w:tcPr>
          <w:p w:rsidR="00BC0946" w:rsidRPr="00BC0946" w:rsidRDefault="00BC0946">
            <w:pPr>
              <w:shd w:val="clear" w:color="000000" w:fill="auto"/>
              <w:spacing w:before="60" w:line="180" w:lineRule="exact"/>
              <w:rPr>
                <w:b/>
                <w:sz w:val="16"/>
              </w:rPr>
            </w:pPr>
            <w:r w:rsidRPr="00BC0946">
              <w:rPr>
                <w:sz w:val="16"/>
                <w:szCs w:val="16"/>
              </w:rPr>
              <w:t>Kompensation för sänkt skatt för pensionärer</w:t>
            </w:r>
          </w:p>
        </w:tc>
        <w:tc>
          <w:tcPr>
            <w:tcW w:w="548" w:type="pct"/>
            <w:noWrap/>
          </w:tcPr>
          <w:p w:rsidR="00BC0946" w:rsidRPr="00BC0946" w:rsidRDefault="00BC0946">
            <w:pPr>
              <w:shd w:val="clear" w:color="000000" w:fill="auto"/>
              <w:spacing w:before="60" w:line="180" w:lineRule="exact"/>
              <w:jc w:val="right"/>
              <w:rPr>
                <w:b/>
                <w:sz w:val="16"/>
              </w:rPr>
            </w:pPr>
            <w:r w:rsidRPr="00BC0946">
              <w:rPr>
                <w:sz w:val="16"/>
                <w:szCs w:val="16"/>
              </w:rPr>
              <w:t>1 000</w:t>
            </w:r>
          </w:p>
        </w:tc>
        <w:tc>
          <w:tcPr>
            <w:tcW w:w="571" w:type="pct"/>
            <w:noWrap/>
          </w:tcPr>
          <w:p w:rsidR="00BC0946" w:rsidRPr="00BC0946" w:rsidRDefault="00BC0946">
            <w:pPr>
              <w:shd w:val="clear" w:color="000000" w:fill="auto"/>
              <w:spacing w:before="60" w:line="180" w:lineRule="exact"/>
              <w:jc w:val="right"/>
              <w:rPr>
                <w:b/>
                <w:sz w:val="16"/>
              </w:rPr>
            </w:pPr>
            <w:r w:rsidRPr="00BC0946">
              <w:rPr>
                <w:sz w:val="16"/>
                <w:szCs w:val="16"/>
              </w:rPr>
              <w:t>1 000</w:t>
            </w:r>
          </w:p>
        </w:tc>
        <w:tc>
          <w:tcPr>
            <w:tcW w:w="582" w:type="pct"/>
            <w:noWrap/>
          </w:tcPr>
          <w:p w:rsidR="00BC0946" w:rsidRPr="00BC0946" w:rsidRDefault="00BC0946">
            <w:pPr>
              <w:shd w:val="clear" w:color="000000" w:fill="auto"/>
              <w:spacing w:before="60" w:line="180" w:lineRule="exact"/>
              <w:jc w:val="right"/>
              <w:rPr>
                <w:b/>
                <w:sz w:val="16"/>
              </w:rPr>
            </w:pPr>
            <w:r w:rsidRPr="00BC0946">
              <w:rPr>
                <w:sz w:val="16"/>
                <w:szCs w:val="16"/>
              </w:rPr>
              <w:t>1 000</w:t>
            </w:r>
          </w:p>
        </w:tc>
      </w:tr>
      <w:tr w:rsidR="00000000" w:rsidRPr="00BC0946">
        <w:trPr>
          <w:trHeight w:val="20"/>
        </w:trPr>
        <w:tc>
          <w:tcPr>
            <w:tcW w:w="653" w:type="pct"/>
          </w:tcPr>
          <w:p w:rsidR="00BC0946" w:rsidRPr="00BC0946" w:rsidRDefault="00BC0946">
            <w:pPr>
              <w:shd w:val="clear" w:color="000000" w:fill="auto"/>
              <w:spacing w:before="60" w:line="180" w:lineRule="exact"/>
              <w:rPr>
                <w:sz w:val="16"/>
                <w:szCs w:val="16"/>
              </w:rPr>
            </w:pPr>
            <w:r w:rsidRPr="00BC0946">
              <w:rPr>
                <w:sz w:val="16"/>
                <w:szCs w:val="16"/>
              </w:rPr>
              <w:t>1:1</w:t>
            </w:r>
          </w:p>
        </w:tc>
        <w:tc>
          <w:tcPr>
            <w:tcW w:w="2646" w:type="pct"/>
          </w:tcPr>
          <w:p w:rsidR="00BC0946" w:rsidRPr="00BC0946" w:rsidRDefault="00BC0946">
            <w:pPr>
              <w:shd w:val="clear" w:color="000000" w:fill="auto"/>
              <w:spacing w:before="60" w:line="180" w:lineRule="exact"/>
              <w:rPr>
                <w:sz w:val="16"/>
                <w:szCs w:val="16"/>
              </w:rPr>
            </w:pPr>
            <w:r w:rsidRPr="00BC0946">
              <w:rPr>
                <w:sz w:val="16"/>
                <w:szCs w:val="16"/>
              </w:rPr>
              <w:t>Matlyft</w:t>
            </w:r>
          </w:p>
        </w:tc>
        <w:tc>
          <w:tcPr>
            <w:tcW w:w="548" w:type="pct"/>
            <w:noWrap/>
          </w:tcPr>
          <w:p w:rsidR="00BC0946" w:rsidRPr="00BC0946" w:rsidRDefault="00BC0946">
            <w:pPr>
              <w:shd w:val="clear" w:color="000000" w:fill="auto"/>
              <w:spacing w:before="60" w:line="180" w:lineRule="exact"/>
              <w:jc w:val="right"/>
              <w:rPr>
                <w:sz w:val="16"/>
                <w:szCs w:val="16"/>
              </w:rPr>
            </w:pPr>
            <w:r w:rsidRPr="00BC0946">
              <w:rPr>
                <w:sz w:val="16"/>
                <w:szCs w:val="16"/>
              </w:rPr>
              <w:t>50</w:t>
            </w:r>
          </w:p>
        </w:tc>
        <w:tc>
          <w:tcPr>
            <w:tcW w:w="571" w:type="pct"/>
            <w:noWrap/>
          </w:tcPr>
          <w:p w:rsidR="00BC0946" w:rsidRPr="00BC0946" w:rsidRDefault="00BC0946">
            <w:pPr>
              <w:shd w:val="clear" w:color="000000" w:fill="auto"/>
              <w:spacing w:before="60" w:line="180" w:lineRule="exact"/>
              <w:jc w:val="right"/>
              <w:rPr>
                <w:sz w:val="16"/>
                <w:szCs w:val="16"/>
              </w:rPr>
            </w:pPr>
            <w:r w:rsidRPr="00BC0946">
              <w:rPr>
                <w:sz w:val="16"/>
                <w:szCs w:val="16"/>
              </w:rPr>
              <w:t>50</w:t>
            </w:r>
          </w:p>
        </w:tc>
        <w:tc>
          <w:tcPr>
            <w:tcW w:w="582" w:type="pct"/>
            <w:noWrap/>
          </w:tcPr>
          <w:p w:rsidR="00BC0946" w:rsidRPr="00BC0946" w:rsidRDefault="00BC0946">
            <w:pPr>
              <w:shd w:val="clear" w:color="000000" w:fill="auto"/>
              <w:spacing w:before="60" w:line="180" w:lineRule="exact"/>
              <w:jc w:val="right"/>
              <w:rPr>
                <w:sz w:val="16"/>
                <w:szCs w:val="16"/>
              </w:rPr>
            </w:pPr>
            <w:r w:rsidRPr="00BC0946">
              <w:rPr>
                <w:sz w:val="16"/>
                <w:szCs w:val="16"/>
              </w:rPr>
              <w:t>50</w:t>
            </w:r>
          </w:p>
        </w:tc>
      </w:tr>
      <w:tr w:rsidR="00000000" w:rsidRPr="00BC0946">
        <w:trPr>
          <w:trHeight w:val="20"/>
        </w:trPr>
        <w:tc>
          <w:tcPr>
            <w:tcW w:w="653" w:type="pct"/>
          </w:tcPr>
          <w:p w:rsidR="00BC0946" w:rsidRPr="00BC0946" w:rsidRDefault="00BC0946">
            <w:pPr>
              <w:shd w:val="clear" w:color="000000" w:fill="auto"/>
              <w:spacing w:before="60" w:line="180" w:lineRule="exact"/>
              <w:rPr>
                <w:sz w:val="16"/>
                <w:szCs w:val="16"/>
              </w:rPr>
            </w:pPr>
            <w:r w:rsidRPr="00BC0946">
              <w:rPr>
                <w:sz w:val="16"/>
                <w:szCs w:val="16"/>
              </w:rPr>
              <w:t>1:1</w:t>
            </w:r>
          </w:p>
        </w:tc>
        <w:tc>
          <w:tcPr>
            <w:tcW w:w="2646" w:type="pct"/>
          </w:tcPr>
          <w:p w:rsidR="00BC0946" w:rsidRPr="00BC0946" w:rsidRDefault="00BC0946">
            <w:pPr>
              <w:shd w:val="clear" w:color="000000" w:fill="auto"/>
              <w:spacing w:before="60" w:line="180" w:lineRule="exact"/>
              <w:rPr>
                <w:sz w:val="16"/>
                <w:szCs w:val="16"/>
              </w:rPr>
            </w:pPr>
            <w:r w:rsidRPr="00BC0946">
              <w:rPr>
                <w:sz w:val="16"/>
                <w:szCs w:val="16"/>
              </w:rPr>
              <w:t>Tillfälligt konjunkturstöd del i krisbekämpningen</w:t>
            </w:r>
          </w:p>
        </w:tc>
        <w:tc>
          <w:tcPr>
            <w:tcW w:w="548" w:type="pct"/>
            <w:noWrap/>
            <w:vAlign w:val="bottom"/>
          </w:tcPr>
          <w:p w:rsidR="00BC0946" w:rsidRPr="00BC0946" w:rsidRDefault="00BC0946">
            <w:pPr>
              <w:shd w:val="clear" w:color="000000" w:fill="auto"/>
              <w:spacing w:before="60" w:line="180" w:lineRule="exact"/>
              <w:jc w:val="right"/>
              <w:rPr>
                <w:sz w:val="16"/>
                <w:szCs w:val="16"/>
              </w:rPr>
            </w:pPr>
          </w:p>
        </w:tc>
        <w:tc>
          <w:tcPr>
            <w:tcW w:w="571" w:type="pct"/>
            <w:noWrap/>
            <w:vAlign w:val="bottom"/>
          </w:tcPr>
          <w:p w:rsidR="00BC0946" w:rsidRPr="00BC0946" w:rsidRDefault="00BC0946">
            <w:pPr>
              <w:shd w:val="clear" w:color="000000" w:fill="auto"/>
              <w:spacing w:before="60" w:line="180" w:lineRule="exact"/>
              <w:jc w:val="right"/>
              <w:rPr>
                <w:sz w:val="16"/>
                <w:szCs w:val="16"/>
              </w:rPr>
            </w:pPr>
            <w:r w:rsidRPr="00BC0946">
              <w:rPr>
                <w:sz w:val="16"/>
                <w:szCs w:val="16"/>
              </w:rPr>
              <w:t>3 000</w:t>
            </w:r>
          </w:p>
        </w:tc>
        <w:tc>
          <w:tcPr>
            <w:tcW w:w="582" w:type="pct"/>
            <w:noWrap/>
            <w:vAlign w:val="bottom"/>
          </w:tcPr>
          <w:p w:rsidR="00BC0946" w:rsidRPr="00BC0946" w:rsidRDefault="00BC0946">
            <w:pPr>
              <w:shd w:val="clear" w:color="000000" w:fill="auto"/>
              <w:spacing w:before="60" w:line="180" w:lineRule="exact"/>
              <w:jc w:val="right"/>
              <w:rPr>
                <w:sz w:val="16"/>
                <w:szCs w:val="16"/>
              </w:rPr>
            </w:pPr>
            <w:r w:rsidRPr="00BC0946">
              <w:rPr>
                <w:sz w:val="16"/>
                <w:szCs w:val="16"/>
              </w:rPr>
              <w:t>2 000</w:t>
            </w:r>
          </w:p>
        </w:tc>
      </w:tr>
      <w:tr w:rsidR="00000000" w:rsidRPr="00BC0946">
        <w:trPr>
          <w:trHeight w:val="20"/>
        </w:trPr>
        <w:tc>
          <w:tcPr>
            <w:tcW w:w="653" w:type="pct"/>
          </w:tcPr>
          <w:p w:rsidR="00BC0946" w:rsidRPr="00BC0946" w:rsidRDefault="00BC0946">
            <w:pPr>
              <w:shd w:val="clear" w:color="000000" w:fill="auto"/>
              <w:spacing w:before="60" w:line="180" w:lineRule="exact"/>
              <w:rPr>
                <w:sz w:val="16"/>
                <w:szCs w:val="16"/>
              </w:rPr>
            </w:pPr>
            <w:r w:rsidRPr="00BC0946">
              <w:rPr>
                <w:sz w:val="16"/>
                <w:szCs w:val="16"/>
              </w:rPr>
              <w:t>1:1</w:t>
            </w:r>
          </w:p>
        </w:tc>
        <w:tc>
          <w:tcPr>
            <w:tcW w:w="2646" w:type="pct"/>
          </w:tcPr>
          <w:p w:rsidR="00BC0946" w:rsidRPr="00BC0946" w:rsidRDefault="00BC0946">
            <w:pPr>
              <w:shd w:val="clear" w:color="000000" w:fill="auto"/>
              <w:spacing w:before="60" w:line="180" w:lineRule="exact"/>
              <w:rPr>
                <w:sz w:val="16"/>
                <w:szCs w:val="16"/>
              </w:rPr>
            </w:pPr>
            <w:r w:rsidRPr="00BC0946">
              <w:rPr>
                <w:sz w:val="16"/>
                <w:szCs w:val="16"/>
              </w:rPr>
              <w:t>Traineeprogram i välfärden</w:t>
            </w:r>
          </w:p>
        </w:tc>
        <w:tc>
          <w:tcPr>
            <w:tcW w:w="548" w:type="pct"/>
            <w:noWrap/>
          </w:tcPr>
          <w:p w:rsidR="00BC0946" w:rsidRPr="00BC0946" w:rsidRDefault="00BC0946">
            <w:pPr>
              <w:shd w:val="clear" w:color="000000" w:fill="auto"/>
              <w:spacing w:before="60" w:line="180" w:lineRule="exact"/>
              <w:jc w:val="right"/>
              <w:rPr>
                <w:sz w:val="16"/>
                <w:szCs w:val="16"/>
              </w:rPr>
            </w:pPr>
            <w:r w:rsidRPr="00BC0946">
              <w:rPr>
                <w:sz w:val="16"/>
                <w:szCs w:val="16"/>
              </w:rPr>
              <w:t>500</w:t>
            </w:r>
          </w:p>
        </w:tc>
        <w:tc>
          <w:tcPr>
            <w:tcW w:w="571" w:type="pct"/>
            <w:noWrap/>
          </w:tcPr>
          <w:p w:rsidR="00BC0946" w:rsidRPr="00BC0946" w:rsidRDefault="00BC0946">
            <w:pPr>
              <w:shd w:val="clear" w:color="000000" w:fill="auto"/>
              <w:spacing w:before="60" w:line="180" w:lineRule="exact"/>
              <w:jc w:val="right"/>
              <w:rPr>
                <w:sz w:val="16"/>
                <w:szCs w:val="16"/>
              </w:rPr>
            </w:pPr>
            <w:r w:rsidRPr="00BC0946">
              <w:rPr>
                <w:sz w:val="16"/>
                <w:szCs w:val="16"/>
              </w:rPr>
              <w:t>500</w:t>
            </w:r>
          </w:p>
        </w:tc>
        <w:tc>
          <w:tcPr>
            <w:tcW w:w="582" w:type="pct"/>
            <w:noWrap/>
          </w:tcPr>
          <w:p w:rsidR="00BC0946" w:rsidRPr="00BC0946" w:rsidRDefault="00BC0946">
            <w:pPr>
              <w:shd w:val="clear" w:color="000000" w:fill="auto"/>
              <w:spacing w:before="60" w:line="180" w:lineRule="exact"/>
              <w:jc w:val="right"/>
              <w:rPr>
                <w:sz w:val="16"/>
                <w:szCs w:val="16"/>
              </w:rPr>
            </w:pPr>
          </w:p>
        </w:tc>
      </w:tr>
      <w:tr w:rsidR="00000000" w:rsidRPr="00BC0946">
        <w:trPr>
          <w:trHeight w:val="20"/>
        </w:trPr>
        <w:tc>
          <w:tcPr>
            <w:tcW w:w="3299" w:type="pct"/>
            <w:gridSpan w:val="2"/>
          </w:tcPr>
          <w:p w:rsidR="00BC0946" w:rsidRPr="00BC0946" w:rsidRDefault="00BC0946">
            <w:pPr>
              <w:shd w:val="clear" w:color="000000" w:fill="auto"/>
              <w:spacing w:before="60" w:line="180" w:lineRule="exact"/>
              <w:rPr>
                <w:b/>
                <w:sz w:val="16"/>
                <w:szCs w:val="16"/>
              </w:rPr>
            </w:pPr>
            <w:r w:rsidRPr="00BC0946">
              <w:rPr>
                <w:b/>
                <w:sz w:val="16"/>
                <w:szCs w:val="16"/>
              </w:rPr>
              <w:t>Summa för utgiftsområdet</w:t>
            </w:r>
          </w:p>
        </w:tc>
        <w:tc>
          <w:tcPr>
            <w:tcW w:w="548" w:type="pct"/>
            <w:noWrap/>
          </w:tcPr>
          <w:p w:rsidR="00BC0946" w:rsidRPr="00BC0946" w:rsidRDefault="00BC0946">
            <w:pPr>
              <w:shd w:val="clear" w:color="000000" w:fill="auto"/>
              <w:spacing w:before="60" w:line="180" w:lineRule="exact"/>
              <w:jc w:val="right"/>
              <w:rPr>
                <w:b/>
                <w:sz w:val="16"/>
                <w:szCs w:val="16"/>
              </w:rPr>
            </w:pPr>
            <w:r w:rsidRPr="00BC0946">
              <w:rPr>
                <w:b/>
                <w:sz w:val="16"/>
                <w:szCs w:val="16"/>
              </w:rPr>
              <w:t>2 300</w:t>
            </w:r>
          </w:p>
        </w:tc>
        <w:tc>
          <w:tcPr>
            <w:tcW w:w="571" w:type="pct"/>
            <w:noWrap/>
          </w:tcPr>
          <w:p w:rsidR="00BC0946" w:rsidRPr="00BC0946" w:rsidRDefault="00BC0946">
            <w:pPr>
              <w:shd w:val="clear" w:color="000000" w:fill="auto"/>
              <w:spacing w:before="60" w:line="180" w:lineRule="exact"/>
              <w:jc w:val="right"/>
              <w:rPr>
                <w:b/>
                <w:sz w:val="16"/>
                <w:szCs w:val="16"/>
              </w:rPr>
            </w:pPr>
            <w:r w:rsidRPr="00BC0946">
              <w:rPr>
                <w:b/>
                <w:sz w:val="16"/>
                <w:szCs w:val="16"/>
              </w:rPr>
              <w:t>5 350</w:t>
            </w:r>
          </w:p>
        </w:tc>
        <w:tc>
          <w:tcPr>
            <w:tcW w:w="582" w:type="pct"/>
            <w:noWrap/>
          </w:tcPr>
          <w:p w:rsidR="00BC0946" w:rsidRPr="00BC0946" w:rsidRDefault="00BC0946">
            <w:pPr>
              <w:shd w:val="clear" w:color="000000" w:fill="auto"/>
              <w:spacing w:before="60" w:line="180" w:lineRule="exact"/>
              <w:jc w:val="right"/>
              <w:rPr>
                <w:b/>
                <w:sz w:val="16"/>
                <w:szCs w:val="16"/>
              </w:rPr>
            </w:pPr>
            <w:r w:rsidRPr="00BC0946">
              <w:rPr>
                <w:b/>
                <w:sz w:val="16"/>
                <w:szCs w:val="16"/>
              </w:rPr>
              <w:t>2 720</w:t>
            </w:r>
          </w:p>
        </w:tc>
      </w:tr>
    </w:tbl>
    <w:p w:rsidR="00BC0946" w:rsidRPr="00BC0946" w:rsidRDefault="00BC0946">
      <w:pPr>
        <w:shd w:val="clear" w:color="000000" w:fill="auto"/>
      </w:pPr>
    </w:p>
    <w:p w:rsidR="00BC0946" w:rsidRPr="00BC0946" w:rsidRDefault="00BC0946">
      <w:pPr>
        <w:pStyle w:val="Rubrik1"/>
        <w:shd w:val="clear" w:color="000000" w:fill="auto"/>
      </w:pPr>
      <w:r w:rsidRPr="00BC0946">
        <w:t>Utgiftsområde 2 Samhällsekonomi och finansförvaltning</w:t>
      </w:r>
    </w:p>
    <w:p w:rsidR="00BC0946" w:rsidRPr="00BC0946" w:rsidRDefault="00BC0946">
      <w:pPr>
        <w:shd w:val="clear" w:color="000000" w:fill="auto"/>
      </w:pPr>
      <w:r w:rsidRPr="00BC0946">
        <w:t>Överallt i arbetslivet råder det stor brist på jämställdhet mellan könen. Diskrimineringen av kvinnor finns på alla nivåer: vid tillsättande av chef</w:t>
      </w:r>
      <w:r w:rsidRPr="00BC0946">
        <w:t>s</w:t>
      </w:r>
      <w:r w:rsidRPr="00BC0946">
        <w:t>tjänster, när det gäller lönens storlek, när det gäller anställningsformer och när det gäller hel- och deltider. Denna ordning är oacceptabel.</w:t>
      </w:r>
    </w:p>
    <w:p w:rsidR="00BC0946" w:rsidRPr="00BC0946" w:rsidRDefault="00BC0946">
      <w:pPr>
        <w:pStyle w:val="Normaltindrag"/>
        <w:shd w:val="clear" w:color="000000" w:fill="auto"/>
      </w:pPr>
      <w:r w:rsidRPr="00BC0946">
        <w:t>Lönegapet mellan kvinnor och män är stort, åtta procent, om faktorer som utbildning, arbetstider och befattningsansvar räknas bort. Mot den bakgru</w:t>
      </w:r>
      <w:r w:rsidRPr="00BC0946">
        <w:t>n</w:t>
      </w:r>
      <w:r w:rsidRPr="00BC0946">
        <w:t>den bör den könsrelaterade lönediskrimineringen avskaffas på den svenska arbetsmarknaden och då gäller det också att arbetsmarknadens parter tar sitt fulla ansvar.</w:t>
      </w:r>
    </w:p>
    <w:p w:rsidR="00BC0946" w:rsidRPr="00BC0946" w:rsidRDefault="00BC0946">
      <w:pPr>
        <w:pStyle w:val="Normaltindrag"/>
        <w:shd w:val="clear" w:color="000000" w:fill="auto"/>
      </w:pPr>
      <w:r w:rsidRPr="00BC0946">
        <w:t>Miljöpartiet är, till skillnad från regeringen, beredda att verka för att staten ska bidra med sin del för att skapa jämställda löner. Vi föreslår på utgiftso</w:t>
      </w:r>
      <w:r w:rsidRPr="00BC0946">
        <w:t>m</w:t>
      </w:r>
      <w:r w:rsidRPr="00BC0946">
        <w:t>rådet Samhällsekonomi och finansförvaltning 170 miljoner kronor 2010, 340 miljoner kronor 2011 och 500 miljoner kronor 2012 till en särskild pott för jämställda löner i statens verksamheter.</w:t>
      </w:r>
    </w:p>
    <w:p w:rsidR="00BC0946" w:rsidRPr="00BC0946" w:rsidRDefault="00BC0946">
      <w:pPr>
        <w:pStyle w:val="Normaltindrag"/>
        <w:shd w:val="clear" w:color="000000" w:fill="auto"/>
      </w:pPr>
      <w:r w:rsidRPr="00BC0946">
        <w:t>Vi lanserar ett myndighetssparprogram tillsammans med Socialdemokr</w:t>
      </w:r>
      <w:r w:rsidRPr="00BC0946">
        <w:t>a</w:t>
      </w:r>
      <w:r w:rsidRPr="00BC0946">
        <w:t>terna och Vänsterpartiet. Som en del av detta program vill vi ge Ekonom</w:t>
      </w:r>
      <w:r w:rsidRPr="00BC0946">
        <w:t>i</w:t>
      </w:r>
      <w:r w:rsidRPr="00BC0946">
        <w:t>styrningsverket (ESV) i uppdrag att ta fram förslag på hur man kan skapa incitament i den ekonomiska styrningen av myndigheterna för effektivare lokalutnyttjande i statliga myndigheter. ESV får också i uppdrag att öka den statliga inköpssamordningen med 10 procent till 2012, och tilldelas 5 miljoner kronor per år i ökade anslag för 2010 och 2011 för att förbättra informationen och marknadsföringen till övriga statliga myndigheter för a</w:t>
      </w:r>
      <w:r w:rsidRPr="00BC0946">
        <w:t>tt möjliggöra detta.</w:t>
      </w:r>
    </w:p>
    <w:p w:rsidR="00BC0946" w:rsidRPr="00BC0946" w:rsidRDefault="00BC0946">
      <w:pPr>
        <w:pStyle w:val="Rubrik1"/>
        <w:shd w:val="clear" w:color="000000" w:fill="auto"/>
      </w:pPr>
      <w:r w:rsidRPr="00BC0946">
        <w:t>Utgiftsområde 25 Allmänna bidrag tillkommunerna</w:t>
      </w:r>
    </w:p>
    <w:p w:rsidR="00BC0946" w:rsidRPr="00BC0946" w:rsidRDefault="00BC0946">
      <w:pPr>
        <w:pStyle w:val="Rubrik2"/>
        <w:shd w:val="clear" w:color="000000" w:fill="auto"/>
      </w:pPr>
      <w:bookmarkStart w:id="0" w:name="_Toc211079278"/>
      <w:bookmarkStart w:id="1" w:name="_Toc211084223"/>
      <w:bookmarkStart w:id="2" w:name="_Toc211088054"/>
      <w:bookmarkStart w:id="3" w:name="_Toc211088207"/>
      <w:r w:rsidRPr="00BC0946">
        <w:t>Konjunkturstöd till kommunerna</w:t>
      </w:r>
    </w:p>
    <w:p w:rsidR="00BC0946" w:rsidRPr="00BC0946" w:rsidRDefault="00BC0946">
      <w:pPr>
        <w:shd w:val="clear" w:color="000000" w:fill="auto"/>
      </w:pPr>
      <w:r w:rsidRPr="00BC0946">
        <w:t>Kommunsektorn har drabbats hårt av den ekonomiska krisen. Skatteintäkte</w:t>
      </w:r>
      <w:r w:rsidRPr="00BC0946">
        <w:t>r</w:t>
      </w:r>
      <w:r w:rsidRPr="00BC0946">
        <w:t>na faller samtidigt som utgifterna ökar. Bland annat som en effekt av rege</w:t>
      </w:r>
      <w:r w:rsidRPr="00BC0946">
        <w:t>r</w:t>
      </w:r>
      <w:r w:rsidRPr="00BC0946">
        <w:t>ingens försämringar av arbetslöshetsförsäkringen och sjukförsäkringen ökar kostnaderna för ekonomiskt bistånd kraftigt de kommande åren.</w:t>
      </w:r>
    </w:p>
    <w:p w:rsidR="00BC0946" w:rsidRPr="00BC0946" w:rsidRDefault="00BC0946">
      <w:pPr>
        <w:pStyle w:val="Normaltindrag"/>
        <w:shd w:val="clear" w:color="000000" w:fill="auto"/>
      </w:pPr>
      <w:r w:rsidRPr="00BC0946">
        <w:t>Väldigt länge var regeringen helt kallsinnig till att tillföra medel till ko</w:t>
      </w:r>
      <w:r w:rsidRPr="00BC0946">
        <w:t>m</w:t>
      </w:r>
      <w:r w:rsidRPr="00BC0946">
        <w:t>munsektorn och gav starka signaler om att kommunerna och landstingen själva skulle se till att minska sina kostnader. I vårpropositionen kom så ett besked om ytterligare medel, men inte på en tillräcklig nivå, för att komm</w:t>
      </w:r>
      <w:r w:rsidRPr="00BC0946">
        <w:t>u</w:t>
      </w:r>
      <w:r w:rsidRPr="00BC0946">
        <w:t>nerna skulle kunna klara att överbrygga lågkonjunkturen. I årets budgetprop</w:t>
      </w:r>
      <w:r w:rsidRPr="00BC0946">
        <w:t>o</w:t>
      </w:r>
      <w:r w:rsidRPr="00BC0946">
        <w:t>sition utlovas ytterligare tillfälliga medel för 2010, men de signaler som tid</w:t>
      </w:r>
      <w:r w:rsidRPr="00BC0946">
        <w:t>i</w:t>
      </w:r>
      <w:r w:rsidRPr="00BC0946">
        <w:t>gare givits om att kommunerna gör bäst i att spara har medfört att besparingar redan inletts. Antalet anställda i offentlig sektor ha</w:t>
      </w:r>
      <w:r w:rsidRPr="00BC0946">
        <w:t>r redan minskat med 20 000 personer mellan andra kvartalet 2008 och andra kvartalet 2009. Rege</w:t>
      </w:r>
      <w:r w:rsidRPr="00BC0946">
        <w:t>r</w:t>
      </w:r>
      <w:r w:rsidRPr="00BC0946">
        <w:t>ingen räknar själv med att sammantaget 60 000 jobb försvinner i offentlig sektor mellan 2008 och 2011</w:t>
      </w:r>
      <w:r w:rsidRPr="00BC0946">
        <w:rPr>
          <w:rStyle w:val="Fotnotsreferens"/>
        </w:rPr>
        <w:footnoteReference w:id="1"/>
      </w:r>
      <w:r w:rsidRPr="00BC0946">
        <w:t>.</w:t>
      </w:r>
    </w:p>
    <w:p w:rsidR="00BC0946" w:rsidRPr="00BC0946" w:rsidRDefault="00BC0946">
      <w:pPr>
        <w:pStyle w:val="Normaltindrag"/>
        <w:shd w:val="clear" w:color="000000" w:fill="auto"/>
      </w:pPr>
      <w:r w:rsidRPr="00BC0946">
        <w:t>Miljöpartiet menar att stora delar av de uppsägningar som nu sker i ko</w:t>
      </w:r>
      <w:r w:rsidRPr="00BC0946">
        <w:t>m</w:t>
      </w:r>
      <w:r w:rsidRPr="00BC0946">
        <w:t>muner och landsting hade kunnat förhindras med ett tidigare och tydligare besked. Det föreligger inget underliggande behov av besparingar i offentlig sektor och krisen har inte sitt ursprung i offentlig sektor. Nedskärningar där är därför inget svar på krisen utan driver endast ned konjunkturen ytterligare.</w:t>
      </w:r>
    </w:p>
    <w:p w:rsidR="00BC0946" w:rsidRPr="00BC0946" w:rsidRDefault="00BC0946">
      <w:pPr>
        <w:pStyle w:val="Normaltindrag"/>
        <w:shd w:val="clear" w:color="000000" w:fill="auto"/>
      </w:pPr>
      <w:r w:rsidRPr="00BC0946">
        <w:t>För att bekämpa den ekonomiska krisen föreslår Miljöpartiet att tre milja</w:t>
      </w:r>
      <w:r w:rsidRPr="00BC0946">
        <w:t>r</w:t>
      </w:r>
      <w:r w:rsidRPr="00BC0946">
        <w:t>der kronor ytterligare aviseras i konjunkturstöd för kommunsektorn 2011 och två miljarder kronor 2012. Från 2013 föreslår vi permanent höjda statsbidrag på två miljarder kronor.</w:t>
      </w:r>
    </w:p>
    <w:p w:rsidR="00BC0946" w:rsidRPr="00BC0946" w:rsidRDefault="00BC0946">
      <w:pPr>
        <w:pStyle w:val="Rubrik2"/>
        <w:shd w:val="clear" w:color="000000" w:fill="auto"/>
      </w:pPr>
      <w:r w:rsidRPr="00BC0946">
        <w:t>Utvidgad rätt till modersmål</w:t>
      </w:r>
      <w:bookmarkEnd w:id="0"/>
      <w:bookmarkEnd w:id="1"/>
      <w:bookmarkEnd w:id="2"/>
      <w:bookmarkEnd w:id="3"/>
    </w:p>
    <w:p w:rsidR="00BC0946" w:rsidRPr="00BC0946" w:rsidRDefault="00BC0946">
      <w:pPr>
        <w:shd w:val="clear" w:color="000000" w:fill="auto"/>
      </w:pPr>
      <w:r w:rsidRPr="00BC0946">
        <w:t>Barn har rätt till goda kunskaper såväl i svenska språket som i sitt modersmål, i de fall då det inte är svenska. Goda kunskaper i modersmålet ger dessutom bättre förutsättningar för att lära sig ett andra språk bra. Att skolan erbjuder en bra modersmålsundervisning är således både en fråga om att barn ska ha rätt till sin kultur och att skapa goda förutsättningar för att alla elever ska utveckla goda kunskaper i svenska språket, vilket är ett av skolans viktigaste ämnen.</w:t>
      </w:r>
    </w:p>
    <w:p w:rsidR="00BC0946" w:rsidRPr="00BC0946" w:rsidRDefault="00BC0946">
      <w:pPr>
        <w:pStyle w:val="Normaltindrag"/>
        <w:shd w:val="clear" w:color="000000" w:fill="auto"/>
      </w:pPr>
      <w:r w:rsidRPr="00BC0946">
        <w:t>I grundskoleförordningen finns en begränsning som säger att elever har rätt till modersmålsundervisning i som mest sju år. Det är en begränsning som Miljöpartiet vill ta bort, vilket även Skolverket rekommenderat. Fördjupade språkkunskaper anses i andra fall vara en tillgång för samhället, och har till och med föranlett reformer av antagningssystemet till högskolan. Självklart ska elever som så önskar kunna fördjupa sina kunskaper i modersmålet även efter att ha studerat det i sju år. För att finansiera de</w:t>
      </w:r>
      <w:r w:rsidRPr="00BC0946">
        <w:t>nna regelförändring för</w:t>
      </w:r>
      <w:r w:rsidRPr="00BC0946">
        <w:t>e</w:t>
      </w:r>
      <w:r w:rsidRPr="00BC0946">
        <w:t>slår vi att statsbidragen till kommunerna ökar med 50 miljoner kronor 2010, 100 miljoner kronor 2011 och 170 miljoner kronor 2012.</w:t>
      </w:r>
    </w:p>
    <w:p w:rsidR="00BC0946" w:rsidRPr="00BC0946" w:rsidRDefault="00BC0946">
      <w:pPr>
        <w:pStyle w:val="Rubrik2"/>
        <w:shd w:val="clear" w:color="000000" w:fill="auto"/>
      </w:pPr>
      <w:r w:rsidRPr="00BC0946">
        <w:t>Utökad vuxenutbildning</w:t>
      </w:r>
    </w:p>
    <w:p w:rsidR="00BC0946" w:rsidRPr="00BC0946" w:rsidRDefault="00BC0946">
      <w:pPr>
        <w:shd w:val="clear" w:color="000000" w:fill="auto"/>
      </w:pPr>
      <w:r w:rsidRPr="00BC0946">
        <w:t>Många unga som saknar arbete har inte fullständig gymnasieexamen. Under 2010 och 2011 när det kommer att vara tufft på arbetsmarknaden är det bety</w:t>
      </w:r>
      <w:r w:rsidRPr="00BC0946">
        <w:t>d</w:t>
      </w:r>
      <w:r w:rsidRPr="00BC0946">
        <w:t>ligt bättre att dessa unga passar på att läsa in en gymnasieexamen än att de går passivt arbetslösa. Arbetsförmedlingen beräknar att totalt 120 000 unga kommer ut på arbetsmarknaden mellan 2009 och 2012 utan slutbetyg från gymnasiet. Behovet av extraordinära insatser är därför stort.</w:t>
      </w:r>
    </w:p>
    <w:p w:rsidR="00BC0946" w:rsidRPr="00BC0946" w:rsidRDefault="00BC0946">
      <w:pPr>
        <w:pStyle w:val="Normaltindrag"/>
        <w:shd w:val="clear" w:color="000000" w:fill="auto"/>
      </w:pPr>
      <w:r w:rsidRPr="00BC0946">
        <w:t>Som en del av vår satsning för att minska ungdomsarbetslösheten, som vi gör tillsammans med Socialdemokraterna och Vänsterpartiet, vill vi därför sjösätta ett tillfälligt program med 10 000 platser för unga arbetslösa som vill</w:t>
      </w:r>
      <w:r w:rsidRPr="00BC0946">
        <w:t xml:space="preserve"> komplettera sin utbildning så att de får grundläggande behörighet – Un</w:t>
      </w:r>
      <w:r w:rsidRPr="00BC0946">
        <w:t>g</w:t>
      </w:r>
      <w:r w:rsidRPr="00BC0946">
        <w:t>domslyftet.  Programmet ska innebära att långtidsarbetslösa (arbetslösa mer än tre månader) mellan 20 och 24 år som vill komplettera ofullständiga grundskole- och/eller gymnasieutbildningar ska kunna göra det. Programmet bör berättiga till särskild ungdomslyftsersättning eller till aktivitetsstöd för dem som kvalificerat sig för det. Krav ska ställas på ett aktivt deltagande i utbildningen för att ersättning ska erhållas. Utbildningen s</w:t>
      </w:r>
      <w:r w:rsidRPr="00BC0946">
        <w:t>ka kunna arrangeras inom ramen för den kommunala vuxenutbildningen eller på folkhögskolor. Tiden i programmet ska vara flexibel och anpassad efter de utbildningsbehov som individen har, men maximalt kunna pågå under ett år.</w:t>
      </w:r>
    </w:p>
    <w:p w:rsidR="00BC0946" w:rsidRPr="00BC0946" w:rsidRDefault="00BC0946">
      <w:pPr>
        <w:pStyle w:val="Normaltindrag"/>
        <w:shd w:val="clear" w:color="000000" w:fill="auto"/>
      </w:pPr>
      <w:r w:rsidRPr="00BC0946">
        <w:t>Till denna satsning tillför vi 500 miljoner kronor för varje år under 2010 och 2011 samt 250 miljoner kronor 2012 till kommunerna.</w:t>
      </w:r>
    </w:p>
    <w:p w:rsidR="00BC0946" w:rsidRPr="00BC0946" w:rsidRDefault="00BC0946">
      <w:pPr>
        <w:pStyle w:val="Rubrik2"/>
        <w:shd w:val="clear" w:color="000000" w:fill="auto"/>
      </w:pPr>
      <w:r w:rsidRPr="00BC0946">
        <w:t>Matlyft</w:t>
      </w:r>
    </w:p>
    <w:p w:rsidR="00BC0946" w:rsidRPr="00BC0946" w:rsidRDefault="00BC0946">
      <w:pPr>
        <w:shd w:val="clear" w:color="000000" w:fill="auto"/>
      </w:pPr>
      <w:r w:rsidRPr="00BC0946">
        <w:t>Vi vill genomföra ett skolkökslyft som ger måltidspersonalen kunskaper och verktyg för att höja kvaliteten på skolmaten. Staten och kommunerna bör tillsammans finansiera kompetensutveckling så att de kan gå från att vara kokerskor eller ekonomibiträden till att bli kockar. Personalen ska genom programmet få möjligheter att lära sig mer om barn, mat och hälsa, ekologisk och rättvisemärkt mat, och få kunskaper kring lagstiftning och rutiner så att man minskar rädslan för att göra fel. Programmet bör även var</w:t>
      </w:r>
      <w:r w:rsidRPr="00BC0946">
        <w:t>a öppet för personal inom äldreomsorgen för en motsvarande kompetensutveckling kring maten och måltiden och dess betydelse för hälsa hos äldre människor. För detta ändamål avsätts 50 miljoner kronor årligen 2010–2012.</w:t>
      </w:r>
    </w:p>
    <w:p w:rsidR="00BC0946" w:rsidRPr="00BC0946" w:rsidRDefault="00BC0946">
      <w:pPr>
        <w:pStyle w:val="Rubrik2"/>
        <w:shd w:val="clear" w:color="000000" w:fill="auto"/>
      </w:pPr>
      <w:r w:rsidRPr="00BC0946">
        <w:t>Avräkningar och kompensationer på grund av föreslagna reformer</w:t>
      </w:r>
    </w:p>
    <w:p w:rsidR="00BC0946" w:rsidRPr="00BC0946" w:rsidRDefault="00BC0946">
      <w:pPr>
        <w:shd w:val="clear" w:color="000000" w:fill="auto"/>
      </w:pPr>
      <w:r w:rsidRPr="00BC0946">
        <w:t>En minskning av statsbidragen, på 800 miljoner kronor under 2010–2011 och 2 000 miljoner kronor 2012, görs också på grund av att kommunernas skatt</w:t>
      </w:r>
      <w:r w:rsidRPr="00BC0946">
        <w:t>e</w:t>
      </w:r>
      <w:r w:rsidRPr="00BC0946">
        <w:t>inkomster ökar till följd av förbättringar i arbetslöshetsersättningen och sju</w:t>
      </w:r>
      <w:r w:rsidRPr="00BC0946">
        <w:t>k</w:t>
      </w:r>
      <w:r w:rsidRPr="00BC0946">
        <w:t>penningen. Statsbidragen justeras samtidigt upp som kompensation för hö</w:t>
      </w:r>
      <w:r w:rsidRPr="00BC0946">
        <w:t>j</w:t>
      </w:r>
      <w:r w:rsidRPr="00BC0946">
        <w:t>ningen av arbetsgivaravgifter för unga med 1 500 miljoner kronor 2010, 2011 och 2012. Vi gör också en höjning av statsbidragen på 1 000 miljoner kronor årligen för att kompensera kommunerna för det höjda grundavdraget för pe</w:t>
      </w:r>
      <w:r w:rsidRPr="00BC0946">
        <w:t>n</w:t>
      </w:r>
      <w:r w:rsidRPr="00BC0946">
        <w:t>sionärer.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946">
        <w:trPr>
          <w:cantSplit/>
        </w:trPr>
        <w:tc>
          <w:tcPr>
            <w:tcW w:w="3046" w:type="dxa"/>
          </w:tcPr>
          <w:p w:rsidR="00BC0946" w:rsidRPr="00BC0946" w:rsidRDefault="00BC0946">
            <w:pPr>
              <w:pStyle w:val="UnderskriftDatum"/>
              <w:shd w:val="clear" w:color="000000" w:fill="auto"/>
              <w:spacing w:before="240"/>
            </w:pPr>
            <w:r w:rsidRPr="00BC0946">
              <w:t>Stockholm den 6 oktober 2009</w:t>
            </w:r>
          </w:p>
        </w:tc>
        <w:tc>
          <w:tcPr>
            <w:tcW w:w="3047" w:type="dxa"/>
          </w:tcPr>
          <w:p w:rsidR="00BC0946" w:rsidRPr="00BC0946" w:rsidRDefault="00BC0946">
            <w:pPr>
              <w:pStyle w:val="Underskrifter"/>
              <w:shd w:val="clear" w:color="000000" w:fill="auto"/>
              <w:spacing w:before="240"/>
            </w:pPr>
          </w:p>
        </w:tc>
      </w:tr>
      <w:tr w:rsidR="00000000" w:rsidRPr="00BC0946">
        <w:trPr>
          <w:cantSplit/>
        </w:trPr>
        <w:tc>
          <w:tcPr>
            <w:tcW w:w="3046" w:type="dxa"/>
          </w:tcPr>
          <w:p w:rsidR="00BC0946" w:rsidRPr="00BC0946" w:rsidRDefault="00BC0946">
            <w:pPr>
              <w:pStyle w:val="Underskrifter"/>
              <w:shd w:val="clear" w:color="000000" w:fill="auto"/>
            </w:pPr>
            <w:r w:rsidRPr="00BC0946">
              <w:t>Mikaela Valtersson (mp)</w:t>
            </w:r>
          </w:p>
        </w:tc>
        <w:tc>
          <w:tcPr>
            <w:tcW w:w="3046" w:type="dxa"/>
          </w:tcPr>
          <w:p w:rsidR="00BC0946" w:rsidRPr="00BC0946" w:rsidRDefault="00BC0946">
            <w:pPr>
              <w:pStyle w:val="Underskrifter"/>
              <w:shd w:val="clear" w:color="000000" w:fill="auto"/>
            </w:pPr>
          </w:p>
        </w:tc>
      </w:tr>
      <w:tr w:rsidR="00000000" w:rsidRPr="00BC0946">
        <w:trPr>
          <w:cantSplit/>
        </w:trPr>
        <w:tc>
          <w:tcPr>
            <w:tcW w:w="3046" w:type="dxa"/>
          </w:tcPr>
          <w:p w:rsidR="00BC0946" w:rsidRPr="00BC0946" w:rsidRDefault="00BC0946">
            <w:pPr>
              <w:pStyle w:val="Underskrifter"/>
              <w:shd w:val="clear" w:color="000000" w:fill="auto"/>
            </w:pPr>
            <w:r w:rsidRPr="00BC0946">
              <w:t>Peter Eriksson (mp)</w:t>
            </w:r>
          </w:p>
        </w:tc>
        <w:tc>
          <w:tcPr>
            <w:tcW w:w="3046" w:type="dxa"/>
          </w:tcPr>
          <w:p w:rsidR="00BC0946" w:rsidRPr="00BC0946" w:rsidRDefault="00BC0946">
            <w:pPr>
              <w:pStyle w:val="Underskrifter"/>
              <w:shd w:val="clear" w:color="000000" w:fill="auto"/>
            </w:pPr>
            <w:r w:rsidRPr="00BC0946">
              <w:t>Mats Pertoft (mp)</w:t>
            </w:r>
          </w:p>
        </w:tc>
      </w:tr>
    </w:tbl>
    <w:p w:rsidR="00BC0946" w:rsidRPr="00BC0946" w:rsidRDefault="00BC0946">
      <w:pPr>
        <w:pStyle w:val="Normaltindrag"/>
        <w:shd w:val="clear" w:color="000000" w:fill="auto"/>
      </w:pPr>
    </w:p>
    <w:sectPr w:rsidR="00000000" w:rsidRPr="00BC09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946" w:rsidRPr="00BC0946" w:rsidRDefault="00BC0946">
      <w:r w:rsidRPr="00BC0946">
        <w:separator/>
      </w:r>
    </w:p>
  </w:endnote>
  <w:endnote w:type="continuationSeparator" w:id="0">
    <w:p w:rsidR="00BC0946" w:rsidRPr="00BC0946" w:rsidRDefault="00BC0946">
      <w:r w:rsidRPr="00BC0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fot"/>
    </w:pPr>
    <w:r w:rsidRPr="00BC0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857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946" w:rsidRDefault="00BC094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fot"/>
    </w:pPr>
    <w:r w:rsidRPr="00BC0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2696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946" w:rsidRDefault="00BC094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fot"/>
    </w:pPr>
    <w:r w:rsidRPr="00BC0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5039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946" w:rsidRDefault="00BC0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946" w:rsidRPr="00BC0946" w:rsidRDefault="00BC0946">
      <w:pPr>
        <w:pStyle w:val="Sidfot"/>
      </w:pPr>
    </w:p>
  </w:footnote>
  <w:footnote w:type="continuationSeparator" w:id="0">
    <w:p w:rsidR="00BC0946" w:rsidRPr="00BC0946" w:rsidRDefault="00BC0946">
      <w:r w:rsidRPr="00BC0946">
        <w:continuationSeparator/>
      </w:r>
    </w:p>
  </w:footnote>
  <w:footnote w:id="1">
    <w:p w:rsidR="00BC0946" w:rsidRPr="00BC0946" w:rsidRDefault="00BC0946">
      <w:pPr>
        <w:pStyle w:val="Fotnotstext"/>
        <w:rPr>
          <w:sz w:val="16"/>
          <w:szCs w:val="16"/>
        </w:rPr>
      </w:pPr>
      <w:r w:rsidRPr="00BC0946">
        <w:rPr>
          <w:rStyle w:val="Fotnotsreferens"/>
          <w:sz w:val="19"/>
          <w:szCs w:val="19"/>
        </w:rPr>
        <w:footnoteRef/>
      </w:r>
      <w:r w:rsidRPr="00BC0946">
        <w:rPr>
          <w:sz w:val="19"/>
          <w:szCs w:val="19"/>
        </w:rPr>
        <w:t xml:space="preserve"> </w:t>
      </w:r>
      <w:r w:rsidRPr="00BC0946">
        <w:rPr>
          <w:sz w:val="16"/>
          <w:szCs w:val="16"/>
        </w:rPr>
        <w:t>Proposition 2009/10:1 avsnitt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huvud"/>
    </w:pPr>
    <w:r w:rsidRPr="00BC0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0930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946" w:rsidRDefault="00BC09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Sidhuvud"/>
    </w:pPr>
    <w:r w:rsidRPr="00BC0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5749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946" w:rsidRDefault="00BC09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946" w:rsidRDefault="00BC09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946" w:rsidRPr="00BC0946" w:rsidRDefault="00BC0946">
    <w:pPr>
      <w:pStyle w:val="FSHNormal"/>
      <w:tabs>
        <w:tab w:val="right" w:pos="5840"/>
      </w:tabs>
    </w:pPr>
    <w:r w:rsidRPr="00BC0946">
      <w:br/>
    </w:r>
    <w:r w:rsidRPr="00BC0946">
      <w:fldChar w:fldCharType="begin" w:fldLock="1"/>
    </w:r>
    <w:r w:rsidRPr="00BC0946">
      <w:instrText xml:space="preserve"> DOCPROPERTY</w:instrText>
    </w:r>
    <w:r w:rsidRPr="00BC0946">
      <w:rPr>
        <w:sz w:val="18"/>
      </w:rPr>
      <w:instrText xml:space="preserve"> "YearUser" *\charformat </w:instrText>
    </w:r>
    <w:r w:rsidRPr="00BC0946">
      <w:fldChar w:fldCharType="separate"/>
    </w:r>
    <w:r w:rsidRPr="00BC0946">
      <w:t>2009/10</w:t>
    </w:r>
    <w:r w:rsidRPr="00BC0946">
      <w:fldChar w:fldCharType="end"/>
    </w:r>
    <w:r w:rsidRPr="00BC0946">
      <w:t xml:space="preserve"> </w:t>
    </w:r>
    <w:r w:rsidRPr="00BC0946">
      <w:tab/>
      <w:t xml:space="preserve">mnr: </w:t>
    </w:r>
    <w:r w:rsidRPr="00BC0946">
      <w:fldChar w:fldCharType="begin" w:fldLock="1"/>
    </w:r>
    <w:r w:rsidRPr="00BC0946">
      <w:instrText xml:space="preserve"> DOCPROPERTY</w:instrText>
    </w:r>
    <w:r w:rsidRPr="00BC0946">
      <w:rPr>
        <w:sz w:val="18"/>
      </w:rPr>
      <w:instrText xml:space="preserve"> "Motionsnummer" *\charformat </w:instrText>
    </w:r>
    <w:r w:rsidRPr="00BC0946">
      <w:fldChar w:fldCharType="separate"/>
    </w:r>
    <w:r w:rsidRPr="00BC0946">
      <w:t>Fi316</w:t>
    </w:r>
    <w:r w:rsidRPr="00BC0946">
      <w:fldChar w:fldCharType="end"/>
    </w:r>
    <w:r w:rsidRPr="00BC0946">
      <w:br/>
    </w:r>
    <w:r w:rsidRPr="00BC0946">
      <w:fldChar w:fldCharType="begin" w:fldLock="1"/>
    </w:r>
    <w:r w:rsidRPr="00BC0946">
      <w:instrText xml:space="preserve"> DOCPROPERTY</w:instrText>
    </w:r>
    <w:r w:rsidRPr="00BC0946">
      <w:rPr>
        <w:sz w:val="18"/>
      </w:rPr>
      <w:instrText xml:space="preserve"> "Samling" *\charformat </w:instrText>
    </w:r>
    <w:r w:rsidRPr="00BC0946">
      <w:fldChar w:fldCharType="end"/>
    </w:r>
    <w:r w:rsidRPr="00BC0946">
      <w:tab/>
      <w:t xml:space="preserve">pnr: </w:t>
    </w:r>
    <w:r w:rsidRPr="00BC0946">
      <w:fldChar w:fldCharType="begin" w:fldLock="1"/>
    </w:r>
    <w:r w:rsidRPr="00BC0946">
      <w:instrText xml:space="preserve"> DOCPROPERTY</w:instrText>
    </w:r>
    <w:r w:rsidRPr="00BC0946">
      <w:rPr>
        <w:sz w:val="18"/>
      </w:rPr>
      <w:instrText xml:space="preserve"> "Partinummer" *\charformat </w:instrText>
    </w:r>
    <w:r w:rsidRPr="00BC0946">
      <w:fldChar w:fldCharType="separate"/>
    </w:r>
    <w:r w:rsidRPr="00BC0946">
      <w:t>mp402</w:t>
    </w:r>
    <w:r w:rsidRPr="00BC0946">
      <w:fldChar w:fldCharType="end"/>
    </w:r>
  </w:p>
  <w:p w:rsidR="00BC0946" w:rsidRPr="00BC0946" w:rsidRDefault="00BC0946">
    <w:pPr>
      <w:pStyle w:val="FSHRub1"/>
    </w:pPr>
    <w:r w:rsidRPr="00BC0946">
      <w:t>Motion till riksdagen</w:t>
    </w:r>
    <w:r w:rsidRPr="00BC0946">
      <w:br/>
    </w:r>
    <w:r w:rsidRPr="00BC0946">
      <w:fldChar w:fldCharType="begin" w:fldLock="1"/>
    </w:r>
    <w:r w:rsidRPr="00BC0946">
      <w:instrText xml:space="preserve"> DOCPROPERTY "YearUser" *\charformat </w:instrText>
    </w:r>
    <w:r w:rsidRPr="00BC0946">
      <w:fldChar w:fldCharType="separate"/>
    </w:r>
    <w:r w:rsidRPr="00BC0946">
      <w:t>2009/10</w:t>
    </w:r>
    <w:r w:rsidRPr="00BC0946">
      <w:fldChar w:fldCharType="end"/>
    </w:r>
    <w:r w:rsidRPr="00BC0946">
      <w:t>:</w:t>
    </w:r>
    <w:r w:rsidRPr="00BC0946">
      <w:fldChar w:fldCharType="begin" w:fldLock="1"/>
    </w:r>
    <w:r w:rsidRPr="00BC0946">
      <w:instrText xml:space="preserve"> DOCPROPERTY "Motionsnummer" *\charformat </w:instrText>
    </w:r>
    <w:r w:rsidRPr="00BC0946">
      <w:fldChar w:fldCharType="separate"/>
    </w:r>
    <w:r w:rsidRPr="00BC0946">
      <w:t>Fi316</w:t>
    </w:r>
    <w:r w:rsidRPr="00BC0946">
      <w:fldChar w:fldCharType="end"/>
    </w:r>
  </w:p>
  <w:p w:rsidR="00BC0946" w:rsidRPr="00BC0946" w:rsidRDefault="00BC0946">
    <w:pPr>
      <w:pStyle w:val="FSHNormalS5"/>
    </w:pPr>
    <w:r w:rsidRPr="00BC0946">
      <w:fldChar w:fldCharType="begin" w:fldLock="1"/>
    </w:r>
    <w:r w:rsidRPr="00BC0946">
      <w:instrText xml:space="preserve"> DOCPROPERTY "MotionarText" *\charformat </w:instrText>
    </w:r>
    <w:r w:rsidRPr="00BC0946">
      <w:fldChar w:fldCharType="separate"/>
    </w:r>
    <w:r w:rsidRPr="00BC0946">
      <w:t>av Mikaela Valtersson m.fl. (mp)</w:t>
    </w:r>
    <w:r w:rsidRPr="00BC0946">
      <w:fldChar w:fldCharType="end"/>
    </w:r>
    <w:r w:rsidRPr="00BC0946">
      <w:br/>
    </w:r>
    <w:r w:rsidRPr="00BC0946">
      <w:fldChar w:fldCharType="begin" w:fldLock="1"/>
    </w:r>
    <w:r w:rsidRPr="00BC0946">
      <w:instrText xml:space="preserve"> DOCPROPERTY "SvarFrasKort" *\charformat </w:instrText>
    </w:r>
    <w:r w:rsidRPr="00BC0946">
      <w:fldChar w:fldCharType="end"/>
    </w:r>
  </w:p>
  <w:p w:rsidR="00BC0946" w:rsidRPr="00BC0946" w:rsidRDefault="00BC0946">
    <w:pPr>
      <w:pStyle w:val="FSHTitel"/>
    </w:pPr>
    <w:r w:rsidRPr="00BC0946">
      <w:fldChar w:fldCharType="begin" w:fldLock="1"/>
    </w:r>
    <w:r w:rsidRPr="00BC0946">
      <w:instrText xml:space="preserve"> DOCPROPERTY</w:instrText>
    </w:r>
    <w:r w:rsidRPr="00BC0946">
      <w:rPr>
        <w:sz w:val="18"/>
      </w:rPr>
      <w:instrText xml:space="preserve"> "RubrikSvar" *\charformat </w:instrText>
    </w:r>
    <w:r w:rsidRPr="00BC0946">
      <w:fldChar w:fldCharType="separate"/>
    </w:r>
    <w:r w:rsidRPr="00BC0946">
      <w:t>Utgiftsområdena 2 Samhällsekonomi och finansförvaltning och 25 Allmänna bidrag till kommuner</w:t>
    </w:r>
    <w:r w:rsidRPr="00BC0946">
      <w:fldChar w:fldCharType="end"/>
    </w:r>
  </w:p>
  <w:p w:rsidR="00BC0946" w:rsidRPr="00BC0946" w:rsidRDefault="00BC0946">
    <w:pPr>
      <w:pStyle w:val="Normal00"/>
    </w:pPr>
  </w:p>
  <w:p w:rsidR="00BC0946" w:rsidRPr="00BC0946" w:rsidRDefault="00BC0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E1E0912"/>
    <w:multiLevelType w:val="hybridMultilevel"/>
    <w:tmpl w:val="B78CEC90"/>
    <w:lvl w:ilvl="0" w:tplc="D91460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BB8042A"/>
    <w:multiLevelType w:val="hybridMultilevel"/>
    <w:tmpl w:val="BA1EAF54"/>
    <w:lvl w:ilvl="0" w:tplc="E7B010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FB80408"/>
    <w:multiLevelType w:val="hybridMultilevel"/>
    <w:tmpl w:val="C910F5A2"/>
    <w:lvl w:ilvl="0" w:tplc="121C39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5626657"/>
    <w:multiLevelType w:val="hybridMultilevel"/>
    <w:tmpl w:val="9A44943A"/>
    <w:lvl w:ilvl="0" w:tplc="7C10F1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D2E047F"/>
    <w:multiLevelType w:val="multilevel"/>
    <w:tmpl w:val="591AC2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84F758D"/>
    <w:multiLevelType w:val="hybridMultilevel"/>
    <w:tmpl w:val="06DA4490"/>
    <w:lvl w:ilvl="0" w:tplc="6534FA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4042913">
    <w:abstractNumId w:val="8"/>
  </w:num>
  <w:num w:numId="2" w16cid:durableId="966200108">
    <w:abstractNumId w:val="9"/>
  </w:num>
  <w:num w:numId="3" w16cid:durableId="1520772705">
    <w:abstractNumId w:val="8"/>
  </w:num>
  <w:num w:numId="4" w16cid:durableId="93943366">
    <w:abstractNumId w:val="9"/>
  </w:num>
  <w:num w:numId="5" w16cid:durableId="631443710">
    <w:abstractNumId w:val="17"/>
  </w:num>
  <w:num w:numId="6" w16cid:durableId="294915933">
    <w:abstractNumId w:val="10"/>
  </w:num>
  <w:num w:numId="7" w16cid:durableId="506288197">
    <w:abstractNumId w:val="12"/>
  </w:num>
  <w:num w:numId="8" w16cid:durableId="343093190">
    <w:abstractNumId w:val="13"/>
  </w:num>
  <w:num w:numId="9" w16cid:durableId="2110807595">
    <w:abstractNumId w:val="8"/>
  </w:num>
  <w:num w:numId="10" w16cid:durableId="1872182611">
    <w:abstractNumId w:val="3"/>
  </w:num>
  <w:num w:numId="11" w16cid:durableId="1440487738">
    <w:abstractNumId w:val="2"/>
  </w:num>
  <w:num w:numId="12" w16cid:durableId="2119174293">
    <w:abstractNumId w:val="1"/>
  </w:num>
  <w:num w:numId="13" w16cid:durableId="1519999440">
    <w:abstractNumId w:val="0"/>
  </w:num>
  <w:num w:numId="14" w16cid:durableId="1405450782">
    <w:abstractNumId w:val="9"/>
  </w:num>
  <w:num w:numId="15" w16cid:durableId="746075607">
    <w:abstractNumId w:val="7"/>
  </w:num>
  <w:num w:numId="16" w16cid:durableId="830483609">
    <w:abstractNumId w:val="6"/>
  </w:num>
  <w:num w:numId="17" w16cid:durableId="765729489">
    <w:abstractNumId w:val="5"/>
  </w:num>
  <w:num w:numId="18" w16cid:durableId="170414559">
    <w:abstractNumId w:val="4"/>
  </w:num>
  <w:num w:numId="19" w16cid:durableId="479736649">
    <w:abstractNumId w:val="10"/>
  </w:num>
  <w:num w:numId="20" w16cid:durableId="659233839">
    <w:abstractNumId w:val="12"/>
  </w:num>
  <w:num w:numId="21" w16cid:durableId="10957595">
    <w:abstractNumId w:val="13"/>
  </w:num>
  <w:num w:numId="22" w16cid:durableId="1654479893">
    <w:abstractNumId w:val="19"/>
  </w:num>
  <w:num w:numId="23" w16cid:durableId="1571035147">
    <w:abstractNumId w:val="18"/>
  </w:num>
  <w:num w:numId="24" w16cid:durableId="143473542">
    <w:abstractNumId w:val="11"/>
  </w:num>
  <w:num w:numId="25" w16cid:durableId="976569538">
    <w:abstractNumId w:val="14"/>
  </w:num>
  <w:num w:numId="26" w16cid:durableId="2026666401">
    <w:abstractNumId w:val="15"/>
  </w:num>
  <w:num w:numId="27" w16cid:durableId="1858811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7C31CD86-53C7-4E1C-A073-157C1FC7DBDC},{0CDB567F-E43C-4889-9FA5-1291966678FD},{0F87DCE8-E845-4A82-8576-72C9B4F36723}"/>
  </w:docVars>
  <w:rsids>
    <w:rsidRoot w:val="00911AB3"/>
    <w:rsid w:val="00911AB3"/>
    <w:rsid w:val="00BC09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E32C4D3-2B19-4835-8880-9D0F977F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8269</Characters>
  <Application>Microsoft Office Word</Application>
  <DocSecurity>4</DocSecurity>
  <Lines>229</Lines>
  <Paragraphs>122</Paragraphs>
  <ScaleCrop>false</ScaleCrop>
  <HeadingPairs>
    <vt:vector size="2" baseType="variant">
      <vt:variant>
        <vt:lpstr>Rubrik</vt:lpstr>
      </vt:variant>
      <vt:variant>
        <vt:i4>1</vt:i4>
      </vt:variant>
    </vt:vector>
  </HeadingPairs>
  <TitlesOfParts>
    <vt:vector size="1" baseType="lpstr">
      <vt:lpstr>mp402</vt:lpstr>
    </vt:vector>
  </TitlesOfParts>
  <Company>Riksdagen</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mp402</dc:title>
  <dc:subject>mp402</dc:subject>
  <dc:creator>Riksdagen</dc:creator>
  <cp:keywords>Riksdagen</cp:keywords>
  <dc:description>Nya formatmallshantering för förslag+urix bakåtkomp+könamn, reparerade punktlistor</dc:description>
  <cp:lastModifiedBy>Lars Brink</cp:lastModifiedBy>
  <cp:revision>2</cp:revision>
  <cp:lastPrinted>2010-01-24T09:01:00Z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2 Samhällsekonomi och finansförvaltning och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 Samhällsekonomi och finansförvaltning och 25 Allmänna bidrag till kommuner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Mikaela Valtersson m.fl. (mp)</vt:lpwstr>
  </property>
  <property fmtid="{D5CDD505-2E9C-101B-9397-08002B2CF9AE}" pid="26" name="MotionarLista">
    <vt:lpwstr>Valtersson, Mikaela (mp)\Eriksson, Peter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Peter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20092010000001090112000004020075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20092010000001090112000004020075</vt:lpwstr>
  </property>
  <property fmtid="{D5CDD505-2E9C-101B-9397-08002B2CF9AE}" pid="50" name="nummer">
    <vt:lpwstr>316</vt:lpwstr>
  </property>
  <property fmtid="{D5CDD505-2E9C-101B-9397-08002B2CF9AE}" pid="51" name="utskottsbeteckning">
    <vt:lpwstr>Fi</vt:lpwstr>
  </property>
  <property fmtid="{D5CDD505-2E9C-101B-9397-08002B2CF9AE}" pid="52" name="GlobalUID">
    <vt:lpwstr>{7F1C01E4-F9DC-4222-ACC0-ECF711E617DB}</vt:lpwstr>
  </property>
  <property fmtid="{D5CDD505-2E9C-101B-9397-08002B2CF9AE}" pid="53" name="Överföringar">
    <vt:i4>0</vt:i4>
  </property>
  <property fmtid="{D5CDD505-2E9C-101B-9397-08002B2CF9AE}" pid="54" name="Checksum">
    <vt:lpwstr>*0011949270454*</vt:lpwstr>
  </property>
  <property fmtid="{D5CDD505-2E9C-101B-9397-08002B2CF9AE}" pid="55" name="skuggnummer">
    <vt:lpwstr>3672</vt:lpwstr>
  </property>
  <property fmtid="{D5CDD505-2E9C-101B-9397-08002B2CF9AE}" pid="56" name="urixVersion">
    <vt:lpwstr>4.1.0.6</vt:lpwstr>
  </property>
  <property fmtid="{D5CDD505-2E9C-101B-9397-08002B2CF9AE}" pid="57" name="urixOrigin">
    <vt:lpwstr>100124 10:01:57.474</vt:lpwstr>
  </property>
  <property fmtid="{D5CDD505-2E9C-101B-9397-08002B2CF9AE}" pid="58" name="urixGuid">
    <vt:lpwstr>{168EF005-DF30-4859-ACB4-20559EF51AC0}</vt:lpwstr>
  </property>
</Properties>
</file>