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865"/>
      </w:tblGrid>
      <w:tr w:rsidR="0078011C" w:rsidRPr="00196CC9">
        <w:tc>
          <w:tcPr>
            <w:tcW w:w="2268" w:type="dxa"/>
          </w:tcPr>
          <w:p w:rsidR="0078011C" w:rsidRPr="00196CC9" w:rsidRDefault="0078011C" w:rsidP="007242A3">
            <w:pPr>
              <w:framePr w:w="5035" w:h="1644" w:wrap="notBeside" w:vAnchor="page" w:hAnchor="page" w:x="6573" w:y="721"/>
              <w:rPr>
                <w:rFonts w:ascii="TradeGothic" w:hAnsi="TradeGothic"/>
                <w:i/>
                <w:sz w:val="18"/>
              </w:rPr>
            </w:pPr>
          </w:p>
        </w:tc>
        <w:tc>
          <w:tcPr>
            <w:tcW w:w="2999" w:type="dxa"/>
            <w:gridSpan w:val="2"/>
          </w:tcPr>
          <w:p w:rsidR="0078011C" w:rsidRPr="00F64D42" w:rsidRDefault="0078011C" w:rsidP="007242A3">
            <w:pPr>
              <w:framePr w:w="5035" w:h="1644" w:wrap="notBeside" w:vAnchor="page" w:hAnchor="page" w:x="6573" w:y="721"/>
              <w:rPr>
                <w:rFonts w:ascii="Times New Roman" w:hAnsi="Times New Roman"/>
                <w:szCs w:val="24"/>
              </w:rPr>
            </w:pPr>
            <w:r>
              <w:rPr>
                <w:rFonts w:ascii="Times New Roman" w:hAnsi="Times New Roman"/>
                <w:szCs w:val="24"/>
              </w:rPr>
              <w:t xml:space="preserve">                             </w:t>
            </w:r>
          </w:p>
        </w:tc>
      </w:tr>
      <w:tr w:rsidR="0078011C" w:rsidRPr="00196CC9">
        <w:tc>
          <w:tcPr>
            <w:tcW w:w="2268" w:type="dxa"/>
          </w:tcPr>
          <w:p w:rsidR="0078011C" w:rsidRPr="00196CC9" w:rsidRDefault="0078011C" w:rsidP="007242A3">
            <w:pPr>
              <w:framePr w:w="5035" w:h="1644" w:wrap="notBeside" w:vAnchor="page" w:hAnchor="page" w:x="6573" w:y="721"/>
              <w:rPr>
                <w:rFonts w:ascii="TradeGothic" w:hAnsi="TradeGothic"/>
                <w:b/>
                <w:sz w:val="22"/>
              </w:rPr>
            </w:pPr>
            <w:r w:rsidRPr="00196CC9">
              <w:rPr>
                <w:rFonts w:ascii="TradeGothic" w:hAnsi="TradeGothic"/>
                <w:b/>
                <w:sz w:val="22"/>
              </w:rPr>
              <w:t xml:space="preserve">Promemoria </w:t>
            </w:r>
          </w:p>
        </w:tc>
        <w:tc>
          <w:tcPr>
            <w:tcW w:w="2999" w:type="dxa"/>
            <w:gridSpan w:val="2"/>
          </w:tcPr>
          <w:p w:rsidR="0078011C" w:rsidRPr="00196CC9" w:rsidRDefault="0078011C" w:rsidP="007242A3">
            <w:pPr>
              <w:framePr w:w="5035" w:h="1644" w:wrap="notBeside" w:vAnchor="page" w:hAnchor="page" w:x="6573" w:y="721"/>
              <w:rPr>
                <w:rFonts w:ascii="TradeGothic" w:hAnsi="TradeGothic"/>
                <w:b/>
                <w:sz w:val="22"/>
              </w:rPr>
            </w:pPr>
          </w:p>
        </w:tc>
      </w:tr>
      <w:tr w:rsidR="0078011C" w:rsidRPr="00196CC9">
        <w:tc>
          <w:tcPr>
            <w:tcW w:w="3402" w:type="dxa"/>
            <w:gridSpan w:val="2"/>
          </w:tcPr>
          <w:p w:rsidR="0078011C" w:rsidRPr="00196CC9" w:rsidRDefault="0078011C" w:rsidP="007242A3">
            <w:pPr>
              <w:framePr w:w="5035" w:h="1644" w:wrap="notBeside" w:vAnchor="page" w:hAnchor="page" w:x="6573" w:y="721"/>
            </w:pPr>
          </w:p>
        </w:tc>
        <w:tc>
          <w:tcPr>
            <w:tcW w:w="1865" w:type="dxa"/>
          </w:tcPr>
          <w:p w:rsidR="0078011C" w:rsidRPr="00196CC9" w:rsidRDefault="0078011C" w:rsidP="007242A3">
            <w:pPr>
              <w:framePr w:w="5035" w:h="1644" w:wrap="notBeside" w:vAnchor="page" w:hAnchor="page" w:x="6573" w:y="721"/>
            </w:pPr>
          </w:p>
        </w:tc>
      </w:tr>
      <w:tr w:rsidR="0078011C" w:rsidRPr="00196CC9">
        <w:tc>
          <w:tcPr>
            <w:tcW w:w="2268" w:type="dxa"/>
          </w:tcPr>
          <w:p w:rsidR="0078011C" w:rsidRPr="00196CC9" w:rsidRDefault="0078011C" w:rsidP="007242A3">
            <w:pPr>
              <w:framePr w:w="5035" w:h="1644" w:wrap="notBeside" w:vAnchor="page" w:hAnchor="page" w:x="6573" w:y="721"/>
            </w:pPr>
            <w:r>
              <w:t>2013-05-30</w:t>
            </w:r>
          </w:p>
        </w:tc>
        <w:tc>
          <w:tcPr>
            <w:tcW w:w="2999" w:type="dxa"/>
            <w:gridSpan w:val="2"/>
          </w:tcPr>
          <w:p w:rsidR="0078011C" w:rsidRPr="00196CC9" w:rsidRDefault="0078011C" w:rsidP="007242A3">
            <w:pPr>
              <w:framePr w:w="5035" w:h="1644" w:wrap="notBeside" w:vAnchor="page" w:hAnchor="page" w:x="6573" w:y="721"/>
              <w:rPr>
                <w:sz w:val="20"/>
              </w:rPr>
            </w:pPr>
          </w:p>
        </w:tc>
      </w:tr>
      <w:tr w:rsidR="0078011C" w:rsidRPr="00196CC9">
        <w:tc>
          <w:tcPr>
            <w:tcW w:w="2268" w:type="dxa"/>
          </w:tcPr>
          <w:p w:rsidR="0078011C" w:rsidRPr="00196CC9" w:rsidRDefault="0078011C" w:rsidP="007242A3">
            <w:pPr>
              <w:framePr w:w="5035" w:h="1644" w:wrap="notBeside" w:vAnchor="page" w:hAnchor="page" w:x="6573" w:y="721"/>
            </w:pPr>
          </w:p>
        </w:tc>
        <w:tc>
          <w:tcPr>
            <w:tcW w:w="2999" w:type="dxa"/>
            <w:gridSpan w:val="2"/>
          </w:tcPr>
          <w:p w:rsidR="0078011C" w:rsidRPr="00196CC9" w:rsidRDefault="0078011C" w:rsidP="007242A3">
            <w:pPr>
              <w:framePr w:w="5035" w:h="1644" w:wrap="notBeside" w:vAnchor="page" w:hAnchor="page" w:x="6573" w:y="721"/>
            </w:pPr>
          </w:p>
        </w:tc>
      </w:tr>
    </w:tbl>
    <w:tbl>
      <w:tblPr>
        <w:tblW w:w="0" w:type="auto"/>
        <w:tblLayout w:type="fixed"/>
        <w:tblLook w:val="0000"/>
      </w:tblPr>
      <w:tblGrid>
        <w:gridCol w:w="4911"/>
      </w:tblGrid>
      <w:tr w:rsidR="0078011C" w:rsidRPr="00196CC9">
        <w:trPr>
          <w:trHeight w:val="284"/>
        </w:trPr>
        <w:tc>
          <w:tcPr>
            <w:tcW w:w="4911" w:type="dxa"/>
          </w:tcPr>
          <w:p w:rsidR="0078011C" w:rsidRPr="00196CC9" w:rsidRDefault="0078011C">
            <w:pPr>
              <w:pStyle w:val="Avsndare"/>
              <w:framePr w:h="2483" w:wrap="notBeside" w:x="1504"/>
              <w:rPr>
                <w:b/>
                <w:i w:val="0"/>
                <w:sz w:val="22"/>
              </w:rPr>
            </w:pPr>
            <w:r>
              <w:rPr>
                <w:b/>
                <w:i w:val="0"/>
                <w:sz w:val="22"/>
              </w:rPr>
              <w:t>Näringsdepartementet</w:t>
            </w:r>
          </w:p>
        </w:tc>
      </w:tr>
      <w:tr w:rsidR="0078011C" w:rsidRPr="00196CC9">
        <w:trPr>
          <w:trHeight w:val="284"/>
        </w:trPr>
        <w:tc>
          <w:tcPr>
            <w:tcW w:w="4911" w:type="dxa"/>
          </w:tcPr>
          <w:p w:rsidR="0078011C" w:rsidRPr="00196CC9" w:rsidRDefault="0078011C">
            <w:pPr>
              <w:pStyle w:val="Avsndare"/>
              <w:framePr w:h="2483" w:wrap="notBeside" w:x="1504"/>
              <w:rPr>
                <w:bCs/>
                <w:iCs/>
              </w:rPr>
            </w:pPr>
          </w:p>
        </w:tc>
      </w:tr>
      <w:tr w:rsidR="0078011C" w:rsidRPr="00196CC9">
        <w:trPr>
          <w:trHeight w:val="284"/>
        </w:trPr>
        <w:tc>
          <w:tcPr>
            <w:tcW w:w="4911" w:type="dxa"/>
          </w:tcPr>
          <w:p w:rsidR="0078011C" w:rsidRPr="00196CC9" w:rsidRDefault="0078011C">
            <w:pPr>
              <w:pStyle w:val="Avsndare"/>
              <w:framePr w:h="2483" w:wrap="notBeside" w:x="1504"/>
              <w:rPr>
                <w:bCs/>
                <w:iCs/>
              </w:rPr>
            </w:pPr>
            <w:r>
              <w:rPr>
                <w:bCs/>
                <w:iCs/>
              </w:rPr>
              <w:t>Internationella sekretariatet</w:t>
            </w:r>
          </w:p>
        </w:tc>
      </w:tr>
    </w:tbl>
    <w:p w:rsidR="0078011C" w:rsidRPr="00F068FF" w:rsidRDefault="0078011C">
      <w:pPr>
        <w:framePr w:w="4400" w:h="2523" w:wrap="notBeside" w:vAnchor="page" w:hAnchor="page" w:x="6453" w:y="2445"/>
        <w:ind w:left="142"/>
        <w:rPr>
          <w:b/>
        </w:rPr>
      </w:pPr>
      <w:r w:rsidRPr="00F068FF">
        <w:rPr>
          <w:b/>
        </w:rPr>
        <w:t>Kommenterad dagordning</w:t>
      </w:r>
    </w:p>
    <w:p w:rsidR="0078011C" w:rsidRPr="00196CC9" w:rsidRDefault="0078011C">
      <w:pPr>
        <w:pStyle w:val="RKrubrik"/>
        <w:spacing w:before="0" w:after="0"/>
      </w:pPr>
    </w:p>
    <w:p w:rsidR="0078011C" w:rsidRDefault="0078011C">
      <w:pPr>
        <w:pStyle w:val="RKnormal"/>
        <w:rPr>
          <w:b/>
        </w:rPr>
      </w:pPr>
    </w:p>
    <w:p w:rsidR="0078011C" w:rsidRDefault="0078011C">
      <w:pPr>
        <w:pStyle w:val="RKnormal"/>
        <w:rPr>
          <w:b/>
          <w:u w:val="single"/>
        </w:rPr>
      </w:pPr>
      <w:r w:rsidRPr="00E35BC8">
        <w:rPr>
          <w:b/>
          <w:u w:val="single"/>
        </w:rPr>
        <w:t>TTE-rådet (transport) 10 juni 2013</w:t>
      </w:r>
    </w:p>
    <w:p w:rsidR="0078011C" w:rsidRDefault="0078011C">
      <w:pPr>
        <w:pStyle w:val="RKnormal"/>
        <w:rPr>
          <w:b/>
        </w:rPr>
      </w:pPr>
    </w:p>
    <w:p w:rsidR="0078011C" w:rsidRPr="00E35BC8" w:rsidRDefault="0078011C">
      <w:pPr>
        <w:pStyle w:val="RKnormal"/>
        <w:rPr>
          <w:b/>
          <w:u w:val="single"/>
        </w:rPr>
      </w:pPr>
      <w:r w:rsidRPr="00E35BC8">
        <w:rPr>
          <w:b/>
          <w:u w:val="single"/>
        </w:rPr>
        <w:t>Lagstiftningsöverläggningar</w:t>
      </w:r>
    </w:p>
    <w:p w:rsidR="0078011C" w:rsidRPr="00E35BC8" w:rsidRDefault="0078011C">
      <w:pPr>
        <w:pStyle w:val="RKnormal"/>
        <w:rPr>
          <w:b/>
        </w:rPr>
      </w:pPr>
      <w:r>
        <w:rPr>
          <w:b/>
        </w:rPr>
        <w:t>(Offentlig överläggning i enlighet med artikel 16.8 i fördraget om Europeiska unionen)</w:t>
      </w:r>
    </w:p>
    <w:p w:rsidR="0078011C" w:rsidRPr="00E35BC8" w:rsidRDefault="0078011C">
      <w:pPr>
        <w:pStyle w:val="RKnormal"/>
        <w:rPr>
          <w:b/>
        </w:rPr>
      </w:pPr>
    </w:p>
    <w:p w:rsidR="0078011C" w:rsidRDefault="0078011C" w:rsidP="00196CC9">
      <w:pPr>
        <w:pStyle w:val="RKnormal"/>
        <w:rPr>
          <w:b/>
        </w:rPr>
      </w:pPr>
      <w:r w:rsidRPr="00E35BC8">
        <w:rPr>
          <w:b/>
        </w:rPr>
        <w:t>13. Förslag till Europaparlamentets och rådets förordning om inrättande av Fonden för ett sammanlänkat Europa (första behandlingen)</w:t>
      </w:r>
    </w:p>
    <w:p w:rsidR="0078011C" w:rsidRPr="00E35BC8" w:rsidRDefault="0078011C" w:rsidP="00196CC9">
      <w:pPr>
        <w:pStyle w:val="RKnormal"/>
        <w:rPr>
          <w:b/>
        </w:rPr>
      </w:pPr>
    </w:p>
    <w:p w:rsidR="0078011C" w:rsidRDefault="0078011C" w:rsidP="00196CC9">
      <w:pPr>
        <w:pStyle w:val="RKnormal"/>
      </w:pPr>
      <w:r>
        <w:t>Interinstitutionellt ärende: 2011/0302 (COD)</w:t>
      </w:r>
    </w:p>
    <w:p w:rsidR="0078011C" w:rsidRPr="00E35BC8" w:rsidRDefault="0078011C" w:rsidP="00196CC9">
      <w:pPr>
        <w:pStyle w:val="RKnormal"/>
        <w:rPr>
          <w:i/>
        </w:rPr>
      </w:pPr>
      <w:r w:rsidRPr="00E35BC8">
        <w:rPr>
          <w:i/>
        </w:rPr>
        <w:t>- Lägesrapport (informationspunkt)</w:t>
      </w:r>
    </w:p>
    <w:p w:rsidR="0078011C" w:rsidRDefault="0078011C" w:rsidP="00196CC9">
      <w:pPr>
        <w:pStyle w:val="RKnormal"/>
      </w:pPr>
    </w:p>
    <w:p w:rsidR="0078011C" w:rsidRPr="00051EF5" w:rsidRDefault="0078011C" w:rsidP="00196CC9">
      <w:pPr>
        <w:pStyle w:val="RKnormal"/>
        <w:rPr>
          <w:lang w:val="es-ES"/>
        </w:rPr>
      </w:pPr>
      <w:r w:rsidRPr="00051EF5">
        <w:rPr>
          <w:lang w:val="es-ES"/>
        </w:rPr>
        <w:t xml:space="preserve">16176/11 CADREFIN 117 POLGEN 177 REGIO 111 ENER 345 TRANS 292 TELECOM 161 COMPET </w:t>
      </w:r>
      <w:smartTag w:uri="urn:schemas-microsoft-com:office:smarttags" w:element="metricconverter">
        <w:smartTagPr>
          <w:attr w:name="ProductID" w:val="472 MI"/>
        </w:smartTagPr>
        <w:r w:rsidRPr="00051EF5">
          <w:rPr>
            <w:lang w:val="es-ES"/>
          </w:rPr>
          <w:t>472 MI</w:t>
        </w:r>
      </w:smartTag>
      <w:r w:rsidRPr="00051EF5">
        <w:rPr>
          <w:lang w:val="es-ES"/>
        </w:rPr>
        <w:t xml:space="preserve"> 533 ECO 129</w:t>
      </w:r>
    </w:p>
    <w:p w:rsidR="0078011C" w:rsidRPr="00051EF5" w:rsidRDefault="0078011C" w:rsidP="00196CC9">
      <w:pPr>
        <w:pStyle w:val="RKnormal"/>
        <w:rPr>
          <w:lang w:val="es-ES"/>
        </w:rPr>
      </w:pPr>
      <w:r w:rsidRPr="00051EF5">
        <w:rPr>
          <w:lang w:val="es-ES"/>
        </w:rPr>
        <w:t>+ REV 3 (bg,el,es,et,hu,it,lt,pl,pt,ro,sk,sl,sv)</w:t>
      </w:r>
    </w:p>
    <w:p w:rsidR="0078011C" w:rsidRDefault="0078011C" w:rsidP="00196CC9">
      <w:pPr>
        <w:pStyle w:val="RKnormal"/>
      </w:pPr>
      <w:r>
        <w:t>+ REV 4 (cs,da,de,en,fi,fr,ga,lv,mt)</w:t>
      </w:r>
    </w:p>
    <w:p w:rsidR="0078011C" w:rsidRDefault="0078011C" w:rsidP="00196CC9">
      <w:pPr>
        <w:pStyle w:val="RKnormal"/>
      </w:pPr>
      <w:r>
        <w:t>+ REV 5 (nl)</w:t>
      </w:r>
    </w:p>
    <w:p w:rsidR="0078011C" w:rsidRDefault="0078011C" w:rsidP="00196CC9">
      <w:pPr>
        <w:pStyle w:val="RKnormal"/>
      </w:pPr>
    </w:p>
    <w:p w:rsidR="0078011C" w:rsidRDefault="0078011C" w:rsidP="00196CC9">
      <w:pPr>
        <w:pStyle w:val="RKnormal"/>
      </w:pPr>
      <w:r>
        <w:t>KOM (2011) 665</w:t>
      </w:r>
    </w:p>
    <w:p w:rsidR="0078011C" w:rsidRDefault="0078011C" w:rsidP="00196CC9">
      <w:pPr>
        <w:pStyle w:val="RKnormal"/>
      </w:pPr>
    </w:p>
    <w:p w:rsidR="0078011C" w:rsidRDefault="0078011C" w:rsidP="00196CC9">
      <w:pPr>
        <w:pStyle w:val="RKnormal"/>
      </w:pPr>
      <w:r>
        <w:t xml:space="preserve">Utkast till framstegsrapport föreligger ännu ej. </w:t>
      </w:r>
    </w:p>
    <w:p w:rsidR="0078011C" w:rsidRDefault="0078011C" w:rsidP="00196CC9">
      <w:pPr>
        <w:pStyle w:val="RKnormal"/>
      </w:pPr>
    </w:p>
    <w:p w:rsidR="0078011C" w:rsidRDefault="0078011C" w:rsidP="00196CC9">
      <w:pPr>
        <w:pStyle w:val="RKnormal"/>
      </w:pPr>
      <w:r>
        <w:t>Förslaget att inrätta Fonden behandlades i EU-nämnden den 1 juni 2012 inför antagande av en partiell allmän inriktning vid TTE i juni 2012, liksom den 14 december 2012 inför en lägesrapport vid TTE i december 2012. (Fonden ingår även i paketet av förslag inom ramen för EU:s fleråriga budget som kontinuerligt behandlats av EU- nämnden.)</w:t>
      </w:r>
    </w:p>
    <w:p w:rsidR="0078011C" w:rsidRDefault="0078011C" w:rsidP="00196CC9">
      <w:pPr>
        <w:pStyle w:val="RKnormal"/>
      </w:pPr>
    </w:p>
    <w:p w:rsidR="0078011C" w:rsidRDefault="0078011C" w:rsidP="00196CC9">
      <w:pPr>
        <w:pStyle w:val="RKnormal"/>
        <w:rPr>
          <w:b/>
        </w:rPr>
      </w:pPr>
    </w:p>
    <w:p w:rsidR="0078011C" w:rsidRDefault="0078011C" w:rsidP="00196CC9">
      <w:pPr>
        <w:pStyle w:val="RKnormal"/>
        <w:rPr>
          <w:b/>
        </w:rPr>
      </w:pPr>
    </w:p>
    <w:p w:rsidR="0078011C" w:rsidRDefault="0078011C" w:rsidP="00196CC9">
      <w:pPr>
        <w:pStyle w:val="RKnormal"/>
        <w:rPr>
          <w:b/>
        </w:rPr>
      </w:pPr>
    </w:p>
    <w:p w:rsidR="0078011C" w:rsidRDefault="0078011C" w:rsidP="00196CC9">
      <w:pPr>
        <w:pStyle w:val="RKnormal"/>
        <w:rPr>
          <w:b/>
        </w:rPr>
      </w:pPr>
    </w:p>
    <w:p w:rsidR="0078011C" w:rsidRPr="00E35BC8" w:rsidRDefault="0078011C" w:rsidP="00196CC9">
      <w:pPr>
        <w:pStyle w:val="RKnormal"/>
        <w:rPr>
          <w:b/>
        </w:rPr>
      </w:pPr>
      <w:r w:rsidRPr="00E35BC8">
        <w:rPr>
          <w:b/>
        </w:rPr>
        <w:t>Bakgrund</w:t>
      </w:r>
    </w:p>
    <w:p w:rsidR="0078011C" w:rsidRDefault="0078011C" w:rsidP="00196CC9">
      <w:pPr>
        <w:pStyle w:val="RKnormal"/>
      </w:pPr>
      <w:r>
        <w:t>Kommissionen presenterade sitt förslag att inrätta Fonden för ett Sammanlänkat Europa (det gemensamma instrumentet för investeringar i transport- energi och digital infrastruktur under kommande fleråriga budgetram för EU) i oktober 2011. I juni 2012 nådde rådet överenskommelse om en partiell allmän inriktning för större delar av förslaget. Under hösten 2012 fortsatte förhandlingar i rådet rörande främst användningen av finansiella instrument och delegering av befogenheter till kommissionen inom detta område. Under våren 2013 har förhandlingar fortskridit i rådet, parallellt med trepartssamtal med Europaparlamentet. Det irländska ordförandeskapet har för avsikt att presentera en framstegsrapport som kommer att ligga till grund för fortsatt arbete med frågan.</w:t>
      </w:r>
    </w:p>
    <w:p w:rsidR="0078011C" w:rsidRDefault="0078011C" w:rsidP="00196CC9">
      <w:pPr>
        <w:pStyle w:val="RKnormal"/>
      </w:pPr>
    </w:p>
    <w:p w:rsidR="0078011C" w:rsidRPr="00E35BC8" w:rsidRDefault="0078011C" w:rsidP="00196CC9">
      <w:pPr>
        <w:pStyle w:val="RKnormal"/>
        <w:rPr>
          <w:b/>
        </w:rPr>
      </w:pPr>
      <w:r w:rsidRPr="00E35BC8">
        <w:rPr>
          <w:b/>
        </w:rPr>
        <w:t>Förslag till svensk ståndpunkt</w:t>
      </w:r>
    </w:p>
    <w:p w:rsidR="0078011C" w:rsidRDefault="0078011C" w:rsidP="00196CC9">
      <w:pPr>
        <w:pStyle w:val="RKnormal"/>
      </w:pPr>
      <w:r>
        <w:t>Regeringen föreslår att Sverige noterar rapporten.</w:t>
      </w:r>
    </w:p>
    <w:p w:rsidR="0078011C" w:rsidRDefault="0078011C" w:rsidP="00196CC9">
      <w:pPr>
        <w:pStyle w:val="RKnormal"/>
      </w:pPr>
    </w:p>
    <w:p w:rsidR="0078011C" w:rsidRPr="009C1ED2" w:rsidRDefault="0078011C" w:rsidP="009C1ED2">
      <w:pPr>
        <w:pStyle w:val="RKnormal"/>
        <w:rPr>
          <w:b/>
        </w:rPr>
      </w:pPr>
    </w:p>
    <w:p w:rsidR="0078011C" w:rsidRPr="009C1ED2" w:rsidRDefault="0078011C" w:rsidP="009C1ED2">
      <w:pPr>
        <w:pStyle w:val="RKnormal"/>
        <w:rPr>
          <w:b/>
        </w:rPr>
      </w:pPr>
      <w:r>
        <w:rPr>
          <w:b/>
        </w:rPr>
        <w:t>14</w:t>
      </w:r>
      <w:r w:rsidRPr="009C1ED2">
        <w:rPr>
          <w:b/>
        </w:rPr>
        <w:t>.</w:t>
      </w:r>
      <w:r w:rsidRPr="009C1ED2">
        <w:rPr>
          <w:b/>
        </w:rPr>
        <w:tab/>
        <w:t xml:space="preserve">Förslag till Europarlamentets och rådets direktiv om driftskompatibiliteten hos järnvägssystemet inom </w:t>
      </w:r>
      <w:r w:rsidRPr="009C1ED2">
        <w:rPr>
          <w:b/>
        </w:rPr>
        <w:br/>
        <w:t xml:space="preserve">Europeiska unionen (omarbetning). </w:t>
      </w:r>
    </w:p>
    <w:p w:rsidR="0078011C" w:rsidRPr="009C1ED2" w:rsidRDefault="0078011C" w:rsidP="009C1ED2">
      <w:pPr>
        <w:pStyle w:val="RKnormal"/>
        <w:rPr>
          <w:b/>
          <w:i/>
        </w:rPr>
      </w:pPr>
      <w:r w:rsidRPr="009C1ED2">
        <w:rPr>
          <w:b/>
          <w:bCs/>
          <w:i/>
        </w:rPr>
        <w:tab/>
      </w:r>
      <w:r w:rsidRPr="009C1ED2">
        <w:rPr>
          <w:b/>
          <w:bCs/>
          <w:i/>
          <w:szCs w:val="24"/>
        </w:rPr>
        <w:sym w:font="Symbol" w:char="F02D"/>
      </w:r>
      <w:r w:rsidRPr="009C1ED2">
        <w:rPr>
          <w:b/>
          <w:bCs/>
          <w:i/>
        </w:rPr>
        <w:t xml:space="preserve"> </w:t>
      </w:r>
      <w:r w:rsidRPr="009C1ED2">
        <w:rPr>
          <w:b/>
          <w:i/>
        </w:rPr>
        <w:t>beslut om allmän inriktning (alternativt lägesrapport)</w:t>
      </w:r>
    </w:p>
    <w:p w:rsidR="0078011C" w:rsidRPr="009C1ED2" w:rsidRDefault="0078011C" w:rsidP="009C1ED2">
      <w:pPr>
        <w:pStyle w:val="RKnormal"/>
        <w:rPr>
          <w:b/>
          <w:i/>
        </w:rPr>
      </w:pPr>
    </w:p>
    <w:p w:rsidR="0078011C" w:rsidRPr="009C1ED2" w:rsidRDefault="0078011C" w:rsidP="009C1ED2">
      <w:pPr>
        <w:pStyle w:val="RKnormal"/>
        <w:rPr>
          <w:b/>
        </w:rPr>
      </w:pPr>
      <w:r w:rsidRPr="009C1ED2">
        <w:rPr>
          <w:b/>
        </w:rPr>
        <w:t xml:space="preserve">           Dokument: </w:t>
      </w:r>
    </w:p>
    <w:p w:rsidR="0078011C" w:rsidRPr="009C1ED2" w:rsidRDefault="0078011C" w:rsidP="009C1ED2">
      <w:pPr>
        <w:pStyle w:val="RKnormal"/>
        <w:numPr>
          <w:ilvl w:val="0"/>
          <w:numId w:val="1"/>
        </w:numPr>
      </w:pPr>
      <w:r>
        <w:rPr>
          <w:lang w:val="en-GB"/>
        </w:rPr>
        <w:t xml:space="preserve">6013/13 TRANS 39 CODEC 226 </w:t>
      </w:r>
    </w:p>
    <w:p w:rsidR="0078011C" w:rsidRDefault="0078011C" w:rsidP="009C1ED2">
      <w:pPr>
        <w:pStyle w:val="RKnormal"/>
      </w:pPr>
    </w:p>
    <w:p w:rsidR="0078011C" w:rsidRDefault="0078011C" w:rsidP="009C1ED2">
      <w:pPr>
        <w:pStyle w:val="RKnormal"/>
      </w:pPr>
      <w:r>
        <w:t>Utkast till rådsdokument föreligger ännu ej.</w:t>
      </w:r>
    </w:p>
    <w:p w:rsidR="0078011C" w:rsidRPr="009C1ED2" w:rsidRDefault="0078011C" w:rsidP="009C1ED2">
      <w:pPr>
        <w:pStyle w:val="RKnormal"/>
      </w:pPr>
    </w:p>
    <w:p w:rsidR="0078011C" w:rsidRPr="009C1ED2" w:rsidRDefault="0078011C" w:rsidP="009C1ED2">
      <w:pPr>
        <w:pStyle w:val="RKnormal"/>
        <w:rPr>
          <w:b/>
        </w:rPr>
      </w:pPr>
      <w:r w:rsidRPr="009C1ED2">
        <w:t xml:space="preserve">           </w:t>
      </w:r>
      <w:r w:rsidRPr="009C1ED2">
        <w:rPr>
          <w:b/>
        </w:rPr>
        <w:t>Tidigare behandling i EU-nämnden</w:t>
      </w:r>
    </w:p>
    <w:p w:rsidR="0078011C" w:rsidRPr="009C1ED2" w:rsidRDefault="0078011C" w:rsidP="009C1ED2">
      <w:pPr>
        <w:pStyle w:val="RKnormal"/>
      </w:pPr>
      <w:r w:rsidRPr="009C1ED2">
        <w:rPr>
          <w:b/>
        </w:rPr>
        <w:tab/>
      </w:r>
      <w:r w:rsidRPr="009C1ED2">
        <w:t>Ärendet har delvis behandlats i EU-nämnden den 8 mars 2013</w:t>
      </w:r>
    </w:p>
    <w:p w:rsidR="0078011C" w:rsidRPr="009C1ED2" w:rsidRDefault="0078011C" w:rsidP="009C1ED2">
      <w:pPr>
        <w:pStyle w:val="RKnormal"/>
        <w:rPr>
          <w:b/>
        </w:rPr>
      </w:pPr>
      <w:r w:rsidRPr="009C1ED2">
        <w:rPr>
          <w:b/>
        </w:rPr>
        <w:t xml:space="preserve">            </w:t>
      </w:r>
    </w:p>
    <w:p w:rsidR="0078011C" w:rsidRPr="009C1ED2" w:rsidRDefault="0078011C" w:rsidP="009C1ED2">
      <w:pPr>
        <w:pStyle w:val="RKnormal"/>
        <w:rPr>
          <w:b/>
        </w:rPr>
      </w:pPr>
      <w:r w:rsidRPr="009C1ED2">
        <w:rPr>
          <w:b/>
        </w:rPr>
        <w:t>Bakgrund</w:t>
      </w:r>
    </w:p>
    <w:p w:rsidR="0078011C" w:rsidRPr="009C1ED2" w:rsidRDefault="0078011C" w:rsidP="009C1ED2">
      <w:pPr>
        <w:pStyle w:val="RKnormal"/>
      </w:pPr>
      <w:r w:rsidRPr="009C1ED2">
        <w:t xml:space="preserve">Förslaget till direktiv ingår i det fjärde järnvägspaketet, som inalles består av sex förslag tillrättsakter, och som offentliggjordes den 30 januari 2013. Förslaget har behandlats i rådets arbetsgrupp för landtransporter vid drygt ett dussin tillfällen och senast idag den 27/5. Förslaget bygger väsentligen på en kompromiss avseende utformningen av bestämmelserna om godkännande av fordon och andra s.k. delsystem, som ordförandeskapet presenterade i början av april. Först vid arbetsgruppens möte den 23/4 stod det klart att kompromissen stöddes av flertalet medlemsstater. Tiden därefter har ägnats åt att förfina kompromissen, utforma för kompromissen nödvändiga anpassningar av förslagets övriga delar samt att vidta en del övriga, från kompromissen tekniskt sett fristående, delar. Tempot i arbetsgruppen har sedan den 23 april varit högt uppskruvat. Trots det fanns det (före rådsarbetsgruppens möte den 27/5) ännu några utestående frågor samt även frågor som knappt hunnit diskuteras. COREPER ska behandla förslaget den 31 maj. </w:t>
      </w:r>
    </w:p>
    <w:p w:rsidR="0078011C" w:rsidRPr="009C1ED2" w:rsidRDefault="0078011C" w:rsidP="009C1ED2">
      <w:pPr>
        <w:pStyle w:val="RKnormal"/>
      </w:pPr>
    </w:p>
    <w:p w:rsidR="0078011C" w:rsidRPr="009C1ED2" w:rsidRDefault="0078011C" w:rsidP="009C1ED2">
      <w:pPr>
        <w:pStyle w:val="RKnormal"/>
      </w:pPr>
      <w:r w:rsidRPr="009C1ED2">
        <w:t xml:space="preserve">(Se särskild råds-PM om förslagets innehåll samt hur det skiljer sig från kommissionens ursprungliga förslag.) </w:t>
      </w:r>
    </w:p>
    <w:p w:rsidR="0078011C" w:rsidRPr="009C1ED2" w:rsidRDefault="0078011C" w:rsidP="009C1ED2">
      <w:pPr>
        <w:pStyle w:val="RKnormal"/>
        <w:rPr>
          <w:b/>
        </w:rPr>
      </w:pPr>
      <w:r w:rsidRPr="009C1ED2">
        <w:rPr>
          <w:b/>
        </w:rPr>
        <w:tab/>
      </w:r>
    </w:p>
    <w:p w:rsidR="0078011C" w:rsidRPr="009C1ED2" w:rsidRDefault="0078011C" w:rsidP="009C1ED2">
      <w:pPr>
        <w:pStyle w:val="RKnormal"/>
        <w:rPr>
          <w:b/>
        </w:rPr>
      </w:pPr>
      <w:r w:rsidRPr="009C1ED2">
        <w:rPr>
          <w:b/>
        </w:rPr>
        <w:t>Förslag till svensk ståndpunkt</w:t>
      </w:r>
    </w:p>
    <w:p w:rsidR="0078011C" w:rsidRPr="009C1ED2" w:rsidRDefault="0078011C" w:rsidP="009C1ED2">
      <w:pPr>
        <w:pStyle w:val="RKnormal"/>
      </w:pPr>
      <w:r>
        <w:t xml:space="preserve">Det är sannolikt att </w:t>
      </w:r>
      <w:r w:rsidRPr="009C1ED2">
        <w:t>ordförandeskapet kommer att förelägga TTE-rådet ett förslag till beslut om allmän inrik</w:t>
      </w:r>
      <w:r>
        <w:t xml:space="preserve">tning vid dess möte den 10 juni. </w:t>
      </w:r>
    </w:p>
    <w:p w:rsidR="0078011C" w:rsidRPr="009C1ED2" w:rsidRDefault="0078011C" w:rsidP="009C1ED2">
      <w:pPr>
        <w:pStyle w:val="RKnormal"/>
      </w:pPr>
    </w:p>
    <w:p w:rsidR="0078011C" w:rsidRPr="009C1ED2" w:rsidRDefault="0078011C" w:rsidP="009C1ED2">
      <w:pPr>
        <w:pStyle w:val="RKnormal"/>
      </w:pPr>
      <w:r>
        <w:t>Regeringen föreslår att Sverige</w:t>
      </w:r>
      <w:r w:rsidRPr="009C1ED2">
        <w:t xml:space="preserve"> rösta</w:t>
      </w:r>
      <w:r>
        <w:t>r för förslag till allmän inriktning</w:t>
      </w:r>
      <w:r w:rsidRPr="009C1ED2">
        <w:t>. Försla</w:t>
      </w:r>
      <w:r>
        <w:t xml:space="preserve">get </w:t>
      </w:r>
      <w:r w:rsidRPr="009C1ED2">
        <w:t xml:space="preserve">bedöms av regeringen som acceptabelt, även om alla utestående frågor ännu inte är avklarade och trots att det bygger på att ERA ges beslutsbefogenheter i fordonsgodkännandeprocessen. </w:t>
      </w:r>
    </w:p>
    <w:p w:rsidR="0078011C" w:rsidRPr="009C1ED2" w:rsidRDefault="0078011C" w:rsidP="009C1ED2">
      <w:pPr>
        <w:pStyle w:val="RKnormal"/>
      </w:pPr>
    </w:p>
    <w:p w:rsidR="0078011C" w:rsidRDefault="0078011C" w:rsidP="009C1ED2">
      <w:pPr>
        <w:pStyle w:val="RKnormal"/>
      </w:pPr>
      <w:r w:rsidRPr="009C1ED2">
        <w:t>Skälet är att utformningen av förslaget undanröjer eller minskar de flesta negativa konsekvenser av kom</w:t>
      </w:r>
      <w:r>
        <w:t xml:space="preserve">missionen ursprungliga förslag och att det på lång sikt kan bidra till effektivisering av regelgivnings- och regeltillämpningsprocesser på driftkompatibilitetsområdet. </w:t>
      </w:r>
    </w:p>
    <w:p w:rsidR="0078011C" w:rsidRDefault="0078011C" w:rsidP="009C1ED2">
      <w:pPr>
        <w:pStyle w:val="RKnormal"/>
      </w:pPr>
    </w:p>
    <w:p w:rsidR="0078011C" w:rsidRDefault="0078011C" w:rsidP="0040068B">
      <w:pPr>
        <w:pStyle w:val="RKnormal"/>
        <w:rPr>
          <w:b/>
        </w:rPr>
      </w:pPr>
    </w:p>
    <w:p w:rsidR="0078011C" w:rsidRPr="0040068B" w:rsidRDefault="0078011C" w:rsidP="0040068B">
      <w:pPr>
        <w:pStyle w:val="RKnormal"/>
        <w:rPr>
          <w:b/>
        </w:rPr>
      </w:pPr>
      <w:r>
        <w:rPr>
          <w:b/>
        </w:rPr>
        <w:t xml:space="preserve">15 </w:t>
      </w:r>
      <w:r w:rsidRPr="0040068B">
        <w:rPr>
          <w:b/>
        </w:rPr>
        <w:t>(a)</w:t>
      </w:r>
      <w:r w:rsidRPr="0040068B">
        <w:rPr>
          <w:b/>
        </w:rPr>
        <w:tab/>
        <w:t>Förslag till Europaparlamentets och rådets förordning om vägkontroller av trafiksäkerheten hos nyttofordon i trafik i unionen och om upphävande av direktiv 2000/30/EG</w:t>
      </w:r>
    </w:p>
    <w:p w:rsidR="0078011C" w:rsidRPr="002C7702" w:rsidRDefault="0078011C" w:rsidP="0040068B">
      <w:pPr>
        <w:pStyle w:val="RKnormal"/>
        <w:rPr>
          <w:i/>
        </w:rPr>
      </w:pPr>
      <w:r w:rsidRPr="0040068B">
        <w:rPr>
          <w:b/>
          <w:i/>
        </w:rPr>
        <w:tab/>
        <w:t>– Allmän inriktning</w:t>
      </w:r>
      <w:r>
        <w:rPr>
          <w:b/>
          <w:i/>
        </w:rPr>
        <w:t xml:space="preserve"> </w:t>
      </w:r>
      <w:r>
        <w:rPr>
          <w:i/>
        </w:rPr>
        <w:t>(beslutspunkt)</w:t>
      </w:r>
    </w:p>
    <w:p w:rsidR="0078011C" w:rsidRDefault="0078011C" w:rsidP="0040068B">
      <w:pPr>
        <w:pStyle w:val="RKnormal"/>
        <w:rPr>
          <w:b/>
        </w:rPr>
      </w:pPr>
    </w:p>
    <w:p w:rsidR="0078011C" w:rsidRDefault="0078011C" w:rsidP="0040068B">
      <w:pPr>
        <w:pStyle w:val="RKnormal"/>
      </w:pPr>
      <w:r w:rsidRPr="0040068B">
        <w:rPr>
          <w:b/>
        </w:rPr>
        <w:t>Dokumentbeteckning:</w:t>
      </w:r>
      <w:r w:rsidRPr="0040068B">
        <w:t xml:space="preserve"> </w:t>
      </w:r>
      <w:r>
        <w:t>12809/12 TRANS 251 CODEC 1961 + ADD1</w:t>
      </w:r>
    </w:p>
    <w:p w:rsidR="0078011C" w:rsidRDefault="0078011C" w:rsidP="0040068B">
      <w:pPr>
        <w:pStyle w:val="RKnormal"/>
      </w:pPr>
      <w:r>
        <w:t>Dokument inför rådsbehandling föreligger ännu ej.</w:t>
      </w:r>
    </w:p>
    <w:p w:rsidR="0078011C" w:rsidRDefault="0078011C" w:rsidP="0040068B">
      <w:pPr>
        <w:pStyle w:val="RKnormal"/>
      </w:pPr>
    </w:p>
    <w:p w:rsidR="0078011C" w:rsidRPr="0040068B" w:rsidRDefault="0078011C" w:rsidP="0040068B">
      <w:pPr>
        <w:pStyle w:val="RKnormal"/>
      </w:pPr>
      <w:r w:rsidRPr="00F617F4">
        <w:rPr>
          <w:b/>
        </w:rPr>
        <w:t>Tidigare behandling i EU-nämnden:</w:t>
      </w:r>
      <w:r>
        <w:t xml:space="preserve"> frågan har inte behandlats tidigare i EUN.</w:t>
      </w:r>
    </w:p>
    <w:p w:rsidR="0078011C" w:rsidRPr="0040068B" w:rsidRDefault="0078011C" w:rsidP="0040068B">
      <w:pPr>
        <w:pStyle w:val="RKnormal"/>
        <w:rPr>
          <w:b/>
        </w:rPr>
      </w:pPr>
    </w:p>
    <w:p w:rsidR="0078011C" w:rsidRPr="0040068B" w:rsidRDefault="0078011C" w:rsidP="0040068B">
      <w:pPr>
        <w:pStyle w:val="RKnormal"/>
      </w:pPr>
      <w:r w:rsidRPr="0040068B">
        <w:t>Förslag till Europaparlamentets och rådets förordning om vägkontroller av trafiksäkerheten hos nyttofordon i trafik i unione</w:t>
      </w:r>
      <w:r>
        <w:t>n presenterades den 13 juli 2012</w:t>
      </w:r>
      <w:r w:rsidRPr="0040068B">
        <w:t xml:space="preserve"> som en del av trafiksäkerhetspaketet. Rådsarbetsgruppen har behandlat ärendet sedan februari 2013. Det finns stor enighet i rådet om att förslaget ska vara ett direktiv istället för en förordning.</w:t>
      </w:r>
    </w:p>
    <w:p w:rsidR="0078011C" w:rsidRPr="0040068B" w:rsidRDefault="0078011C" w:rsidP="0040068B">
      <w:pPr>
        <w:pStyle w:val="RKnormal"/>
      </w:pPr>
    </w:p>
    <w:p w:rsidR="0078011C" w:rsidRPr="0040068B" w:rsidRDefault="0078011C" w:rsidP="0040068B">
      <w:pPr>
        <w:pStyle w:val="RKnormal"/>
      </w:pPr>
      <w:r w:rsidRPr="0040068B">
        <w:t xml:space="preserve">Det irländska ordförandeskapet har prioriterat arbetet med lagförslaget och önskar nå en allmän inriktning till rådsmötet. Europaparlamentet ska rösta i plenum den 2 juli. </w:t>
      </w:r>
    </w:p>
    <w:p w:rsidR="0078011C" w:rsidRPr="0040068B" w:rsidRDefault="0078011C" w:rsidP="0040068B">
      <w:pPr>
        <w:pStyle w:val="RKnormal"/>
      </w:pPr>
    </w:p>
    <w:p w:rsidR="0078011C" w:rsidRPr="0040068B" w:rsidRDefault="0078011C" w:rsidP="0040068B">
      <w:pPr>
        <w:pStyle w:val="RKnormal"/>
      </w:pPr>
      <w:r w:rsidRPr="0040068B">
        <w:t xml:space="preserve">Förslagets syfte är att fastställa uppdaterade harmoniserade regler om vägkontroller av motorfordon och tillhörande släpvagnar för att förbättra trafiksäkerheten och för att skydda miljön. </w:t>
      </w:r>
    </w:p>
    <w:p w:rsidR="0078011C" w:rsidRDefault="0078011C" w:rsidP="0040068B">
      <w:pPr>
        <w:pStyle w:val="RKnormal"/>
        <w:rPr>
          <w:b/>
        </w:rPr>
      </w:pPr>
    </w:p>
    <w:p w:rsidR="0078011C" w:rsidRDefault="0078011C" w:rsidP="0040068B">
      <w:pPr>
        <w:pStyle w:val="RKnormal"/>
        <w:rPr>
          <w:b/>
        </w:rPr>
      </w:pPr>
    </w:p>
    <w:p w:rsidR="0078011C" w:rsidRPr="0040068B" w:rsidRDefault="0078011C" w:rsidP="0040068B">
      <w:pPr>
        <w:pStyle w:val="RKnormal"/>
        <w:rPr>
          <w:b/>
        </w:rPr>
      </w:pPr>
      <w:r w:rsidRPr="0040068B">
        <w:rPr>
          <w:b/>
        </w:rPr>
        <w:t>Förslag till svensk position</w:t>
      </w:r>
    </w:p>
    <w:p w:rsidR="0078011C" w:rsidRPr="0040068B" w:rsidRDefault="0078011C" w:rsidP="0040068B">
      <w:pPr>
        <w:pStyle w:val="RKnormal"/>
      </w:pPr>
      <w:r>
        <w:t>Regeringen bö</w:t>
      </w:r>
      <w:r w:rsidRPr="0040068B">
        <w:t>r vid s</w:t>
      </w:r>
      <w:r>
        <w:t xml:space="preserve">lutbehandlingen </w:t>
      </w:r>
      <w:r w:rsidRPr="0040068B">
        <w:t xml:space="preserve">verka för att en kompromiss uppnås avseende lastsäkring och förslagets tillämpningsområde. I övrigt </w:t>
      </w:r>
      <w:r>
        <w:t>bör r</w:t>
      </w:r>
      <w:r w:rsidRPr="0040068B">
        <w:t xml:space="preserve">egeringen </w:t>
      </w:r>
      <w:r>
        <w:t xml:space="preserve">stödja </w:t>
      </w:r>
      <w:r w:rsidRPr="0040068B">
        <w:t>att en allmän inriktning nås i enlighet med ordförandeskapets förslag.</w:t>
      </w:r>
    </w:p>
    <w:p w:rsidR="0078011C" w:rsidRPr="0040068B" w:rsidRDefault="0078011C" w:rsidP="0040068B">
      <w:pPr>
        <w:pStyle w:val="RKnormal"/>
      </w:pPr>
    </w:p>
    <w:p w:rsidR="0078011C" w:rsidRPr="0040068B" w:rsidRDefault="0078011C" w:rsidP="0040068B">
      <w:pPr>
        <w:pStyle w:val="RKnormal"/>
        <w:rPr>
          <w:b/>
        </w:rPr>
      </w:pPr>
      <w:r w:rsidRPr="0040068B">
        <w:rPr>
          <w:b/>
        </w:rPr>
        <w:t xml:space="preserve">(b) </w:t>
      </w:r>
      <w:r w:rsidRPr="0040068B">
        <w:rPr>
          <w:b/>
        </w:rPr>
        <w:tab/>
        <w:t>Förslag till Europaparlamentets och rådets direktiv om ändring av rådets direktiv 1999/37/EG om registreringsbevis för fordon</w:t>
      </w:r>
    </w:p>
    <w:p w:rsidR="0078011C" w:rsidRPr="002C7702" w:rsidRDefault="0078011C" w:rsidP="0040068B">
      <w:pPr>
        <w:pStyle w:val="RKnormal"/>
        <w:rPr>
          <w:i/>
        </w:rPr>
      </w:pPr>
      <w:r w:rsidRPr="0040068B">
        <w:rPr>
          <w:b/>
          <w:i/>
        </w:rPr>
        <w:tab/>
        <w:t>– Allmän inriktning</w:t>
      </w:r>
      <w:r>
        <w:rPr>
          <w:b/>
          <w:i/>
        </w:rPr>
        <w:t xml:space="preserve"> </w:t>
      </w:r>
      <w:r>
        <w:rPr>
          <w:i/>
        </w:rPr>
        <w:t>(beslutspunkt)</w:t>
      </w:r>
    </w:p>
    <w:p w:rsidR="0078011C" w:rsidRPr="0040068B" w:rsidRDefault="0078011C" w:rsidP="0040068B">
      <w:pPr>
        <w:pStyle w:val="RKnormal"/>
      </w:pPr>
    </w:p>
    <w:p w:rsidR="0078011C" w:rsidRDefault="0078011C" w:rsidP="0040068B">
      <w:pPr>
        <w:pStyle w:val="RKnormal"/>
      </w:pPr>
      <w:r w:rsidRPr="0040068B">
        <w:rPr>
          <w:b/>
        </w:rPr>
        <w:t>Dokumentbeteckning:</w:t>
      </w:r>
      <w:r w:rsidRPr="0040068B">
        <w:t xml:space="preserve"> </w:t>
      </w:r>
      <w:r>
        <w:t>12803/12 TRANS 250 CODEC 1960</w:t>
      </w:r>
    </w:p>
    <w:p w:rsidR="0078011C" w:rsidRDefault="0078011C" w:rsidP="0040068B">
      <w:pPr>
        <w:pStyle w:val="RKnormal"/>
      </w:pPr>
      <w:r>
        <w:t>Dokument inför rådsbehandling föreligger ännu ej.</w:t>
      </w:r>
    </w:p>
    <w:p w:rsidR="0078011C" w:rsidRDefault="0078011C" w:rsidP="0040068B">
      <w:pPr>
        <w:pStyle w:val="RKnormal"/>
      </w:pPr>
    </w:p>
    <w:p w:rsidR="0078011C" w:rsidRPr="0040068B" w:rsidRDefault="0078011C" w:rsidP="0040068B">
      <w:pPr>
        <w:pStyle w:val="RKnormal"/>
      </w:pPr>
      <w:r w:rsidRPr="00F617F4">
        <w:rPr>
          <w:b/>
        </w:rPr>
        <w:t>Tidigare behandling i EU-nämnden:</w:t>
      </w:r>
      <w:r>
        <w:t xml:space="preserve"> f</w:t>
      </w:r>
      <w:r w:rsidRPr="00F617F4">
        <w:t>rågan har inte tidigare behandlats i EU-nämnden.</w:t>
      </w:r>
    </w:p>
    <w:p w:rsidR="0078011C" w:rsidRPr="0040068B" w:rsidRDefault="0078011C" w:rsidP="0040068B">
      <w:pPr>
        <w:pStyle w:val="RKnormal"/>
      </w:pPr>
    </w:p>
    <w:p w:rsidR="0078011C" w:rsidRPr="0040068B" w:rsidRDefault="0078011C" w:rsidP="0040068B">
      <w:pPr>
        <w:pStyle w:val="RKnormal"/>
      </w:pPr>
      <w:r w:rsidRPr="0040068B">
        <w:t xml:space="preserve">Förslag till Europaparlamentets och rådets direktiv om ändring av rådets direktiv 1999/37/EG om registreringsbevis för fordon presenterades den 13 juli </w:t>
      </w:r>
      <w:r>
        <w:t>2012</w:t>
      </w:r>
      <w:r w:rsidRPr="0040068B">
        <w:t xml:space="preserve"> som en del av trafiksäkerhetspaketet. Rådsarbetsgru</w:t>
      </w:r>
      <w:r>
        <w:t>ppen har behandlat ärendet under</w:t>
      </w:r>
      <w:r w:rsidRPr="0040068B">
        <w:t xml:space="preserve"> maj 2013. </w:t>
      </w:r>
    </w:p>
    <w:p w:rsidR="0078011C" w:rsidRPr="0040068B" w:rsidRDefault="0078011C" w:rsidP="0040068B">
      <w:pPr>
        <w:pStyle w:val="RKnormal"/>
      </w:pPr>
      <w:r w:rsidRPr="0040068B">
        <w:t xml:space="preserve"> </w:t>
      </w:r>
    </w:p>
    <w:p w:rsidR="0078011C" w:rsidRPr="0040068B" w:rsidRDefault="0078011C" w:rsidP="0040068B">
      <w:pPr>
        <w:pStyle w:val="RKnormal"/>
      </w:pPr>
      <w:r w:rsidRPr="0040068B">
        <w:t xml:space="preserve">Förslagets syfte är att ändra de gällande kraven som fastställts i den befintliga rättsliga ramen avseende registreringsbevis för fordon. </w:t>
      </w:r>
    </w:p>
    <w:p w:rsidR="0078011C" w:rsidRDefault="0078011C" w:rsidP="0040068B">
      <w:pPr>
        <w:pStyle w:val="RKnormal"/>
        <w:rPr>
          <w:b/>
        </w:rPr>
      </w:pPr>
    </w:p>
    <w:p w:rsidR="0078011C" w:rsidRPr="0040068B" w:rsidRDefault="0078011C" w:rsidP="0040068B">
      <w:pPr>
        <w:pStyle w:val="RKnormal"/>
        <w:rPr>
          <w:b/>
        </w:rPr>
      </w:pPr>
      <w:r w:rsidRPr="0040068B">
        <w:rPr>
          <w:b/>
        </w:rPr>
        <w:t>Förslag till svensk position</w:t>
      </w:r>
    </w:p>
    <w:p w:rsidR="0078011C" w:rsidRDefault="0078011C" w:rsidP="0040068B">
      <w:pPr>
        <w:pStyle w:val="RKnormal"/>
      </w:pPr>
      <w:r>
        <w:t>Regeringen kan stödja</w:t>
      </w:r>
      <w:r w:rsidRPr="0040068B">
        <w:t xml:space="preserve"> att en allmän inriktning nås i enlighet med ordförandeskapets förslag.</w:t>
      </w:r>
    </w:p>
    <w:p w:rsidR="0078011C" w:rsidRDefault="0078011C" w:rsidP="0040068B">
      <w:pPr>
        <w:pStyle w:val="RKnormal"/>
      </w:pPr>
    </w:p>
    <w:p w:rsidR="0078011C" w:rsidRDefault="0078011C" w:rsidP="00BD39EE">
      <w:pPr>
        <w:pStyle w:val="RKnormal"/>
        <w:rPr>
          <w:b/>
        </w:rPr>
      </w:pPr>
    </w:p>
    <w:p w:rsidR="0078011C" w:rsidRDefault="0078011C" w:rsidP="00BD39EE">
      <w:pPr>
        <w:pStyle w:val="RKnormal"/>
        <w:rPr>
          <w:b/>
        </w:rPr>
      </w:pPr>
      <w:r>
        <w:rPr>
          <w:b/>
        </w:rPr>
        <w:t>16</w:t>
      </w:r>
      <w:r w:rsidRPr="00BD39EE">
        <w:rPr>
          <w:b/>
        </w:rPr>
        <w:t xml:space="preserve">. </w:t>
      </w:r>
      <w:r w:rsidRPr="00BD39EE">
        <w:rPr>
          <w:b/>
          <w:bCs/>
        </w:rPr>
        <w:t>Förslag till Europaparlamentets och rådets förordning om händelserapportering inom civil luftfart, med ändring av förordning (EU) 996/2010 och upphävande av direktiv 2003/42/EC, kommissionens förordningar (EC) 1321/2007 och (EC) 1330/2007 (första läsning)</w:t>
      </w:r>
      <w:r w:rsidRPr="00BD39EE">
        <w:rPr>
          <w:b/>
        </w:rPr>
        <w:t xml:space="preserve">KOM (2012) 776 Slutlig </w:t>
      </w:r>
    </w:p>
    <w:p w:rsidR="0078011C" w:rsidRDefault="0078011C" w:rsidP="00BD39EE">
      <w:pPr>
        <w:pStyle w:val="RKnormal"/>
        <w:rPr>
          <w:b/>
        </w:rPr>
      </w:pPr>
    </w:p>
    <w:p w:rsidR="0078011C" w:rsidRDefault="0078011C" w:rsidP="00CC1E35">
      <w:pPr>
        <w:pStyle w:val="RKnormal"/>
      </w:pPr>
      <w:r w:rsidRPr="00CC1E35">
        <w:rPr>
          <w:b/>
        </w:rPr>
        <w:t>Dokument</w:t>
      </w:r>
      <w:r>
        <w:rPr>
          <w:b/>
        </w:rPr>
        <w:t xml:space="preserve">: </w:t>
      </w:r>
      <w:r w:rsidRPr="00CC1E35">
        <w:t>18118/12 AVIATION 203 CODEC 3132, Fakta-PM Näringsdepartementet 2012/2013:FPM54</w:t>
      </w:r>
    </w:p>
    <w:p w:rsidR="0078011C" w:rsidRDefault="0078011C" w:rsidP="00CC1E35">
      <w:pPr>
        <w:pStyle w:val="RKnormal"/>
        <w:rPr>
          <w:b/>
        </w:rPr>
      </w:pPr>
      <w:r>
        <w:t>Dokument inför rådsbehandling föreligger ännu ej.</w:t>
      </w:r>
    </w:p>
    <w:p w:rsidR="0078011C" w:rsidRDefault="0078011C" w:rsidP="00BD39EE">
      <w:pPr>
        <w:pStyle w:val="RKnormal"/>
        <w:rPr>
          <w:b/>
        </w:rPr>
      </w:pPr>
    </w:p>
    <w:p w:rsidR="0078011C" w:rsidRDefault="0078011C" w:rsidP="00BD39EE">
      <w:pPr>
        <w:pStyle w:val="RKnormal"/>
      </w:pPr>
      <w:r w:rsidRPr="00CC1E35">
        <w:rPr>
          <w:b/>
        </w:rPr>
        <w:t>Tidigare behandlad vid samråd med EU-nämnden:</w:t>
      </w:r>
      <w:r w:rsidRPr="00CC1E35">
        <w:t xml:space="preserve"> 8 mars 2013</w:t>
      </w:r>
    </w:p>
    <w:p w:rsidR="0078011C" w:rsidRPr="0041211C" w:rsidRDefault="0078011C" w:rsidP="000B702F">
      <w:pPr>
        <w:pStyle w:val="RKrubrik"/>
        <w:rPr>
          <w:rFonts w:ascii="OrigGarmnd BT" w:hAnsi="OrigGarmnd BT"/>
          <w:sz w:val="24"/>
          <w:szCs w:val="24"/>
        </w:rPr>
      </w:pPr>
      <w:bookmarkStart w:id="0" w:name="_GoBack"/>
      <w:bookmarkEnd w:id="0"/>
      <w:r w:rsidRPr="0041211C">
        <w:rPr>
          <w:rFonts w:ascii="OrigGarmnd BT" w:hAnsi="OrigGarmnd BT"/>
          <w:sz w:val="24"/>
          <w:szCs w:val="24"/>
        </w:rPr>
        <w:t>Bakgrund</w:t>
      </w:r>
    </w:p>
    <w:p w:rsidR="0078011C" w:rsidRPr="00197C3B" w:rsidRDefault="0078011C" w:rsidP="000B702F">
      <w:r>
        <w:t>H</w:t>
      </w:r>
      <w:r w:rsidRPr="00197C3B">
        <w:t xml:space="preserve">ändelserapportering </w:t>
      </w:r>
      <w:r>
        <w:t xml:space="preserve">som idag regleras genom direktiv 2003/42 med genomförandeförordningar </w:t>
      </w:r>
      <w:r w:rsidRPr="00197C3B">
        <w:t xml:space="preserve">föreslås ändras från att baseras på ett direktiv till att regleras genom </w:t>
      </w:r>
      <w:r>
        <w:t xml:space="preserve">en </w:t>
      </w:r>
      <w:r w:rsidRPr="00197C3B">
        <w:t xml:space="preserve">förordning. </w:t>
      </w:r>
      <w:r>
        <w:t xml:space="preserve">Det kommer bidra till en mer enhetlig tillämpning av reglerna inom EU. </w:t>
      </w:r>
      <w:r w:rsidRPr="00197C3B">
        <w:t xml:space="preserve">Förslaget innebär </w:t>
      </w:r>
      <w:r>
        <w:t>i sak</w:t>
      </w:r>
      <w:r w:rsidRPr="00197C3B">
        <w:t xml:space="preserve"> tydligare krav på insamlad data och förbättrade informationsflöden vilka syftar till att öka kvaliteten på händelserapporteringen. En bättre hantering av insamlad data på europeisk nivå för förbättrad erfarenhetsspridning och stärkt skydd för uppgiftslämnare ingår också. </w:t>
      </w:r>
    </w:p>
    <w:p w:rsidR="0078011C" w:rsidRDefault="0078011C" w:rsidP="000B702F">
      <w:pPr>
        <w:overflowPunct/>
        <w:autoSpaceDE/>
        <w:autoSpaceDN/>
        <w:adjustRightInd/>
        <w:spacing w:line="276" w:lineRule="auto"/>
        <w:textAlignment w:val="auto"/>
        <w:rPr>
          <w:noProof/>
        </w:rPr>
      </w:pPr>
    </w:p>
    <w:p w:rsidR="0078011C" w:rsidRPr="0041211C" w:rsidRDefault="0078011C" w:rsidP="000B702F">
      <w:pPr>
        <w:overflowPunct/>
        <w:autoSpaceDE/>
        <w:autoSpaceDN/>
        <w:adjustRightInd/>
        <w:spacing w:line="276" w:lineRule="auto"/>
        <w:textAlignment w:val="auto"/>
        <w:rPr>
          <w:b/>
          <w:noProof/>
        </w:rPr>
      </w:pPr>
      <w:r w:rsidRPr="0041211C">
        <w:rPr>
          <w:b/>
          <w:noProof/>
        </w:rPr>
        <w:t>Förslag till svensk ståndpunkt</w:t>
      </w:r>
    </w:p>
    <w:p w:rsidR="0078011C" w:rsidRPr="00D77557" w:rsidRDefault="0078011C" w:rsidP="000B702F">
      <w:pPr>
        <w:overflowPunct/>
        <w:autoSpaceDE/>
        <w:autoSpaceDN/>
        <w:adjustRightInd/>
        <w:spacing w:line="276" w:lineRule="auto"/>
        <w:textAlignment w:val="auto"/>
        <w:rPr>
          <w:noProof/>
        </w:rPr>
      </w:pPr>
      <w:r>
        <w:rPr>
          <w:noProof/>
        </w:rPr>
        <w:t xml:space="preserve">Regeringen är generellt positiv till förslaget efter den hantering som skett inom rådet och föreslår därför att Sverige röstar ja till förslaget. Vissa hänsyn till fri bevisföring för svenska domstolar behöver dock uppmärksammas. </w:t>
      </w:r>
      <w:r w:rsidRPr="00121FAE">
        <w:t>Sverige kommer därför att verka för att ett förklarande skäl tas in i texten</w:t>
      </w:r>
      <w:r>
        <w:rPr>
          <w:color w:val="FF0000"/>
        </w:rPr>
        <w:t>.</w:t>
      </w:r>
    </w:p>
    <w:p w:rsidR="0078011C" w:rsidRPr="00BD39EE" w:rsidRDefault="0078011C" w:rsidP="00BD39EE">
      <w:pPr>
        <w:pStyle w:val="RKnormal"/>
        <w:rPr>
          <w:b/>
        </w:rPr>
      </w:pPr>
    </w:p>
    <w:p w:rsidR="0078011C" w:rsidRPr="009C1ED2" w:rsidRDefault="0078011C" w:rsidP="009C1ED2">
      <w:pPr>
        <w:pStyle w:val="RKnormal"/>
      </w:pPr>
    </w:p>
    <w:p w:rsidR="0078011C" w:rsidRDefault="0078011C" w:rsidP="00FB5890">
      <w:pPr>
        <w:pStyle w:val="RKnormal"/>
        <w:numPr>
          <w:ilvl w:val="0"/>
          <w:numId w:val="3"/>
        </w:numPr>
        <w:rPr>
          <w:b/>
        </w:rPr>
      </w:pPr>
      <w:r w:rsidRPr="00FB5890">
        <w:rPr>
          <w:b/>
        </w:rPr>
        <w:t>Förslag till Europaparlamentets och rådets direktiv om marin utrustning och ersättning av direktiv 1996/98/EG (första läsning)</w:t>
      </w:r>
    </w:p>
    <w:p w:rsidR="0078011C" w:rsidRPr="002C7702" w:rsidRDefault="0078011C" w:rsidP="002C7702">
      <w:pPr>
        <w:pStyle w:val="RKnormal"/>
        <w:numPr>
          <w:ilvl w:val="0"/>
          <w:numId w:val="1"/>
        </w:numPr>
        <w:rPr>
          <w:b/>
          <w:i/>
        </w:rPr>
      </w:pPr>
      <w:r w:rsidRPr="002C7702">
        <w:rPr>
          <w:b/>
          <w:i/>
        </w:rPr>
        <w:t>Allmän inriktning</w:t>
      </w:r>
      <w:r>
        <w:rPr>
          <w:b/>
          <w:i/>
        </w:rPr>
        <w:t xml:space="preserve"> </w:t>
      </w:r>
      <w:r>
        <w:t>(</w:t>
      </w:r>
      <w:r w:rsidRPr="002C7702">
        <w:rPr>
          <w:i/>
        </w:rPr>
        <w:t>beslutspunkt</w:t>
      </w:r>
      <w:r>
        <w:t>)</w:t>
      </w:r>
    </w:p>
    <w:p w:rsidR="0078011C" w:rsidRDefault="0078011C" w:rsidP="00FB5890">
      <w:pPr>
        <w:pStyle w:val="RKnormal"/>
        <w:rPr>
          <w:b/>
        </w:rPr>
      </w:pPr>
    </w:p>
    <w:p w:rsidR="0078011C" w:rsidRDefault="0078011C" w:rsidP="00FB5890">
      <w:pPr>
        <w:pStyle w:val="RKnormal"/>
        <w:rPr>
          <w:lang w:val="pt-PT"/>
        </w:rPr>
      </w:pPr>
      <w:r w:rsidRPr="00FB5890">
        <w:rPr>
          <w:b/>
        </w:rPr>
        <w:t>Dokumentbeteckning:</w:t>
      </w:r>
      <w:r w:rsidRPr="00FB5890">
        <w:rPr>
          <w:lang w:val="en-GB"/>
        </w:rPr>
        <w:t xml:space="preserve"> </w:t>
      </w:r>
      <w:r w:rsidRPr="00FB5890">
        <w:rPr>
          <w:lang w:val="pt-PT"/>
        </w:rPr>
        <w:t xml:space="preserve">17992/12 MAR 149 ENT 319 CODEC 3104 </w:t>
      </w:r>
    </w:p>
    <w:p w:rsidR="0078011C" w:rsidRPr="00F64D42" w:rsidRDefault="0078011C" w:rsidP="00FB5890">
      <w:pPr>
        <w:pStyle w:val="RKnormal"/>
      </w:pPr>
      <w:r>
        <w:rPr>
          <w:lang w:val="pt-PT"/>
        </w:rPr>
        <w:t>Dokument inför rådsbehandling föreligger ännu ej.</w:t>
      </w:r>
    </w:p>
    <w:p w:rsidR="0078011C" w:rsidRPr="00FB5890" w:rsidRDefault="0078011C" w:rsidP="00FB5890">
      <w:pPr>
        <w:pStyle w:val="RKnormal"/>
        <w:rPr>
          <w:b/>
        </w:rPr>
      </w:pPr>
    </w:p>
    <w:p w:rsidR="0078011C" w:rsidRPr="00FB5890" w:rsidRDefault="0078011C" w:rsidP="00FB5890">
      <w:pPr>
        <w:pStyle w:val="RKnormal"/>
      </w:pPr>
      <w:r w:rsidRPr="00FB5890">
        <w:t>Förslag till Europaparlamentets och rådets direktiv om marin utrustning</w:t>
      </w:r>
    </w:p>
    <w:p w:rsidR="0078011C" w:rsidRPr="00FB5890" w:rsidRDefault="0078011C" w:rsidP="00FB5890">
      <w:pPr>
        <w:pStyle w:val="RKnormal"/>
      </w:pPr>
      <w:r w:rsidRPr="00FB5890">
        <w:t>presenterades för första gången den 11 januari 2013 och sedan dess har behandlats i rådsarbetsgruppen för sjöfartsfrågor. Det irländska ordförandeskapet har prioritera arbetet med direktivet och syftat på att nå en allmän inriktning till detta rådsmöte. Europaparlamentet har ännu inte tagit ställning till direktivet.</w:t>
      </w:r>
    </w:p>
    <w:p w:rsidR="0078011C" w:rsidRPr="00FB5890" w:rsidRDefault="0078011C" w:rsidP="00FB5890">
      <w:pPr>
        <w:pStyle w:val="RKnormal"/>
      </w:pPr>
    </w:p>
    <w:p w:rsidR="0078011C" w:rsidRPr="00FB5890" w:rsidRDefault="0078011C" w:rsidP="00FB5890">
      <w:pPr>
        <w:pStyle w:val="RKnormal"/>
      </w:pPr>
      <w:r w:rsidRPr="00FB5890">
        <w:t xml:space="preserve">Syftet med förslaget är att förenkla regelverket, förbättra genomförandet av direktivet samt garantera att IMO-kraven tillämpas på ett enhetligt sätt inom EU och genom det uppnå en väl fungerande inre marknad för marin utrustning, samtidigt som man säkerställer en hög sjösäkerhetsnivå och förebyggande av havsföroreningar. </w:t>
      </w:r>
    </w:p>
    <w:p w:rsidR="0078011C" w:rsidRPr="00FB5890" w:rsidRDefault="0078011C" w:rsidP="00FB5890">
      <w:pPr>
        <w:pStyle w:val="RKnormal"/>
      </w:pPr>
    </w:p>
    <w:p w:rsidR="0078011C" w:rsidRDefault="0078011C" w:rsidP="00FB5890">
      <w:pPr>
        <w:pStyle w:val="RKnormal"/>
        <w:rPr>
          <w:b/>
        </w:rPr>
      </w:pPr>
    </w:p>
    <w:p w:rsidR="0078011C" w:rsidRPr="00FB5890" w:rsidRDefault="0078011C" w:rsidP="00FB5890">
      <w:pPr>
        <w:pStyle w:val="RKnormal"/>
        <w:rPr>
          <w:b/>
        </w:rPr>
      </w:pPr>
      <w:r w:rsidRPr="00FB5890">
        <w:rPr>
          <w:b/>
        </w:rPr>
        <w:t>Förslag till svensk position</w:t>
      </w:r>
    </w:p>
    <w:p w:rsidR="0078011C" w:rsidRPr="00FB5890" w:rsidRDefault="0078011C" w:rsidP="00FB5890">
      <w:pPr>
        <w:pStyle w:val="RKnormal"/>
      </w:pPr>
      <w:r w:rsidRPr="00FB5890">
        <w:t>Regeringen ser positivt till direktivets syfte att förbättra en enhetlig tillämpning av reglerna om marin utrustning avsedd att placeras ombord på EU-fartyg, förenkla reglerna samt att säkerställa den fria rörligheten för sådan utrustning i unionen</w:t>
      </w:r>
      <w:r>
        <w:t xml:space="preserve"> och menar därför att Sverige kan stödja att en allmän inriktning antas</w:t>
      </w:r>
      <w:r w:rsidRPr="00FB5890">
        <w:t>.</w:t>
      </w:r>
    </w:p>
    <w:p w:rsidR="0078011C" w:rsidRDefault="0078011C" w:rsidP="00196CC9">
      <w:pPr>
        <w:pStyle w:val="RKnormal"/>
      </w:pPr>
    </w:p>
    <w:p w:rsidR="0078011C" w:rsidRDefault="0078011C" w:rsidP="00196CC9">
      <w:pPr>
        <w:pStyle w:val="RKnormal"/>
      </w:pPr>
    </w:p>
    <w:p w:rsidR="0078011C" w:rsidRPr="00D50666" w:rsidRDefault="0078011C" w:rsidP="00D50666">
      <w:pPr>
        <w:pStyle w:val="RKnormal"/>
        <w:rPr>
          <w:b/>
        </w:rPr>
      </w:pPr>
      <w:r w:rsidRPr="00D50666">
        <w:rPr>
          <w:b/>
          <w:i/>
        </w:rPr>
        <w:t>18</w:t>
      </w:r>
      <w:r w:rsidRPr="00D50666">
        <w:rPr>
          <w:b/>
        </w:rPr>
        <w:t>.</w:t>
      </w:r>
      <w:r w:rsidRPr="00D50666">
        <w:rPr>
          <w:b/>
        </w:rPr>
        <w:tab/>
        <w:t>Övriga frågor</w:t>
      </w:r>
    </w:p>
    <w:p w:rsidR="0078011C" w:rsidRDefault="0078011C" w:rsidP="00D50666">
      <w:pPr>
        <w:pStyle w:val="RKnormal"/>
        <w:rPr>
          <w:b/>
          <w:i/>
        </w:rPr>
      </w:pPr>
    </w:p>
    <w:p w:rsidR="0078011C" w:rsidRPr="008707F7" w:rsidRDefault="0078011C" w:rsidP="008707F7">
      <w:pPr>
        <w:tabs>
          <w:tab w:val="left" w:pos="709"/>
          <w:tab w:val="left" w:pos="2835"/>
        </w:tabs>
        <w:spacing w:line="240" w:lineRule="atLeast"/>
        <w:textAlignment w:val="auto"/>
        <w:rPr>
          <w:b/>
        </w:rPr>
      </w:pPr>
      <w:r>
        <w:rPr>
          <w:b/>
        </w:rPr>
        <w:t>18. (a</w:t>
      </w:r>
      <w:r w:rsidRPr="008707F7">
        <w:rPr>
          <w:b/>
        </w:rPr>
        <w:t>) Luftfart ETS uppdatering</w:t>
      </w:r>
    </w:p>
    <w:p w:rsidR="0078011C" w:rsidRPr="008707F7" w:rsidRDefault="0078011C" w:rsidP="008707F7">
      <w:pPr>
        <w:tabs>
          <w:tab w:val="left" w:pos="709"/>
          <w:tab w:val="left" w:pos="2835"/>
        </w:tabs>
        <w:spacing w:line="240" w:lineRule="atLeast"/>
        <w:textAlignment w:val="auto"/>
        <w:rPr>
          <w:b/>
          <w:i/>
        </w:rPr>
      </w:pPr>
      <w:r w:rsidRPr="008707F7">
        <w:tab/>
      </w:r>
      <w:r>
        <w:rPr>
          <w:b/>
          <w:i/>
        </w:rPr>
        <w:t>- Information från k</w:t>
      </w:r>
      <w:r w:rsidRPr="008707F7">
        <w:rPr>
          <w:b/>
          <w:i/>
        </w:rPr>
        <w:t>ommissionen</w:t>
      </w:r>
    </w:p>
    <w:p w:rsidR="0078011C" w:rsidRPr="008707F7" w:rsidRDefault="0078011C" w:rsidP="008707F7">
      <w:pPr>
        <w:tabs>
          <w:tab w:val="left" w:pos="709"/>
          <w:tab w:val="left" w:pos="2835"/>
        </w:tabs>
        <w:spacing w:line="240" w:lineRule="atLeast"/>
        <w:textAlignment w:val="auto"/>
      </w:pPr>
    </w:p>
    <w:p w:rsidR="0078011C" w:rsidRPr="008707F7" w:rsidRDefault="0078011C" w:rsidP="008707F7">
      <w:pPr>
        <w:tabs>
          <w:tab w:val="left" w:pos="709"/>
          <w:tab w:val="left" w:pos="2835"/>
        </w:tabs>
        <w:spacing w:line="240" w:lineRule="atLeast"/>
        <w:textAlignment w:val="auto"/>
        <w:rPr>
          <w:b/>
        </w:rPr>
      </w:pPr>
      <w:r w:rsidRPr="008707F7">
        <w:rPr>
          <w:b/>
        </w:rPr>
        <w:t xml:space="preserve">Dokument saknas. </w:t>
      </w:r>
    </w:p>
    <w:p w:rsidR="0078011C" w:rsidRPr="008707F7" w:rsidRDefault="0078011C" w:rsidP="008707F7">
      <w:pPr>
        <w:tabs>
          <w:tab w:val="left" w:pos="709"/>
          <w:tab w:val="left" w:pos="2835"/>
        </w:tabs>
        <w:spacing w:line="240" w:lineRule="atLeast"/>
        <w:textAlignment w:val="auto"/>
      </w:pPr>
      <w:r w:rsidRPr="008707F7">
        <w:t>Frågan har behandlats i EU-nämnden vid ett flertal tillfällen.</w:t>
      </w:r>
    </w:p>
    <w:p w:rsidR="0078011C" w:rsidRPr="008707F7" w:rsidRDefault="0078011C" w:rsidP="008707F7">
      <w:pPr>
        <w:tabs>
          <w:tab w:val="left" w:pos="709"/>
          <w:tab w:val="left" w:pos="2835"/>
        </w:tabs>
        <w:spacing w:line="240" w:lineRule="atLeast"/>
        <w:textAlignment w:val="auto"/>
      </w:pPr>
    </w:p>
    <w:p w:rsidR="0078011C" w:rsidRPr="008707F7" w:rsidRDefault="0078011C" w:rsidP="008707F7">
      <w:pPr>
        <w:tabs>
          <w:tab w:val="left" w:pos="709"/>
          <w:tab w:val="left" w:pos="2835"/>
        </w:tabs>
        <w:spacing w:line="240" w:lineRule="atLeast"/>
        <w:textAlignment w:val="auto"/>
        <w:rPr>
          <w:b/>
        </w:rPr>
      </w:pPr>
      <w:r w:rsidRPr="008707F7">
        <w:rPr>
          <w:b/>
        </w:rPr>
        <w:t>Bakgrund</w:t>
      </w:r>
    </w:p>
    <w:p w:rsidR="0078011C" w:rsidRPr="008707F7" w:rsidRDefault="0078011C" w:rsidP="008707F7">
      <w:pPr>
        <w:tabs>
          <w:tab w:val="left" w:pos="709"/>
          <w:tab w:val="left" w:pos="2835"/>
        </w:tabs>
        <w:spacing w:line="240" w:lineRule="atLeast"/>
        <w:textAlignment w:val="auto"/>
      </w:pPr>
      <w:r w:rsidRPr="008707F7">
        <w:t xml:space="preserve">Från och med 2012 ingår flygningar till och från samt inom EU i systemet för handel med utsläppsrätter, EU ETS. Åtgärden beslutades av EU år 2008 efter ett decennium av resultatlösa förhandlingar i FN:s organ för luftfartsfrågor, ICAO, om att införa ett globalt, ekonomiskt styrmedel för att begränsa flygets klimatpåverkan. </w:t>
      </w:r>
    </w:p>
    <w:p w:rsidR="0078011C" w:rsidRPr="008707F7" w:rsidRDefault="0078011C" w:rsidP="008707F7">
      <w:pPr>
        <w:tabs>
          <w:tab w:val="left" w:pos="709"/>
          <w:tab w:val="left" w:pos="2835"/>
        </w:tabs>
        <w:spacing w:line="240" w:lineRule="atLeast"/>
        <w:textAlignment w:val="auto"/>
      </w:pPr>
    </w:p>
    <w:p w:rsidR="0078011C" w:rsidRPr="008707F7" w:rsidRDefault="0078011C" w:rsidP="008707F7">
      <w:pPr>
        <w:tabs>
          <w:tab w:val="left" w:pos="709"/>
          <w:tab w:val="left" w:pos="2835"/>
        </w:tabs>
        <w:spacing w:line="240" w:lineRule="atLeast"/>
        <w:textAlignment w:val="auto"/>
      </w:pPr>
      <w:r w:rsidRPr="008707F7">
        <w:t xml:space="preserve">EU:s agerande har resulterat i kraftiga protester från länder utanför EU. </w:t>
      </w:r>
    </w:p>
    <w:p w:rsidR="0078011C" w:rsidRPr="008707F7" w:rsidRDefault="0078011C" w:rsidP="008707F7">
      <w:pPr>
        <w:tabs>
          <w:tab w:val="left" w:pos="709"/>
          <w:tab w:val="left" w:pos="2835"/>
        </w:tabs>
        <w:spacing w:line="240" w:lineRule="atLeast"/>
        <w:textAlignment w:val="auto"/>
      </w:pPr>
      <w:r w:rsidRPr="008707F7">
        <w:t xml:space="preserve">Hösten 2012 tillsatte ICAO en högnivågrupp för att ta fram förslag på klimatstyrmedel för det internationella flyget till ICAO:s generalförsamling hösten 2013. </w:t>
      </w:r>
    </w:p>
    <w:p w:rsidR="0078011C" w:rsidRPr="008707F7" w:rsidRDefault="0078011C" w:rsidP="008707F7">
      <w:pPr>
        <w:tabs>
          <w:tab w:val="left" w:pos="709"/>
          <w:tab w:val="left" w:pos="2835"/>
        </w:tabs>
        <w:spacing w:line="240" w:lineRule="atLeast"/>
        <w:textAlignment w:val="auto"/>
      </w:pPr>
    </w:p>
    <w:p w:rsidR="0078011C" w:rsidRPr="008707F7" w:rsidRDefault="0078011C" w:rsidP="008707F7">
      <w:pPr>
        <w:tabs>
          <w:tab w:val="left" w:pos="709"/>
          <w:tab w:val="left" w:pos="2835"/>
        </w:tabs>
        <w:spacing w:line="240" w:lineRule="atLeast"/>
        <w:textAlignment w:val="auto"/>
      </w:pPr>
      <w:r w:rsidRPr="008707F7">
        <w:t xml:space="preserve">Kommissionen lämnade mot denna bakgrund ett förslag på att tillfälligt skjuta upp genomförandet av handelssystemet vad gäller flygningar till och från EU medan förhandlingarna inom ICAO pågår </w:t>
      </w:r>
    </w:p>
    <w:p w:rsidR="0078011C" w:rsidRPr="008707F7" w:rsidRDefault="0078011C" w:rsidP="008707F7">
      <w:pPr>
        <w:tabs>
          <w:tab w:val="left" w:pos="709"/>
          <w:tab w:val="left" w:pos="2835"/>
        </w:tabs>
        <w:spacing w:line="240" w:lineRule="atLeast"/>
        <w:textAlignment w:val="auto"/>
      </w:pPr>
      <w:r w:rsidRPr="008707F7">
        <w:t>(det s.k. stop-the-clock förslaget). Kommissionens förslag till ändringar i handelsdirektivet antogs av Europaparlamentet den 16 april och av rådet den 22 april 2013. Ändringarna trädde i kraft i svensk lagstiftning den 9 maj 2013.</w:t>
      </w:r>
    </w:p>
    <w:p w:rsidR="0078011C" w:rsidRPr="008707F7" w:rsidRDefault="0078011C" w:rsidP="008707F7">
      <w:pPr>
        <w:tabs>
          <w:tab w:val="left" w:pos="709"/>
          <w:tab w:val="left" w:pos="2835"/>
        </w:tabs>
        <w:spacing w:line="240" w:lineRule="atLeast"/>
        <w:textAlignment w:val="auto"/>
      </w:pPr>
    </w:p>
    <w:p w:rsidR="0078011C" w:rsidRDefault="0078011C" w:rsidP="008707F7">
      <w:pPr>
        <w:tabs>
          <w:tab w:val="left" w:pos="709"/>
          <w:tab w:val="left" w:pos="2835"/>
        </w:tabs>
        <w:spacing w:line="240" w:lineRule="atLeast"/>
        <w:textAlignment w:val="auto"/>
        <w:rPr>
          <w:b/>
        </w:rPr>
      </w:pPr>
      <w:r>
        <w:rPr>
          <w:b/>
        </w:rPr>
        <w:t>Förslag till svensk ståndpunkt</w:t>
      </w:r>
    </w:p>
    <w:p w:rsidR="0078011C" w:rsidRPr="008707F7" w:rsidRDefault="0078011C" w:rsidP="008707F7">
      <w:pPr>
        <w:tabs>
          <w:tab w:val="left" w:pos="709"/>
          <w:tab w:val="left" w:pos="2835"/>
        </w:tabs>
        <w:spacing w:line="240" w:lineRule="atLeast"/>
        <w:textAlignment w:val="auto"/>
      </w:pPr>
      <w:r>
        <w:t>Regeringen bör notera informationen</w:t>
      </w:r>
    </w:p>
    <w:p w:rsidR="0078011C" w:rsidRPr="008707F7" w:rsidRDefault="0078011C" w:rsidP="00D50666">
      <w:pPr>
        <w:pStyle w:val="RKnormal"/>
        <w:rPr>
          <w:b/>
        </w:rPr>
      </w:pPr>
    </w:p>
    <w:p w:rsidR="0078011C" w:rsidRPr="008707F7" w:rsidRDefault="0078011C" w:rsidP="00D50666">
      <w:pPr>
        <w:pStyle w:val="RKnormal"/>
        <w:rPr>
          <w:b/>
          <w:i/>
        </w:rPr>
      </w:pPr>
    </w:p>
    <w:p w:rsidR="0078011C" w:rsidRPr="008707F7" w:rsidRDefault="0078011C" w:rsidP="00D50666">
      <w:pPr>
        <w:pStyle w:val="RKnormal"/>
        <w:rPr>
          <w:b/>
        </w:rPr>
      </w:pPr>
      <w:r w:rsidRPr="008707F7">
        <w:rPr>
          <w:b/>
        </w:rPr>
        <w:t>b)</w:t>
      </w:r>
      <w:r w:rsidRPr="008707F7">
        <w:rPr>
          <w:b/>
        </w:rPr>
        <w:tab/>
        <w:t>Aktuella lagstiftningsfrågor</w:t>
      </w:r>
    </w:p>
    <w:p w:rsidR="0078011C" w:rsidRPr="008707F7" w:rsidRDefault="0078011C" w:rsidP="00D50666">
      <w:pPr>
        <w:pStyle w:val="RKnormal"/>
        <w:rPr>
          <w:b/>
          <w:i/>
        </w:rPr>
      </w:pPr>
      <w:r w:rsidRPr="008707F7">
        <w:rPr>
          <w:b/>
          <w:i/>
        </w:rPr>
        <w:tab/>
        <w:t>- Information från ordförandeskapet om läget när det gäller vissa rättsakter</w:t>
      </w:r>
    </w:p>
    <w:p w:rsidR="0078011C" w:rsidRPr="00D50666" w:rsidRDefault="0078011C" w:rsidP="00D50666">
      <w:pPr>
        <w:pStyle w:val="RKnormal"/>
        <w:rPr>
          <w:b/>
          <w:i/>
        </w:rPr>
      </w:pPr>
    </w:p>
    <w:p w:rsidR="0078011C" w:rsidRPr="00D50666" w:rsidRDefault="0078011C" w:rsidP="00D50666">
      <w:pPr>
        <w:pStyle w:val="RKnormal"/>
        <w:rPr>
          <w:b/>
        </w:rPr>
      </w:pPr>
      <w:r w:rsidRPr="00D50666">
        <w:rPr>
          <w:b/>
        </w:rPr>
        <w:t xml:space="preserve">Dokument: </w:t>
      </w:r>
    </w:p>
    <w:p w:rsidR="0078011C" w:rsidRPr="00D50666" w:rsidRDefault="0078011C" w:rsidP="00D50666">
      <w:pPr>
        <w:pStyle w:val="RKnormal"/>
        <w:numPr>
          <w:ilvl w:val="0"/>
          <w:numId w:val="1"/>
        </w:numPr>
      </w:pPr>
      <w:r w:rsidRPr="00D50666">
        <w:t xml:space="preserve">Något dokument har ännu inte inkommit. </w:t>
      </w:r>
    </w:p>
    <w:p w:rsidR="0078011C" w:rsidRPr="00D50666" w:rsidRDefault="0078011C" w:rsidP="00D50666">
      <w:pPr>
        <w:pStyle w:val="RKnormal"/>
      </w:pPr>
    </w:p>
    <w:p w:rsidR="0078011C" w:rsidRPr="00D50666" w:rsidRDefault="0078011C" w:rsidP="00D50666">
      <w:pPr>
        <w:pStyle w:val="RKnormal"/>
        <w:rPr>
          <w:b/>
        </w:rPr>
      </w:pPr>
      <w:r w:rsidRPr="00D50666">
        <w:rPr>
          <w:b/>
        </w:rPr>
        <w:t>Tidigare behandling i EU-nämnden</w:t>
      </w:r>
    </w:p>
    <w:p w:rsidR="0078011C" w:rsidRPr="00D50666" w:rsidRDefault="0078011C" w:rsidP="00D50666">
      <w:pPr>
        <w:pStyle w:val="RKnormal"/>
      </w:pPr>
      <w:r w:rsidRPr="00D50666">
        <w:t>De aktuella ärendena har behandlats i EU-nämnde</w:t>
      </w:r>
      <w:r>
        <w:t>n</w:t>
      </w:r>
      <w:r w:rsidRPr="00D50666">
        <w:t xml:space="preserve"> under 2012 och 2013. </w:t>
      </w:r>
    </w:p>
    <w:p w:rsidR="0078011C" w:rsidRPr="00D50666" w:rsidRDefault="0078011C" w:rsidP="00D50666">
      <w:pPr>
        <w:pStyle w:val="RKnormal"/>
        <w:rPr>
          <w:b/>
        </w:rPr>
      </w:pPr>
      <w:r w:rsidRPr="00D50666">
        <w:rPr>
          <w:b/>
        </w:rPr>
        <w:t xml:space="preserve">            </w:t>
      </w:r>
    </w:p>
    <w:p w:rsidR="0078011C" w:rsidRPr="00D50666" w:rsidRDefault="0078011C" w:rsidP="00D50666">
      <w:pPr>
        <w:pStyle w:val="RKnormal"/>
        <w:rPr>
          <w:b/>
        </w:rPr>
      </w:pPr>
      <w:r w:rsidRPr="00D50666">
        <w:rPr>
          <w:b/>
        </w:rPr>
        <w:t>Bakgrund</w:t>
      </w:r>
    </w:p>
    <w:p w:rsidR="0078011C" w:rsidRPr="00D50666" w:rsidRDefault="0078011C" w:rsidP="00D50666">
      <w:pPr>
        <w:pStyle w:val="RKnormal"/>
      </w:pPr>
      <w:r w:rsidRPr="00D50666">
        <w:t>Under det irländska ordförandeskapet har överläggningar om uppgörelser med Europaparlamen</w:t>
      </w:r>
      <w:r>
        <w:t>tet genomförts</w:t>
      </w:r>
      <w:r w:rsidRPr="00D50666">
        <w:t xml:space="preserve"> för en </w:t>
      </w:r>
      <w:r>
        <w:t xml:space="preserve">rad rättsakter. Detta gäller bland annat förslaget att inrätta Fonden för ett sammanlänkat Europa </w:t>
      </w:r>
      <w:r w:rsidRPr="00D50666">
        <w:t>som behandlas som en särskild dagordningspunkt</w:t>
      </w:r>
      <w:r>
        <w:t xml:space="preserve"> vid rådsmötet liksom tillhörande förslag om riktlinjer för transportinfrastruktur</w:t>
      </w:r>
      <w:r w:rsidRPr="00D50666">
        <w:t>. Dessutom har ordförandeskapet nått olika långt i överläggningarna med parlamentet om förslagen om ändring av förordningen färdskrivare vid vägtransporter, riktlinjer för de transeuropeiska transportnäten, ändringar i direktivet om hamnstatskontroll, ändringar i direktivet om flaggstatens ansvar, ändringar av direktivet om fritidsbåtar och förslaget till förordning om uppbyggnad och drift av de europeiska satellitnavigeringssystemen.</w:t>
      </w:r>
    </w:p>
    <w:p w:rsidR="0078011C" w:rsidRPr="00D50666" w:rsidRDefault="0078011C" w:rsidP="00D50666">
      <w:pPr>
        <w:pStyle w:val="RKnormal"/>
      </w:pPr>
    </w:p>
    <w:p w:rsidR="0078011C" w:rsidRPr="00D50666" w:rsidRDefault="0078011C" w:rsidP="00D50666">
      <w:pPr>
        <w:pStyle w:val="RKnormal"/>
      </w:pPr>
      <w:r w:rsidRPr="00D50666">
        <w:t>Ordförandeskapet kommer att lämna information om läget i fråga om behandlingen av dessa rättsakter.</w:t>
      </w:r>
    </w:p>
    <w:p w:rsidR="0078011C" w:rsidRPr="00D50666" w:rsidRDefault="0078011C" w:rsidP="00D50666">
      <w:pPr>
        <w:pStyle w:val="RKnormal"/>
      </w:pPr>
    </w:p>
    <w:p w:rsidR="0078011C" w:rsidRPr="00D50666" w:rsidRDefault="0078011C" w:rsidP="00D50666">
      <w:pPr>
        <w:pStyle w:val="RKnormal"/>
        <w:rPr>
          <w:b/>
        </w:rPr>
      </w:pPr>
      <w:r w:rsidRPr="00D50666">
        <w:rPr>
          <w:b/>
        </w:rPr>
        <w:t>Förslag till svensk ståndpunkt</w:t>
      </w:r>
    </w:p>
    <w:p w:rsidR="0078011C" w:rsidRDefault="0078011C" w:rsidP="00D50666">
      <w:pPr>
        <w:pStyle w:val="RKnormal"/>
      </w:pPr>
      <w:r>
        <w:t>Regeringen bör</w:t>
      </w:r>
      <w:r w:rsidRPr="00D50666">
        <w:t xml:space="preserve"> notera informationen. </w:t>
      </w:r>
    </w:p>
    <w:p w:rsidR="0078011C" w:rsidRDefault="0078011C" w:rsidP="00D50666">
      <w:pPr>
        <w:pStyle w:val="RKnormal"/>
      </w:pPr>
    </w:p>
    <w:p w:rsidR="0078011C" w:rsidRDefault="0078011C" w:rsidP="0088508D">
      <w:pPr>
        <w:pStyle w:val="RKnormal"/>
        <w:rPr>
          <w:b/>
        </w:rPr>
      </w:pPr>
    </w:p>
    <w:p w:rsidR="0078011C" w:rsidRDefault="0078011C" w:rsidP="0088508D">
      <w:pPr>
        <w:pStyle w:val="RKnormal"/>
        <w:rPr>
          <w:b/>
        </w:rPr>
      </w:pPr>
      <w:r w:rsidRPr="0088508D">
        <w:rPr>
          <w:b/>
        </w:rPr>
        <w:t>Dp 18 (c): Flygpassagerares rättigheter</w:t>
      </w:r>
    </w:p>
    <w:p w:rsidR="0078011C" w:rsidRPr="0088508D" w:rsidRDefault="0078011C" w:rsidP="0088508D">
      <w:pPr>
        <w:pStyle w:val="RKnormal"/>
        <w:rPr>
          <w:b/>
          <w:i/>
        </w:rPr>
      </w:pPr>
      <w:r w:rsidRPr="0088508D">
        <w:rPr>
          <w:b/>
        </w:rPr>
        <w:t xml:space="preserve"> </w:t>
      </w:r>
      <w:r w:rsidRPr="0088508D">
        <w:rPr>
          <w:b/>
          <w:i/>
        </w:rPr>
        <w:t>– presentation av kommissionen</w:t>
      </w:r>
    </w:p>
    <w:p w:rsidR="0078011C" w:rsidRDefault="0078011C" w:rsidP="0088508D">
      <w:pPr>
        <w:pStyle w:val="RKnormal"/>
        <w:rPr>
          <w:b/>
        </w:rPr>
      </w:pPr>
    </w:p>
    <w:p w:rsidR="0078011C" w:rsidRPr="00D90A24" w:rsidRDefault="0078011C" w:rsidP="0088508D">
      <w:pPr>
        <w:pStyle w:val="RKnormal"/>
      </w:pPr>
      <w:r>
        <w:rPr>
          <w:b/>
        </w:rPr>
        <w:t xml:space="preserve">Dokument: </w:t>
      </w:r>
      <w:r>
        <w:t>KOM (2013) 130 final</w:t>
      </w:r>
    </w:p>
    <w:p w:rsidR="0078011C" w:rsidRDefault="0078011C" w:rsidP="0088508D">
      <w:pPr>
        <w:pStyle w:val="RKnormal"/>
        <w:rPr>
          <w:b/>
        </w:rPr>
      </w:pPr>
    </w:p>
    <w:p w:rsidR="0078011C" w:rsidRPr="00745BB6" w:rsidRDefault="0078011C" w:rsidP="0088508D">
      <w:pPr>
        <w:pStyle w:val="RKnormal"/>
      </w:pPr>
      <w:r w:rsidRPr="001B504F">
        <w:rPr>
          <w:b/>
        </w:rPr>
        <w:t>Tidigare behandling i EU-nämnden:</w:t>
      </w:r>
      <w:r>
        <w:rPr>
          <w:b/>
        </w:rPr>
        <w:t xml:space="preserve"> </w:t>
      </w:r>
      <w:r>
        <w:t>Förslaget har ej tidigare behandlats i EU-nämnden.</w:t>
      </w:r>
    </w:p>
    <w:p w:rsidR="0078011C" w:rsidRDefault="0078011C" w:rsidP="0088508D">
      <w:pPr>
        <w:pStyle w:val="RKnormal"/>
        <w:rPr>
          <w:b/>
        </w:rPr>
      </w:pPr>
    </w:p>
    <w:p w:rsidR="0078011C" w:rsidRPr="0088508D" w:rsidRDefault="0078011C" w:rsidP="0088508D">
      <w:pPr>
        <w:pStyle w:val="RKnormal"/>
        <w:rPr>
          <w:b/>
        </w:rPr>
      </w:pPr>
      <w:r w:rsidRPr="0088508D">
        <w:rPr>
          <w:b/>
        </w:rPr>
        <w:t>Bakgrund</w:t>
      </w:r>
    </w:p>
    <w:p w:rsidR="0078011C" w:rsidRPr="0088508D" w:rsidRDefault="0078011C" w:rsidP="0088508D">
      <w:pPr>
        <w:pStyle w:val="RKnormal"/>
      </w:pPr>
      <w:r w:rsidRPr="0088508D">
        <w:t xml:space="preserve">Kommissionen har den 13 mars i år lämnat förslag om ändringar i två EU-förordningar som reglerar flygpassagerares rättigheter: förordning (EG) nr 261/2004 om fastställande av gemensamma regler om kompensation och assistans till passagerare vid nekad ombordstigning och inställda eller kraftigt försenade flygningar </w:t>
      </w:r>
      <w:r w:rsidRPr="0088508D">
        <w:rPr>
          <w:u w:val="single"/>
        </w:rPr>
        <w:t>samt</w:t>
      </w:r>
      <w:r w:rsidRPr="0088508D">
        <w:t xml:space="preserve"> förordning (EG) nr 2027/97 om lufttrafikföretags skadeståndsansvar avseende lufttransport av passagerare och deras bagage (COM[2013] 130 final). </w:t>
      </w:r>
    </w:p>
    <w:p w:rsidR="0078011C" w:rsidRPr="0088508D" w:rsidRDefault="0078011C" w:rsidP="0088508D">
      <w:pPr>
        <w:pStyle w:val="RKnormal"/>
      </w:pPr>
    </w:p>
    <w:p w:rsidR="0078011C" w:rsidRPr="0088508D" w:rsidRDefault="0078011C" w:rsidP="0088508D">
      <w:pPr>
        <w:pStyle w:val="RKnormal"/>
      </w:pPr>
      <w:r w:rsidRPr="002D27F4">
        <w:t>Regeringen lämnade den 26 april i år en faktapromemoria om kommissionens förslag (Översyn av flygpassagerares rättigheter 2012/13:FPM91) till riksdagen.</w:t>
      </w:r>
      <w:r>
        <w:t xml:space="preserve"> </w:t>
      </w:r>
      <w:r w:rsidRPr="0088508D">
        <w:t>Riksdagens civilutskott har informerats om kommissionens förslag den 23 maj 2013.</w:t>
      </w:r>
    </w:p>
    <w:p w:rsidR="0078011C" w:rsidRPr="0088508D" w:rsidRDefault="0078011C" w:rsidP="0088508D">
      <w:pPr>
        <w:pStyle w:val="RKnormal"/>
      </w:pPr>
    </w:p>
    <w:p w:rsidR="0078011C" w:rsidRPr="0088508D" w:rsidRDefault="0078011C" w:rsidP="0088508D">
      <w:pPr>
        <w:pStyle w:val="RKnormal"/>
      </w:pPr>
      <w:r w:rsidRPr="0088508D">
        <w:t>Förhandlingarna i rådet har ännu inte påbörjats. Avsikten är att kommissionen ska presentera sitt förslag vid TTE-rådet.</w:t>
      </w:r>
    </w:p>
    <w:p w:rsidR="0078011C" w:rsidRDefault="0078011C" w:rsidP="0088508D">
      <w:pPr>
        <w:pStyle w:val="RKnormal"/>
        <w:rPr>
          <w:b/>
        </w:rPr>
      </w:pPr>
    </w:p>
    <w:p w:rsidR="0078011C" w:rsidRDefault="0078011C" w:rsidP="0088508D">
      <w:pPr>
        <w:pStyle w:val="RKnormal"/>
        <w:rPr>
          <w:b/>
        </w:rPr>
      </w:pPr>
    </w:p>
    <w:p w:rsidR="0078011C" w:rsidRPr="0088508D" w:rsidRDefault="0078011C" w:rsidP="0088508D">
      <w:pPr>
        <w:pStyle w:val="RKnormal"/>
        <w:rPr>
          <w:b/>
        </w:rPr>
      </w:pPr>
      <w:r>
        <w:rPr>
          <w:b/>
        </w:rPr>
        <w:t>Förslag till svensk s</w:t>
      </w:r>
      <w:r w:rsidRPr="0088508D">
        <w:rPr>
          <w:b/>
        </w:rPr>
        <w:t>tåndpunkt</w:t>
      </w:r>
    </w:p>
    <w:p w:rsidR="0078011C" w:rsidRDefault="0078011C" w:rsidP="0088508D">
      <w:pPr>
        <w:pStyle w:val="RKnormal"/>
      </w:pPr>
      <w:r>
        <w:t>Regeringen</w:t>
      </w:r>
      <w:r w:rsidRPr="0088508D">
        <w:t xml:space="preserve"> </w:t>
      </w:r>
      <w:r>
        <w:t>bör notera</w:t>
      </w:r>
      <w:r w:rsidRPr="0088508D">
        <w:t xml:space="preserve"> informationen.</w:t>
      </w:r>
    </w:p>
    <w:p w:rsidR="0078011C" w:rsidRDefault="0078011C" w:rsidP="0088508D">
      <w:pPr>
        <w:pStyle w:val="RKnormal"/>
      </w:pPr>
    </w:p>
    <w:p w:rsidR="0078011C" w:rsidRDefault="0078011C" w:rsidP="000703D4">
      <w:pPr>
        <w:pStyle w:val="RKnormal"/>
        <w:rPr>
          <w:b/>
        </w:rPr>
      </w:pPr>
    </w:p>
    <w:p w:rsidR="0078011C" w:rsidRPr="000703D4" w:rsidRDefault="0078011C" w:rsidP="000703D4">
      <w:pPr>
        <w:pStyle w:val="RKnormal"/>
        <w:rPr>
          <w:b/>
        </w:rPr>
      </w:pPr>
      <w:r w:rsidRPr="000703D4">
        <w:rPr>
          <w:b/>
        </w:rPr>
        <w:t>d) översyn av hamnpolitiken</w:t>
      </w:r>
    </w:p>
    <w:p w:rsidR="0078011C" w:rsidRPr="000703D4" w:rsidRDefault="0078011C" w:rsidP="000703D4">
      <w:pPr>
        <w:pStyle w:val="RKnormal"/>
        <w:rPr>
          <w:b/>
          <w:i/>
        </w:rPr>
      </w:pPr>
      <w:r w:rsidRPr="000703D4">
        <w:rPr>
          <w:b/>
        </w:rPr>
        <w:t xml:space="preserve"> </w:t>
      </w:r>
      <w:r w:rsidRPr="000703D4">
        <w:rPr>
          <w:b/>
        </w:rPr>
        <w:tab/>
      </w:r>
      <w:r w:rsidRPr="000703D4">
        <w:rPr>
          <w:b/>
          <w:i/>
        </w:rPr>
        <w:t>- föredragning av kommissionen</w:t>
      </w:r>
    </w:p>
    <w:p w:rsidR="0078011C" w:rsidRPr="000703D4" w:rsidRDefault="0078011C" w:rsidP="000703D4">
      <w:pPr>
        <w:pStyle w:val="RKnormal"/>
      </w:pPr>
    </w:p>
    <w:p w:rsidR="0078011C" w:rsidRPr="000703D4" w:rsidRDefault="0078011C" w:rsidP="000703D4">
      <w:pPr>
        <w:pStyle w:val="RKnormal"/>
      </w:pPr>
      <w:r w:rsidRPr="000703D4">
        <w:rPr>
          <w:b/>
        </w:rPr>
        <w:t>Dokument:</w:t>
      </w:r>
      <w:r>
        <w:t xml:space="preserve"> K</w:t>
      </w:r>
      <w:r w:rsidRPr="000703D4">
        <w:t>OM(2013) 295 final</w:t>
      </w:r>
    </w:p>
    <w:p w:rsidR="0078011C" w:rsidRPr="000703D4" w:rsidRDefault="0078011C" w:rsidP="000703D4">
      <w:pPr>
        <w:pStyle w:val="RKnormal"/>
      </w:pPr>
    </w:p>
    <w:p w:rsidR="0078011C" w:rsidRPr="000703D4" w:rsidRDefault="0078011C" w:rsidP="000703D4">
      <w:pPr>
        <w:pStyle w:val="RKnormal"/>
      </w:pPr>
      <w:r w:rsidRPr="000703D4">
        <w:t>Har inte behandlats tidigare i EU-nämnden</w:t>
      </w:r>
    </w:p>
    <w:p w:rsidR="0078011C" w:rsidRPr="000703D4" w:rsidRDefault="0078011C" w:rsidP="000703D4">
      <w:pPr>
        <w:pStyle w:val="RKnormal"/>
      </w:pPr>
    </w:p>
    <w:p w:rsidR="0078011C" w:rsidRDefault="0078011C" w:rsidP="000703D4">
      <w:pPr>
        <w:pStyle w:val="RKnormal"/>
        <w:rPr>
          <w:b/>
        </w:rPr>
      </w:pPr>
    </w:p>
    <w:p w:rsidR="0078011C" w:rsidRPr="000703D4" w:rsidRDefault="0078011C" w:rsidP="000703D4">
      <w:pPr>
        <w:pStyle w:val="RKnormal"/>
        <w:rPr>
          <w:b/>
        </w:rPr>
      </w:pPr>
      <w:r w:rsidRPr="000703D4">
        <w:rPr>
          <w:b/>
        </w:rPr>
        <w:t>Bakgrund</w:t>
      </w:r>
    </w:p>
    <w:p w:rsidR="0078011C" w:rsidRPr="000703D4" w:rsidRDefault="0078011C" w:rsidP="000703D4">
      <w:pPr>
        <w:pStyle w:val="RKnormal"/>
      </w:pPr>
      <w:r w:rsidRPr="000703D4">
        <w:t>Hamnarna är Europas viktigaste inkörsportar då de hanterar 74 procent av den export och import som ska till eller från EU. Effektiviteten och kapaciteten varierar dock kraftigt mellan Europas hamnar. Det är därför nödvändigt att de olika hamntjänsterna optimeras för att på så vis öka kapaciteten i Europas hamnar.</w:t>
      </w:r>
    </w:p>
    <w:p w:rsidR="0078011C" w:rsidRPr="000703D4" w:rsidRDefault="0078011C" w:rsidP="000703D4">
      <w:pPr>
        <w:pStyle w:val="RKnormal"/>
      </w:pPr>
    </w:p>
    <w:p w:rsidR="0078011C" w:rsidRPr="000703D4" w:rsidRDefault="0078011C" w:rsidP="000703D4">
      <w:pPr>
        <w:pStyle w:val="RKnormal"/>
      </w:pPr>
      <w:r w:rsidRPr="000703D4">
        <w:t xml:space="preserve">Till skillnad från andra transportsektorer finns det nästan ingen EU-lagstiftning för hamnar som gäller tillgången till tjänster, finansiell insyn och infrastrukturavgifter. Hamnarna måste därför säkerställa att olika tjänster kan tillhandahållas utan diskriminering för att på så sätt få ett konkurrenskraftigt och öppet företagsklimat. </w:t>
      </w:r>
    </w:p>
    <w:p w:rsidR="0078011C" w:rsidRPr="000703D4" w:rsidRDefault="0078011C" w:rsidP="000703D4">
      <w:pPr>
        <w:pStyle w:val="RKnormal"/>
      </w:pPr>
    </w:p>
    <w:p w:rsidR="0078011C" w:rsidRDefault="0078011C" w:rsidP="000703D4">
      <w:pPr>
        <w:pStyle w:val="RKnormal"/>
      </w:pPr>
      <w:r w:rsidRPr="000703D4">
        <w:t xml:space="preserve">Marknadstillträdet måste vara öppet, proportionellt och icke-diskriminerande. Insynen i den offentliga finansieringen av hamnarna bör också förbättras för att bland annat undvika snedvridning av konkurrens. Även hur infrastrukturavgifterna ska fastställas i en hamn ska belysas ur olika perspektiv. </w:t>
      </w:r>
    </w:p>
    <w:p w:rsidR="0078011C" w:rsidRDefault="0078011C" w:rsidP="000703D4">
      <w:pPr>
        <w:pStyle w:val="RKnormal"/>
      </w:pPr>
    </w:p>
    <w:p w:rsidR="0078011C" w:rsidRDefault="0078011C" w:rsidP="000703D4">
      <w:pPr>
        <w:pStyle w:val="RKnormal"/>
        <w:rPr>
          <w:b/>
        </w:rPr>
      </w:pPr>
      <w:r w:rsidRPr="002C7702">
        <w:rPr>
          <w:b/>
        </w:rPr>
        <w:t>Förslag till svensk ståndpunkt</w:t>
      </w:r>
    </w:p>
    <w:p w:rsidR="0078011C" w:rsidRPr="002C7702" w:rsidRDefault="0078011C" w:rsidP="000703D4">
      <w:pPr>
        <w:pStyle w:val="RKnormal"/>
      </w:pPr>
      <w:r>
        <w:t>Regeringen bör notera informationen.</w:t>
      </w:r>
    </w:p>
    <w:p w:rsidR="0078011C" w:rsidRPr="0088508D" w:rsidRDefault="0078011C" w:rsidP="0088508D">
      <w:pPr>
        <w:pStyle w:val="RKnormal"/>
      </w:pPr>
    </w:p>
    <w:p w:rsidR="0078011C" w:rsidRPr="000703D4" w:rsidRDefault="0078011C" w:rsidP="000703D4">
      <w:pPr>
        <w:pStyle w:val="RKnormal"/>
        <w:rPr>
          <w:b/>
        </w:rPr>
      </w:pPr>
    </w:p>
    <w:p w:rsidR="0078011C" w:rsidRPr="000703D4" w:rsidRDefault="0078011C" w:rsidP="00325412">
      <w:pPr>
        <w:pStyle w:val="RKnormal"/>
        <w:rPr>
          <w:b/>
          <w:bCs/>
        </w:rPr>
      </w:pPr>
      <w:r>
        <w:rPr>
          <w:b/>
          <w:bCs/>
        </w:rPr>
        <w:t>e)Säkerhet för passagerarfartyg: lägesrapport och uppföljning</w:t>
      </w:r>
    </w:p>
    <w:p w:rsidR="0078011C" w:rsidRPr="000703D4" w:rsidRDefault="0078011C" w:rsidP="000703D4">
      <w:pPr>
        <w:pStyle w:val="RKnormal"/>
        <w:rPr>
          <w:bCs/>
          <w:i/>
        </w:rPr>
      </w:pPr>
      <w:r w:rsidRPr="000703D4">
        <w:rPr>
          <w:b/>
          <w:bCs/>
        </w:rPr>
        <w:t>-</w:t>
      </w:r>
      <w:r w:rsidRPr="000703D4">
        <w:rPr>
          <w:b/>
          <w:bCs/>
        </w:rPr>
        <w:tab/>
      </w:r>
      <w:r w:rsidRPr="000703D4">
        <w:rPr>
          <w:b/>
          <w:bCs/>
          <w:i/>
        </w:rPr>
        <w:t>Information från kommissionen</w:t>
      </w:r>
    </w:p>
    <w:p w:rsidR="0078011C" w:rsidRPr="000703D4" w:rsidRDefault="0078011C" w:rsidP="000703D4">
      <w:pPr>
        <w:pStyle w:val="RKnormal"/>
      </w:pPr>
    </w:p>
    <w:p w:rsidR="0078011C" w:rsidRPr="001B504F" w:rsidRDefault="0078011C" w:rsidP="000703D4">
      <w:pPr>
        <w:pStyle w:val="RKnormal"/>
      </w:pPr>
      <w:r w:rsidRPr="00325412">
        <w:rPr>
          <w:b/>
        </w:rPr>
        <w:t>Dokument:</w:t>
      </w:r>
      <w:r>
        <w:rPr>
          <w:b/>
        </w:rPr>
        <w:t xml:space="preserve"> </w:t>
      </w:r>
      <w:r>
        <w:t>10078/13 TRANS 266 MAR 60</w:t>
      </w:r>
    </w:p>
    <w:p w:rsidR="0078011C" w:rsidRDefault="0078011C" w:rsidP="000703D4">
      <w:pPr>
        <w:pStyle w:val="RKnormal"/>
        <w:rPr>
          <w:b/>
        </w:rPr>
      </w:pPr>
    </w:p>
    <w:p w:rsidR="0078011C" w:rsidRPr="001B504F" w:rsidRDefault="0078011C" w:rsidP="000703D4">
      <w:pPr>
        <w:pStyle w:val="RKnormal"/>
      </w:pPr>
      <w:r>
        <w:rPr>
          <w:b/>
        </w:rPr>
        <w:t xml:space="preserve">Tidigare behandling i EU-nämnden: </w:t>
      </w:r>
      <w:r>
        <w:t>Revideringen av direktivet har inte tidigare behandlats i EU-nämnden.</w:t>
      </w:r>
    </w:p>
    <w:p w:rsidR="0078011C" w:rsidRDefault="0078011C" w:rsidP="000703D4">
      <w:pPr>
        <w:pStyle w:val="RKnormal"/>
      </w:pPr>
    </w:p>
    <w:p w:rsidR="0078011C" w:rsidRPr="000703D4" w:rsidRDefault="0078011C" w:rsidP="000703D4">
      <w:pPr>
        <w:pStyle w:val="RKnormal"/>
      </w:pPr>
      <w:r w:rsidRPr="000703D4">
        <w:t xml:space="preserve">KOM kommer att redogöra för hur frågan om säkerheten på passagerarfartyg har diskuterats inom den Internationella sjöfartsorganisationen (IMO) och EU under året. </w:t>
      </w:r>
    </w:p>
    <w:p w:rsidR="0078011C" w:rsidRPr="000703D4" w:rsidRDefault="0078011C" w:rsidP="000703D4">
      <w:pPr>
        <w:pStyle w:val="RKnormal"/>
      </w:pPr>
    </w:p>
    <w:p w:rsidR="0078011C" w:rsidRPr="000703D4" w:rsidRDefault="0078011C" w:rsidP="000703D4">
      <w:pPr>
        <w:pStyle w:val="RKnormal"/>
      </w:pPr>
      <w:r w:rsidRPr="000703D4">
        <w:t xml:space="preserve">Efter olyckan med passagerarfartyget Costa Concordia uttryckte kommissionen tidigt på ett rådsarbetsgruppsmöte att man ville se gemensamma inlagor till IMO och samstämda initiativ från EU MS. </w:t>
      </w:r>
    </w:p>
    <w:p w:rsidR="0078011C" w:rsidRPr="000703D4" w:rsidRDefault="0078011C" w:rsidP="000703D4">
      <w:pPr>
        <w:pStyle w:val="RKnormal"/>
      </w:pPr>
    </w:p>
    <w:p w:rsidR="0078011C" w:rsidRPr="000703D4" w:rsidRDefault="0078011C" w:rsidP="000703D4">
      <w:pPr>
        <w:pStyle w:val="RKnormal"/>
      </w:pPr>
      <w:r w:rsidRPr="000703D4">
        <w:t xml:space="preserve">Kommissionen håller även på med en utvärdering av passagerarfartygsdirektivet 2009/45/EC och att ta fram ett förslag till nya regler för passagerarfartyg på nationell resa. Med revisionen vill man modernisera, förenkla och harmonisera bestämmelserna, stärka principen om en öppen marknad och anpassa regelverket framför allt för mindre passagerarfartyg. Datumet för förslagets utkomst har skjutits upp i omgångar.  </w:t>
      </w:r>
    </w:p>
    <w:p w:rsidR="0078011C" w:rsidRDefault="0078011C" w:rsidP="000703D4">
      <w:pPr>
        <w:pStyle w:val="RKnormal"/>
        <w:rPr>
          <w:b/>
        </w:rPr>
      </w:pPr>
    </w:p>
    <w:p w:rsidR="0078011C" w:rsidRDefault="0078011C" w:rsidP="000703D4">
      <w:pPr>
        <w:pStyle w:val="RKnormal"/>
        <w:rPr>
          <w:b/>
        </w:rPr>
      </w:pPr>
    </w:p>
    <w:p w:rsidR="0078011C" w:rsidRPr="000703D4" w:rsidRDefault="0078011C" w:rsidP="000703D4">
      <w:pPr>
        <w:pStyle w:val="RKnormal"/>
        <w:rPr>
          <w:b/>
        </w:rPr>
      </w:pPr>
      <w:r w:rsidRPr="000703D4">
        <w:rPr>
          <w:b/>
        </w:rPr>
        <w:t xml:space="preserve">Förslag till svensk position </w:t>
      </w:r>
    </w:p>
    <w:p w:rsidR="0078011C" w:rsidRPr="000703D4" w:rsidRDefault="0078011C" w:rsidP="000703D4">
      <w:pPr>
        <w:pStyle w:val="RKnormal"/>
      </w:pPr>
      <w:r>
        <w:t>Regeringen bör</w:t>
      </w:r>
      <w:r w:rsidRPr="000703D4">
        <w:t xml:space="preserve"> ta del av informationen</w:t>
      </w:r>
      <w:r>
        <w:t>.</w:t>
      </w:r>
      <w:r w:rsidRPr="000703D4">
        <w:t xml:space="preserve"> </w:t>
      </w:r>
    </w:p>
    <w:p w:rsidR="0078011C" w:rsidRDefault="0078011C" w:rsidP="00D50666">
      <w:pPr>
        <w:pStyle w:val="RKnormal"/>
      </w:pPr>
    </w:p>
    <w:p w:rsidR="0078011C" w:rsidRDefault="0078011C" w:rsidP="00D50666">
      <w:pPr>
        <w:pStyle w:val="RKnormal"/>
      </w:pPr>
    </w:p>
    <w:p w:rsidR="0078011C" w:rsidRPr="00DA648B" w:rsidRDefault="0078011C" w:rsidP="00DA648B">
      <w:pPr>
        <w:pStyle w:val="RKnormal"/>
        <w:rPr>
          <w:b/>
        </w:rPr>
      </w:pPr>
      <w:r w:rsidRPr="00DA648B">
        <w:rPr>
          <w:b/>
        </w:rPr>
        <w:t>18 f) – Pristransparens på luftfartsområdet</w:t>
      </w:r>
    </w:p>
    <w:p w:rsidR="0078011C" w:rsidRPr="00DA648B" w:rsidRDefault="0078011C" w:rsidP="00DA648B">
      <w:pPr>
        <w:pStyle w:val="RKnormal"/>
        <w:rPr>
          <w:b/>
        </w:rPr>
      </w:pPr>
    </w:p>
    <w:p w:rsidR="0078011C" w:rsidRPr="008707F7" w:rsidRDefault="0078011C" w:rsidP="00DA648B">
      <w:pPr>
        <w:pStyle w:val="RKnormal"/>
        <w:rPr>
          <w:b/>
          <w:i/>
        </w:rPr>
      </w:pPr>
      <w:r w:rsidRPr="008707F7">
        <w:rPr>
          <w:b/>
          <w:i/>
        </w:rPr>
        <w:t xml:space="preserve">- information från kommissionen </w:t>
      </w:r>
    </w:p>
    <w:p w:rsidR="0078011C" w:rsidRPr="00DA648B" w:rsidRDefault="0078011C" w:rsidP="00DA648B">
      <w:pPr>
        <w:pStyle w:val="RKnormal"/>
        <w:rPr>
          <w:i/>
        </w:rPr>
      </w:pPr>
    </w:p>
    <w:p w:rsidR="0078011C" w:rsidRPr="00DA648B" w:rsidRDefault="0078011C" w:rsidP="00DA648B">
      <w:pPr>
        <w:pStyle w:val="RKnormal"/>
      </w:pPr>
    </w:p>
    <w:p w:rsidR="0078011C" w:rsidRPr="001B0D95" w:rsidRDefault="0078011C" w:rsidP="00DA648B">
      <w:pPr>
        <w:pStyle w:val="RKnormal"/>
      </w:pPr>
      <w:r>
        <w:t>Dokument föreligger ännu ej.</w:t>
      </w:r>
    </w:p>
    <w:p w:rsidR="0078011C" w:rsidRDefault="0078011C" w:rsidP="00DA648B">
      <w:pPr>
        <w:pStyle w:val="RKnormal"/>
        <w:rPr>
          <w:b/>
        </w:rPr>
      </w:pPr>
    </w:p>
    <w:p w:rsidR="0078011C" w:rsidRPr="001B0D95" w:rsidRDefault="0078011C" w:rsidP="00DA648B">
      <w:pPr>
        <w:pStyle w:val="RKnormal"/>
      </w:pPr>
      <w:r>
        <w:t>Frågan har inte tidigare behandlats av EU-nämnden.</w:t>
      </w:r>
    </w:p>
    <w:p w:rsidR="0078011C" w:rsidRDefault="0078011C" w:rsidP="00DA648B">
      <w:pPr>
        <w:pStyle w:val="RKnormal"/>
        <w:rPr>
          <w:b/>
        </w:rPr>
      </w:pPr>
    </w:p>
    <w:p w:rsidR="0078011C" w:rsidRPr="00DA648B" w:rsidRDefault="0078011C" w:rsidP="00DA648B">
      <w:pPr>
        <w:pStyle w:val="RKnormal"/>
        <w:rPr>
          <w:b/>
        </w:rPr>
      </w:pPr>
      <w:r w:rsidRPr="00DA648B">
        <w:rPr>
          <w:b/>
        </w:rPr>
        <w:t>Bakgrund</w:t>
      </w:r>
    </w:p>
    <w:p w:rsidR="0078011C" w:rsidRPr="00DA648B" w:rsidRDefault="0078011C" w:rsidP="00DA648B">
      <w:pPr>
        <w:pStyle w:val="RKnormal"/>
      </w:pPr>
    </w:p>
    <w:p w:rsidR="0078011C" w:rsidRPr="00DA648B" w:rsidRDefault="0078011C" w:rsidP="00DA648B">
      <w:pPr>
        <w:pStyle w:val="RKnormal"/>
      </w:pPr>
      <w:r w:rsidRPr="00DA648B">
        <w:t>I ett brev nyligen till EU:s transportministrar har kommissionär Kallas understrukit vikten av en transparent prissättning när det gäller flygresor. Enligt kommissionen finns det brister beträffande efterlevnaden av bestämmelserna om transparent prissättning, som således bör förbättras. Det kan t.ex. handla om olika pristillägg, kreditkortsavgifter m.m. Syftet med reglerna om transparent prissättning är att flygbolag och resebyråer behandlar passagerarna rättvist och att konsumenterna kan göra välinformerade val och jämföra priser när de köper flygresor. Kommissionen har tillsatt en studie om hur gällande lagstiftning efterlevs och kommer att ta initiativ till ett fördjupat samarbete mellan kommissionen och de nationella tillsynsmyndigheterna.</w:t>
      </w:r>
    </w:p>
    <w:p w:rsidR="0078011C" w:rsidRPr="00DA648B" w:rsidRDefault="0078011C" w:rsidP="00DA648B">
      <w:pPr>
        <w:pStyle w:val="RKnormal"/>
      </w:pPr>
    </w:p>
    <w:p w:rsidR="0078011C" w:rsidRPr="00DA648B" w:rsidRDefault="0078011C" w:rsidP="00DA648B">
      <w:pPr>
        <w:pStyle w:val="RKnormal"/>
        <w:rPr>
          <w:b/>
        </w:rPr>
      </w:pPr>
      <w:r w:rsidRPr="00DA648B">
        <w:t>Kommissionen kommer att vid rådsmötet informera om situationen.</w:t>
      </w:r>
    </w:p>
    <w:p w:rsidR="0078011C" w:rsidRPr="00DA648B" w:rsidRDefault="0078011C" w:rsidP="00DA648B">
      <w:pPr>
        <w:pStyle w:val="RKnormal"/>
        <w:rPr>
          <w:b/>
        </w:rPr>
      </w:pPr>
    </w:p>
    <w:p w:rsidR="0078011C" w:rsidRPr="00DA648B" w:rsidRDefault="0078011C" w:rsidP="00DA648B">
      <w:pPr>
        <w:pStyle w:val="RKnormal"/>
        <w:rPr>
          <w:b/>
        </w:rPr>
      </w:pPr>
      <w:r w:rsidRPr="00DA648B">
        <w:rPr>
          <w:b/>
        </w:rPr>
        <w:t>Förslag till svensk ståndpunkt</w:t>
      </w:r>
    </w:p>
    <w:p w:rsidR="0078011C" w:rsidRPr="00DA648B" w:rsidRDefault="0078011C" w:rsidP="00DA648B">
      <w:pPr>
        <w:pStyle w:val="RKnormal"/>
        <w:rPr>
          <w:b/>
        </w:rPr>
      </w:pPr>
    </w:p>
    <w:p w:rsidR="0078011C" w:rsidRPr="00DA648B" w:rsidRDefault="0078011C" w:rsidP="00DA648B">
      <w:pPr>
        <w:pStyle w:val="RKnormal"/>
      </w:pPr>
      <w:r w:rsidRPr="00DA648B">
        <w:t>Regeringen bör notera informationen.</w:t>
      </w:r>
    </w:p>
    <w:p w:rsidR="0078011C" w:rsidRPr="00D50666" w:rsidRDefault="0078011C" w:rsidP="00D50666">
      <w:pPr>
        <w:pStyle w:val="RKnormal"/>
      </w:pPr>
    </w:p>
    <w:p w:rsidR="0078011C" w:rsidRDefault="0078011C" w:rsidP="00D50666">
      <w:pPr>
        <w:pStyle w:val="RKnormal"/>
        <w:rPr>
          <w:b/>
          <w:i/>
        </w:rPr>
      </w:pPr>
    </w:p>
    <w:p w:rsidR="0078011C" w:rsidRPr="00D50666" w:rsidRDefault="0078011C" w:rsidP="00D50666">
      <w:pPr>
        <w:pStyle w:val="RKnormal"/>
        <w:rPr>
          <w:b/>
          <w:i/>
        </w:rPr>
      </w:pPr>
      <w:r w:rsidRPr="00D50666">
        <w:rPr>
          <w:b/>
          <w:i/>
        </w:rPr>
        <w:t>g) Det inkommande ordförandeskapets arbetsprogram</w:t>
      </w:r>
    </w:p>
    <w:p w:rsidR="0078011C" w:rsidRPr="00D50666" w:rsidRDefault="0078011C" w:rsidP="00D50666">
      <w:pPr>
        <w:pStyle w:val="RKnormal"/>
        <w:rPr>
          <w:b/>
          <w:i/>
        </w:rPr>
      </w:pPr>
    </w:p>
    <w:p w:rsidR="0078011C" w:rsidRPr="00D50666" w:rsidRDefault="0078011C" w:rsidP="00D50666">
      <w:pPr>
        <w:pStyle w:val="RKnormal"/>
        <w:rPr>
          <w:b/>
        </w:rPr>
      </w:pPr>
      <w:r w:rsidRPr="00D50666">
        <w:rPr>
          <w:b/>
        </w:rPr>
        <w:t xml:space="preserve">Dokument: </w:t>
      </w:r>
    </w:p>
    <w:p w:rsidR="0078011C" w:rsidRPr="00D50666" w:rsidRDefault="0078011C" w:rsidP="00D50666">
      <w:pPr>
        <w:pStyle w:val="RKnormal"/>
        <w:numPr>
          <w:ilvl w:val="0"/>
          <w:numId w:val="1"/>
        </w:numPr>
      </w:pPr>
      <w:r w:rsidRPr="00D50666">
        <w:t xml:space="preserve">Något dokument har ännu inte inkommit. </w:t>
      </w:r>
    </w:p>
    <w:p w:rsidR="0078011C" w:rsidRDefault="0078011C" w:rsidP="00D50666">
      <w:pPr>
        <w:pStyle w:val="RKnormal"/>
        <w:rPr>
          <w:b/>
        </w:rPr>
      </w:pPr>
    </w:p>
    <w:p w:rsidR="0078011C" w:rsidRPr="00D50666" w:rsidRDefault="0078011C" w:rsidP="00D50666">
      <w:pPr>
        <w:pStyle w:val="RKnormal"/>
        <w:rPr>
          <w:b/>
        </w:rPr>
      </w:pPr>
      <w:r w:rsidRPr="00D50666">
        <w:rPr>
          <w:b/>
        </w:rPr>
        <w:t>Bakgrund</w:t>
      </w:r>
    </w:p>
    <w:p w:rsidR="0078011C" w:rsidRPr="00D50666" w:rsidRDefault="0078011C" w:rsidP="00D50666">
      <w:pPr>
        <w:pStyle w:val="RKnormal"/>
      </w:pPr>
      <w:r w:rsidRPr="00D50666">
        <w:t>Det är brukligt att det inkommande ordförandeskapet redogör för sina prioriteringar, vilka frågor man kommer att arbeta med i rådet under den kommande sexmånadersperioden och vad man vill uppnå. Nästa ordförande, Litauen, kommer att lämna en sådan redogörelse.</w:t>
      </w:r>
    </w:p>
    <w:p w:rsidR="0078011C" w:rsidRPr="00D50666" w:rsidRDefault="0078011C" w:rsidP="00D50666">
      <w:pPr>
        <w:pStyle w:val="RKnormal"/>
      </w:pPr>
    </w:p>
    <w:p w:rsidR="0078011C" w:rsidRPr="00D50666" w:rsidRDefault="0078011C" w:rsidP="00D50666">
      <w:pPr>
        <w:pStyle w:val="RKnormal"/>
      </w:pPr>
    </w:p>
    <w:p w:rsidR="0078011C" w:rsidRPr="00D50666" w:rsidRDefault="0078011C" w:rsidP="00D50666">
      <w:pPr>
        <w:pStyle w:val="RKnormal"/>
        <w:rPr>
          <w:b/>
        </w:rPr>
      </w:pPr>
      <w:r w:rsidRPr="00D50666">
        <w:rPr>
          <w:b/>
        </w:rPr>
        <w:t>Förslag till svensk ståndpunkt</w:t>
      </w:r>
    </w:p>
    <w:p w:rsidR="0078011C" w:rsidRPr="00196CC9" w:rsidRDefault="0078011C" w:rsidP="00D50666">
      <w:pPr>
        <w:pStyle w:val="RKnormal"/>
      </w:pPr>
      <w:r>
        <w:t>Regeringen bö</w:t>
      </w:r>
      <w:r w:rsidRPr="00D50666">
        <w:t>r notera informationen</w:t>
      </w:r>
    </w:p>
    <w:sectPr w:rsidR="0078011C" w:rsidRPr="00196CC9" w:rsidSect="00196CC9">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011C" w:rsidRDefault="0078011C">
      <w:r>
        <w:separator/>
      </w:r>
    </w:p>
  </w:endnote>
  <w:endnote w:type="continuationSeparator" w:id="0">
    <w:p w:rsidR="0078011C" w:rsidRDefault="007801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011C" w:rsidRDefault="0078011C">
      <w:r>
        <w:separator/>
      </w:r>
    </w:p>
  </w:footnote>
  <w:footnote w:type="continuationSeparator" w:id="0">
    <w:p w:rsidR="0078011C" w:rsidRDefault="007801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11C" w:rsidRDefault="0078011C" w:rsidP="00196CC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tbl>
    <w:tblPr>
      <w:tblW w:w="0" w:type="auto"/>
      <w:tblInd w:w="-1168" w:type="dxa"/>
      <w:tblLook w:val="0000"/>
    </w:tblPr>
    <w:tblGrid>
      <w:gridCol w:w="3119"/>
      <w:gridCol w:w="4111"/>
      <w:gridCol w:w="1525"/>
    </w:tblGrid>
    <w:tr w:rsidR="0078011C">
      <w:trPr>
        <w:cantSplit/>
      </w:trPr>
      <w:tc>
        <w:tcPr>
          <w:tcW w:w="3119" w:type="dxa"/>
        </w:tcPr>
        <w:p w:rsidR="0078011C" w:rsidRDefault="0078011C" w:rsidP="00196CC9">
          <w:pPr>
            <w:pStyle w:val="Header"/>
            <w:spacing w:line="200" w:lineRule="atLeast"/>
            <w:ind w:right="360" w:firstLine="360"/>
            <w:rPr>
              <w:rFonts w:ascii="TradeGothic" w:hAnsi="TradeGothic"/>
              <w:b/>
              <w:bCs/>
              <w:sz w:val="16"/>
            </w:rPr>
          </w:pPr>
        </w:p>
      </w:tc>
      <w:tc>
        <w:tcPr>
          <w:tcW w:w="4111" w:type="dxa"/>
          <w:tcMar>
            <w:left w:w="567" w:type="dxa"/>
          </w:tcMar>
        </w:tcPr>
        <w:p w:rsidR="0078011C" w:rsidRDefault="0078011C">
          <w:pPr>
            <w:pStyle w:val="Header"/>
            <w:ind w:right="360"/>
          </w:pPr>
        </w:p>
      </w:tc>
      <w:tc>
        <w:tcPr>
          <w:tcW w:w="1525" w:type="dxa"/>
        </w:tcPr>
        <w:p w:rsidR="0078011C" w:rsidRDefault="0078011C">
          <w:pPr>
            <w:pStyle w:val="Header"/>
            <w:ind w:right="360"/>
          </w:pPr>
        </w:p>
      </w:tc>
    </w:tr>
  </w:tbl>
  <w:p w:rsidR="0078011C" w:rsidRDefault="0078011C">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11C" w:rsidRDefault="0078011C" w:rsidP="00196CC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tbl>
    <w:tblPr>
      <w:tblW w:w="0" w:type="auto"/>
      <w:tblInd w:w="-1168" w:type="dxa"/>
      <w:tblLook w:val="0000"/>
    </w:tblPr>
    <w:tblGrid>
      <w:gridCol w:w="3119"/>
      <w:gridCol w:w="4111"/>
      <w:gridCol w:w="1525"/>
    </w:tblGrid>
    <w:tr w:rsidR="0078011C">
      <w:trPr>
        <w:cantSplit/>
      </w:trPr>
      <w:tc>
        <w:tcPr>
          <w:tcW w:w="3119" w:type="dxa"/>
        </w:tcPr>
        <w:p w:rsidR="0078011C" w:rsidRDefault="0078011C" w:rsidP="00196CC9">
          <w:pPr>
            <w:pStyle w:val="Header"/>
            <w:spacing w:line="200" w:lineRule="atLeast"/>
            <w:ind w:right="360" w:firstLine="360"/>
            <w:rPr>
              <w:rFonts w:ascii="TradeGothic" w:hAnsi="TradeGothic"/>
              <w:b/>
              <w:bCs/>
              <w:sz w:val="16"/>
            </w:rPr>
          </w:pPr>
        </w:p>
      </w:tc>
      <w:tc>
        <w:tcPr>
          <w:tcW w:w="4111" w:type="dxa"/>
          <w:tcMar>
            <w:left w:w="567" w:type="dxa"/>
          </w:tcMar>
        </w:tcPr>
        <w:p w:rsidR="0078011C" w:rsidRDefault="0078011C">
          <w:pPr>
            <w:pStyle w:val="Header"/>
            <w:ind w:right="360"/>
          </w:pPr>
        </w:p>
      </w:tc>
      <w:tc>
        <w:tcPr>
          <w:tcW w:w="1525" w:type="dxa"/>
        </w:tcPr>
        <w:p w:rsidR="0078011C" w:rsidRDefault="0078011C">
          <w:pPr>
            <w:pStyle w:val="Header"/>
            <w:ind w:right="360"/>
          </w:pPr>
        </w:p>
      </w:tc>
    </w:tr>
  </w:tbl>
  <w:p w:rsidR="0078011C" w:rsidRDefault="0078011C">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11C" w:rsidRDefault="0078011C">
    <w:pPr>
      <w:framePr w:w="2948" w:h="1321" w:hRule="exact" w:wrap="notBeside" w:vAnchor="page" w:hAnchor="page" w:x="1362" w:y="653"/>
    </w:pPr>
    <w:r w:rsidRPr="00C16AC7">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78011C" w:rsidRPr="00196CC9" w:rsidRDefault="0078011C">
    <w:pPr>
      <w:pStyle w:val="RKrubrik"/>
      <w:keepNext w:val="0"/>
      <w:tabs>
        <w:tab w:val="clear" w:pos="1134"/>
        <w:tab w:val="clear" w:pos="2835"/>
      </w:tabs>
      <w:spacing w:before="0" w:after="0" w:line="320" w:lineRule="atLeast"/>
      <w:rPr>
        <w:bCs/>
      </w:rPr>
    </w:pPr>
  </w:p>
  <w:p w:rsidR="0078011C" w:rsidRPr="00196CC9" w:rsidRDefault="0078011C">
    <w:pPr>
      <w:rPr>
        <w:rFonts w:ascii="TradeGothic" w:hAnsi="TradeGothic"/>
        <w:b/>
        <w:bCs/>
        <w:spacing w:val="12"/>
        <w:sz w:val="22"/>
      </w:rPr>
    </w:pPr>
  </w:p>
  <w:p w:rsidR="0078011C" w:rsidRPr="00196CC9" w:rsidRDefault="0078011C">
    <w:pPr>
      <w:pStyle w:val="RKrubrik"/>
      <w:keepNext w:val="0"/>
      <w:tabs>
        <w:tab w:val="clear" w:pos="1134"/>
        <w:tab w:val="clear" w:pos="2835"/>
      </w:tabs>
      <w:spacing w:before="0" w:after="0" w:line="320" w:lineRule="atLeast"/>
      <w:rPr>
        <w:bCs/>
      </w:rPr>
    </w:pPr>
  </w:p>
  <w:p w:rsidR="0078011C" w:rsidRPr="00196CC9" w:rsidRDefault="0078011C">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935BF"/>
    <w:multiLevelType w:val="hybridMultilevel"/>
    <w:tmpl w:val="E33AA3B0"/>
    <w:lvl w:ilvl="0" w:tplc="041D0017">
      <w:start w:val="5"/>
      <w:numFmt w:val="lowerLetter"/>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
    <w:nsid w:val="0C4448DF"/>
    <w:multiLevelType w:val="hybridMultilevel"/>
    <w:tmpl w:val="3C1A41BC"/>
    <w:lvl w:ilvl="0" w:tplc="041D0017">
      <w:start w:val="5"/>
      <w:numFmt w:val="lowerLetter"/>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
    <w:nsid w:val="3A2C5E70"/>
    <w:multiLevelType w:val="hybridMultilevel"/>
    <w:tmpl w:val="5AE8EC32"/>
    <w:lvl w:ilvl="0" w:tplc="D5AA78D0">
      <w:start w:val="2013"/>
      <w:numFmt w:val="bullet"/>
      <w:lvlText w:val="-"/>
      <w:lvlJc w:val="left"/>
      <w:pPr>
        <w:ind w:left="1069" w:hanging="360"/>
      </w:pPr>
      <w:rPr>
        <w:rFonts w:ascii="OrigGarmnd BT" w:eastAsia="Times New Roman" w:hAnsi="OrigGarmnd BT" w:hint="default"/>
      </w:rPr>
    </w:lvl>
    <w:lvl w:ilvl="1" w:tplc="041D0003">
      <w:start w:val="1"/>
      <w:numFmt w:val="bullet"/>
      <w:lvlText w:val="o"/>
      <w:lvlJc w:val="left"/>
      <w:pPr>
        <w:ind w:left="1789" w:hanging="360"/>
      </w:pPr>
      <w:rPr>
        <w:rFonts w:ascii="Courier New" w:hAnsi="Courier New" w:hint="default"/>
      </w:rPr>
    </w:lvl>
    <w:lvl w:ilvl="2" w:tplc="041D0005">
      <w:start w:val="1"/>
      <w:numFmt w:val="bullet"/>
      <w:lvlText w:val=""/>
      <w:lvlJc w:val="left"/>
      <w:pPr>
        <w:ind w:left="2509" w:hanging="360"/>
      </w:pPr>
      <w:rPr>
        <w:rFonts w:ascii="Wingdings" w:hAnsi="Wingdings" w:hint="default"/>
      </w:rPr>
    </w:lvl>
    <w:lvl w:ilvl="3" w:tplc="041D0001">
      <w:start w:val="1"/>
      <w:numFmt w:val="bullet"/>
      <w:lvlText w:val=""/>
      <w:lvlJc w:val="left"/>
      <w:pPr>
        <w:ind w:left="3229" w:hanging="360"/>
      </w:pPr>
      <w:rPr>
        <w:rFonts w:ascii="Symbol" w:hAnsi="Symbol" w:hint="default"/>
      </w:rPr>
    </w:lvl>
    <w:lvl w:ilvl="4" w:tplc="041D0003">
      <w:start w:val="1"/>
      <w:numFmt w:val="bullet"/>
      <w:lvlText w:val="o"/>
      <w:lvlJc w:val="left"/>
      <w:pPr>
        <w:ind w:left="3949" w:hanging="360"/>
      </w:pPr>
      <w:rPr>
        <w:rFonts w:ascii="Courier New" w:hAnsi="Courier New" w:hint="default"/>
      </w:rPr>
    </w:lvl>
    <w:lvl w:ilvl="5" w:tplc="041D0005">
      <w:start w:val="1"/>
      <w:numFmt w:val="bullet"/>
      <w:lvlText w:val=""/>
      <w:lvlJc w:val="left"/>
      <w:pPr>
        <w:ind w:left="4669" w:hanging="360"/>
      </w:pPr>
      <w:rPr>
        <w:rFonts w:ascii="Wingdings" w:hAnsi="Wingdings" w:hint="default"/>
      </w:rPr>
    </w:lvl>
    <w:lvl w:ilvl="6" w:tplc="041D0001">
      <w:start w:val="1"/>
      <w:numFmt w:val="bullet"/>
      <w:lvlText w:val=""/>
      <w:lvlJc w:val="left"/>
      <w:pPr>
        <w:ind w:left="5389" w:hanging="360"/>
      </w:pPr>
      <w:rPr>
        <w:rFonts w:ascii="Symbol" w:hAnsi="Symbol" w:hint="default"/>
      </w:rPr>
    </w:lvl>
    <w:lvl w:ilvl="7" w:tplc="041D0003">
      <w:start w:val="1"/>
      <w:numFmt w:val="bullet"/>
      <w:lvlText w:val="o"/>
      <w:lvlJc w:val="left"/>
      <w:pPr>
        <w:ind w:left="6109" w:hanging="360"/>
      </w:pPr>
      <w:rPr>
        <w:rFonts w:ascii="Courier New" w:hAnsi="Courier New" w:hint="default"/>
      </w:rPr>
    </w:lvl>
    <w:lvl w:ilvl="8" w:tplc="041D0005">
      <w:start w:val="1"/>
      <w:numFmt w:val="bullet"/>
      <w:lvlText w:val=""/>
      <w:lvlJc w:val="left"/>
      <w:pPr>
        <w:ind w:left="6829" w:hanging="360"/>
      </w:pPr>
      <w:rPr>
        <w:rFonts w:ascii="Wingdings" w:hAnsi="Wingdings" w:hint="default"/>
      </w:rPr>
    </w:lvl>
  </w:abstractNum>
  <w:abstractNum w:abstractNumId="3">
    <w:nsid w:val="3F6414C0"/>
    <w:multiLevelType w:val="hybridMultilevel"/>
    <w:tmpl w:val="518259BC"/>
    <w:lvl w:ilvl="0" w:tplc="FE5227EE">
      <w:start w:val="17"/>
      <w:numFmt w:val="decimal"/>
      <w:lvlText w:val="%1."/>
      <w:lvlJc w:val="left"/>
      <w:pPr>
        <w:ind w:left="360" w:hanging="360"/>
      </w:pPr>
      <w:rPr>
        <w:rFonts w:cs="Times New Roman"/>
      </w:rPr>
    </w:lvl>
    <w:lvl w:ilvl="1" w:tplc="041D0019">
      <w:start w:val="1"/>
      <w:numFmt w:val="lowerLetter"/>
      <w:lvlText w:val="%2."/>
      <w:lvlJc w:val="left"/>
      <w:pPr>
        <w:ind w:left="1080" w:hanging="360"/>
      </w:pPr>
      <w:rPr>
        <w:rFonts w:cs="Times New Roman"/>
      </w:rPr>
    </w:lvl>
    <w:lvl w:ilvl="2" w:tplc="041D001B">
      <w:start w:val="1"/>
      <w:numFmt w:val="lowerRoman"/>
      <w:lvlText w:val="%3."/>
      <w:lvlJc w:val="right"/>
      <w:pPr>
        <w:ind w:left="1800" w:hanging="180"/>
      </w:pPr>
      <w:rPr>
        <w:rFonts w:cs="Times New Roman"/>
      </w:rPr>
    </w:lvl>
    <w:lvl w:ilvl="3" w:tplc="041D000F">
      <w:start w:val="1"/>
      <w:numFmt w:val="decimal"/>
      <w:lvlText w:val="%4."/>
      <w:lvlJc w:val="left"/>
      <w:pPr>
        <w:ind w:left="2520" w:hanging="360"/>
      </w:pPr>
      <w:rPr>
        <w:rFonts w:cs="Times New Roman"/>
      </w:rPr>
    </w:lvl>
    <w:lvl w:ilvl="4" w:tplc="041D0019">
      <w:start w:val="1"/>
      <w:numFmt w:val="lowerLetter"/>
      <w:lvlText w:val="%5."/>
      <w:lvlJc w:val="left"/>
      <w:pPr>
        <w:ind w:left="3240" w:hanging="360"/>
      </w:pPr>
      <w:rPr>
        <w:rFonts w:cs="Times New Roman"/>
      </w:rPr>
    </w:lvl>
    <w:lvl w:ilvl="5" w:tplc="041D001B">
      <w:start w:val="1"/>
      <w:numFmt w:val="lowerRoman"/>
      <w:lvlText w:val="%6."/>
      <w:lvlJc w:val="right"/>
      <w:pPr>
        <w:ind w:left="3960" w:hanging="180"/>
      </w:pPr>
      <w:rPr>
        <w:rFonts w:cs="Times New Roman"/>
      </w:rPr>
    </w:lvl>
    <w:lvl w:ilvl="6" w:tplc="041D000F">
      <w:start w:val="1"/>
      <w:numFmt w:val="decimal"/>
      <w:lvlText w:val="%7."/>
      <w:lvlJc w:val="left"/>
      <w:pPr>
        <w:ind w:left="4680" w:hanging="360"/>
      </w:pPr>
      <w:rPr>
        <w:rFonts w:cs="Times New Roman"/>
      </w:rPr>
    </w:lvl>
    <w:lvl w:ilvl="7" w:tplc="041D0019">
      <w:start w:val="1"/>
      <w:numFmt w:val="lowerLetter"/>
      <w:lvlText w:val="%8."/>
      <w:lvlJc w:val="left"/>
      <w:pPr>
        <w:ind w:left="5400" w:hanging="360"/>
      </w:pPr>
      <w:rPr>
        <w:rFonts w:cs="Times New Roman"/>
      </w:rPr>
    </w:lvl>
    <w:lvl w:ilvl="8" w:tplc="041D001B">
      <w:start w:val="1"/>
      <w:numFmt w:val="lowerRoman"/>
      <w:lvlText w:val="%9."/>
      <w:lvlJc w:val="right"/>
      <w:pPr>
        <w:ind w:left="6120" w:hanging="180"/>
      </w:pPr>
      <w:rPr>
        <w:rFonts w:cs="Times New Roman"/>
      </w:rPr>
    </w:lvl>
  </w:abstractNum>
  <w:abstractNum w:abstractNumId="4">
    <w:nsid w:val="77E672E6"/>
    <w:multiLevelType w:val="hybridMultilevel"/>
    <w:tmpl w:val="9E80102A"/>
    <w:lvl w:ilvl="0" w:tplc="4EBA8444">
      <w:start w:val="5"/>
      <w:numFmt w:val="lowerLetter"/>
      <w:lvlText w:val="%1)"/>
      <w:lvlJc w:val="left"/>
      <w:pPr>
        <w:ind w:left="1080" w:hanging="360"/>
      </w:pPr>
      <w:rPr>
        <w:rFonts w:cs="Times New Roman"/>
      </w:rPr>
    </w:lvl>
    <w:lvl w:ilvl="1" w:tplc="041D0019">
      <w:start w:val="1"/>
      <w:numFmt w:val="lowerLetter"/>
      <w:lvlText w:val="%2."/>
      <w:lvlJc w:val="left"/>
      <w:pPr>
        <w:ind w:left="1800" w:hanging="360"/>
      </w:pPr>
      <w:rPr>
        <w:rFonts w:cs="Times New Roman"/>
      </w:rPr>
    </w:lvl>
    <w:lvl w:ilvl="2" w:tplc="041D001B">
      <w:start w:val="1"/>
      <w:numFmt w:val="lowerRoman"/>
      <w:lvlText w:val="%3."/>
      <w:lvlJc w:val="right"/>
      <w:pPr>
        <w:ind w:left="2520" w:hanging="180"/>
      </w:pPr>
      <w:rPr>
        <w:rFonts w:cs="Times New Roman"/>
      </w:rPr>
    </w:lvl>
    <w:lvl w:ilvl="3" w:tplc="041D000F">
      <w:start w:val="1"/>
      <w:numFmt w:val="decimal"/>
      <w:lvlText w:val="%4."/>
      <w:lvlJc w:val="left"/>
      <w:pPr>
        <w:ind w:left="3240" w:hanging="360"/>
      </w:pPr>
      <w:rPr>
        <w:rFonts w:cs="Times New Roman"/>
      </w:rPr>
    </w:lvl>
    <w:lvl w:ilvl="4" w:tplc="041D0019">
      <w:start w:val="1"/>
      <w:numFmt w:val="lowerLetter"/>
      <w:lvlText w:val="%5."/>
      <w:lvlJc w:val="left"/>
      <w:pPr>
        <w:ind w:left="3960" w:hanging="360"/>
      </w:pPr>
      <w:rPr>
        <w:rFonts w:cs="Times New Roman"/>
      </w:rPr>
    </w:lvl>
    <w:lvl w:ilvl="5" w:tplc="041D001B">
      <w:start w:val="1"/>
      <w:numFmt w:val="lowerRoman"/>
      <w:lvlText w:val="%6."/>
      <w:lvlJc w:val="right"/>
      <w:pPr>
        <w:ind w:left="4680" w:hanging="180"/>
      </w:pPr>
      <w:rPr>
        <w:rFonts w:cs="Times New Roman"/>
      </w:rPr>
    </w:lvl>
    <w:lvl w:ilvl="6" w:tplc="041D000F">
      <w:start w:val="1"/>
      <w:numFmt w:val="decimal"/>
      <w:lvlText w:val="%7."/>
      <w:lvlJc w:val="left"/>
      <w:pPr>
        <w:ind w:left="5400" w:hanging="360"/>
      </w:pPr>
      <w:rPr>
        <w:rFonts w:cs="Times New Roman"/>
      </w:rPr>
    </w:lvl>
    <w:lvl w:ilvl="7" w:tplc="041D0019">
      <w:start w:val="1"/>
      <w:numFmt w:val="lowerLetter"/>
      <w:lvlText w:val="%8."/>
      <w:lvlJc w:val="left"/>
      <w:pPr>
        <w:ind w:left="6120" w:hanging="360"/>
      </w:pPr>
      <w:rPr>
        <w:rFonts w:cs="Times New Roman"/>
      </w:rPr>
    </w:lvl>
    <w:lvl w:ilvl="8" w:tplc="041D001B">
      <w:start w:val="1"/>
      <w:numFmt w:val="lowerRoman"/>
      <w:lvlText w:val="%9."/>
      <w:lvlJc w:val="right"/>
      <w:pPr>
        <w:ind w:left="6840" w:hanging="180"/>
      </w:pPr>
      <w:rPr>
        <w:rFonts w:cs="Times New Roman"/>
      </w:rPr>
    </w:lvl>
  </w:abstractNum>
  <w:num w:numId="1">
    <w:abstractNumId w:val="2"/>
  </w:num>
  <w:num w:numId="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cAdr" w:val="54"/>
    <w:docVar w:name="docDep" w:val="10"/>
    <w:docVar w:name="docSprak" w:val="0"/>
  </w:docVars>
  <w:rsids>
    <w:rsidRoot w:val="00196CC9"/>
    <w:rsid w:val="000209FF"/>
    <w:rsid w:val="00051EF5"/>
    <w:rsid w:val="000703D4"/>
    <w:rsid w:val="00095FC5"/>
    <w:rsid w:val="000B702F"/>
    <w:rsid w:val="000F52FC"/>
    <w:rsid w:val="00121FAE"/>
    <w:rsid w:val="001332A3"/>
    <w:rsid w:val="00150384"/>
    <w:rsid w:val="00160901"/>
    <w:rsid w:val="001805B7"/>
    <w:rsid w:val="00196CC9"/>
    <w:rsid w:val="00197C3B"/>
    <w:rsid w:val="001B0D95"/>
    <w:rsid w:val="001B504F"/>
    <w:rsid w:val="00241E68"/>
    <w:rsid w:val="00297ACD"/>
    <w:rsid w:val="002C7702"/>
    <w:rsid w:val="002D27F4"/>
    <w:rsid w:val="002F0377"/>
    <w:rsid w:val="00306D24"/>
    <w:rsid w:val="00325412"/>
    <w:rsid w:val="00367B1C"/>
    <w:rsid w:val="0040068B"/>
    <w:rsid w:val="0041211C"/>
    <w:rsid w:val="004A328D"/>
    <w:rsid w:val="0058748F"/>
    <w:rsid w:val="0058762B"/>
    <w:rsid w:val="006E4E11"/>
    <w:rsid w:val="00700D5E"/>
    <w:rsid w:val="007242A3"/>
    <w:rsid w:val="00745BB6"/>
    <w:rsid w:val="0078011C"/>
    <w:rsid w:val="007A6855"/>
    <w:rsid w:val="008707F7"/>
    <w:rsid w:val="0088508D"/>
    <w:rsid w:val="0092027A"/>
    <w:rsid w:val="00955E31"/>
    <w:rsid w:val="00992E72"/>
    <w:rsid w:val="009C1ED2"/>
    <w:rsid w:val="00A44F3F"/>
    <w:rsid w:val="00AF26D1"/>
    <w:rsid w:val="00B942C1"/>
    <w:rsid w:val="00BC7180"/>
    <w:rsid w:val="00BD39EE"/>
    <w:rsid w:val="00C01BF1"/>
    <w:rsid w:val="00C16AC7"/>
    <w:rsid w:val="00CC1E35"/>
    <w:rsid w:val="00CE3EA8"/>
    <w:rsid w:val="00D133D7"/>
    <w:rsid w:val="00D50666"/>
    <w:rsid w:val="00D727D5"/>
    <w:rsid w:val="00D77557"/>
    <w:rsid w:val="00D90A24"/>
    <w:rsid w:val="00DA648B"/>
    <w:rsid w:val="00E02A6D"/>
    <w:rsid w:val="00E35BC8"/>
    <w:rsid w:val="00E80146"/>
    <w:rsid w:val="00E904D0"/>
    <w:rsid w:val="00EC25F9"/>
    <w:rsid w:val="00ED583F"/>
    <w:rsid w:val="00F068FF"/>
    <w:rsid w:val="00F617F4"/>
    <w:rsid w:val="00F64D42"/>
    <w:rsid w:val="00FB5890"/>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377"/>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2F0377"/>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2F0377"/>
    <w:pPr>
      <w:spacing w:before="360"/>
      <w:outlineLvl w:val="1"/>
    </w:pPr>
  </w:style>
  <w:style w:type="paragraph" w:styleId="Heading3">
    <w:name w:val="heading 3"/>
    <w:basedOn w:val="Heading2"/>
    <w:next w:val="RKnormal"/>
    <w:link w:val="Heading3Char"/>
    <w:uiPriority w:val="99"/>
    <w:qFormat/>
    <w:rsid w:val="002F0377"/>
    <w:pPr>
      <w:spacing w:after="120" w:line="240" w:lineRule="atLeast"/>
      <w:outlineLvl w:val="2"/>
    </w:pPr>
    <w:rPr>
      <w:b w:val="0"/>
    </w:rPr>
  </w:style>
  <w:style w:type="paragraph" w:styleId="Heading4">
    <w:name w:val="heading 4"/>
    <w:basedOn w:val="Heading3"/>
    <w:next w:val="RKnormal"/>
    <w:link w:val="Heading4Char"/>
    <w:uiPriority w:val="99"/>
    <w:qFormat/>
    <w:rsid w:val="002F0377"/>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FD1"/>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097FD1"/>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097FD1"/>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097FD1"/>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2F0377"/>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2F0377"/>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097FD1"/>
    <w:rPr>
      <w:rFonts w:ascii="OrigGarmnd BT" w:hAnsi="OrigGarmnd BT"/>
      <w:sz w:val="24"/>
      <w:szCs w:val="20"/>
      <w:lang w:eastAsia="en-US"/>
    </w:rPr>
  </w:style>
  <w:style w:type="paragraph" w:styleId="Header">
    <w:name w:val="header"/>
    <w:basedOn w:val="Normal"/>
    <w:link w:val="HeaderChar"/>
    <w:uiPriority w:val="99"/>
    <w:rsid w:val="002F0377"/>
    <w:pPr>
      <w:tabs>
        <w:tab w:val="center" w:pos="4153"/>
        <w:tab w:val="right" w:pos="8306"/>
      </w:tabs>
    </w:pPr>
  </w:style>
  <w:style w:type="character" w:customStyle="1" w:styleId="HeaderChar">
    <w:name w:val="Header Char"/>
    <w:basedOn w:val="DefaultParagraphFont"/>
    <w:link w:val="Header"/>
    <w:uiPriority w:val="99"/>
    <w:semiHidden/>
    <w:rsid w:val="00097FD1"/>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2F0377"/>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2F0377"/>
    <w:rPr>
      <w:rFonts w:cs="Times New Roman"/>
    </w:rPr>
  </w:style>
  <w:style w:type="paragraph" w:styleId="BalloonText">
    <w:name w:val="Balloon Text"/>
    <w:basedOn w:val="Normal"/>
    <w:link w:val="BalloonTextChar"/>
    <w:uiPriority w:val="99"/>
    <w:rsid w:val="00196CC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196CC9"/>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011952097">
      <w:marLeft w:val="0"/>
      <w:marRight w:val="0"/>
      <w:marTop w:val="0"/>
      <w:marBottom w:val="0"/>
      <w:divBdr>
        <w:top w:val="none" w:sz="0" w:space="0" w:color="auto"/>
        <w:left w:val="none" w:sz="0" w:space="0" w:color="auto"/>
        <w:bottom w:val="none" w:sz="0" w:space="0" w:color="auto"/>
        <w:right w:val="none" w:sz="0" w:space="0" w:color="auto"/>
      </w:divBdr>
    </w:div>
    <w:div w:id="1011952098">
      <w:marLeft w:val="0"/>
      <w:marRight w:val="0"/>
      <w:marTop w:val="0"/>
      <w:marBottom w:val="0"/>
      <w:divBdr>
        <w:top w:val="none" w:sz="0" w:space="0" w:color="auto"/>
        <w:left w:val="none" w:sz="0" w:space="0" w:color="auto"/>
        <w:bottom w:val="none" w:sz="0" w:space="0" w:color="auto"/>
        <w:right w:val="none" w:sz="0" w:space="0" w:color="auto"/>
      </w:divBdr>
    </w:div>
    <w:div w:id="1011952099">
      <w:marLeft w:val="0"/>
      <w:marRight w:val="0"/>
      <w:marTop w:val="0"/>
      <w:marBottom w:val="0"/>
      <w:divBdr>
        <w:top w:val="none" w:sz="0" w:space="0" w:color="auto"/>
        <w:left w:val="none" w:sz="0" w:space="0" w:color="auto"/>
        <w:bottom w:val="none" w:sz="0" w:space="0" w:color="auto"/>
        <w:right w:val="none" w:sz="0" w:space="0" w:color="auto"/>
      </w:divBdr>
    </w:div>
    <w:div w:id="1011952100">
      <w:marLeft w:val="0"/>
      <w:marRight w:val="0"/>
      <w:marTop w:val="0"/>
      <w:marBottom w:val="0"/>
      <w:divBdr>
        <w:top w:val="none" w:sz="0" w:space="0" w:color="auto"/>
        <w:left w:val="none" w:sz="0" w:space="0" w:color="auto"/>
        <w:bottom w:val="none" w:sz="0" w:space="0" w:color="auto"/>
        <w:right w:val="none" w:sz="0" w:space="0" w:color="auto"/>
      </w:divBdr>
    </w:div>
    <w:div w:id="1011952101">
      <w:marLeft w:val="0"/>
      <w:marRight w:val="0"/>
      <w:marTop w:val="0"/>
      <w:marBottom w:val="0"/>
      <w:divBdr>
        <w:top w:val="none" w:sz="0" w:space="0" w:color="auto"/>
        <w:left w:val="none" w:sz="0" w:space="0" w:color="auto"/>
        <w:bottom w:val="none" w:sz="0" w:space="0" w:color="auto"/>
        <w:right w:val="none" w:sz="0" w:space="0" w:color="auto"/>
      </w:divBdr>
    </w:div>
    <w:div w:id="1011952102">
      <w:marLeft w:val="0"/>
      <w:marRight w:val="0"/>
      <w:marTop w:val="0"/>
      <w:marBottom w:val="0"/>
      <w:divBdr>
        <w:top w:val="none" w:sz="0" w:space="0" w:color="auto"/>
        <w:left w:val="none" w:sz="0" w:space="0" w:color="auto"/>
        <w:bottom w:val="none" w:sz="0" w:space="0" w:color="auto"/>
        <w:right w:val="none" w:sz="0" w:space="0" w:color="auto"/>
      </w:divBdr>
    </w:div>
    <w:div w:id="1011952103">
      <w:marLeft w:val="0"/>
      <w:marRight w:val="0"/>
      <w:marTop w:val="0"/>
      <w:marBottom w:val="0"/>
      <w:divBdr>
        <w:top w:val="none" w:sz="0" w:space="0" w:color="auto"/>
        <w:left w:val="none" w:sz="0" w:space="0" w:color="auto"/>
        <w:bottom w:val="none" w:sz="0" w:space="0" w:color="auto"/>
        <w:right w:val="none" w:sz="0" w:space="0" w:color="auto"/>
      </w:divBdr>
    </w:div>
    <w:div w:id="1011952104">
      <w:marLeft w:val="0"/>
      <w:marRight w:val="0"/>
      <w:marTop w:val="0"/>
      <w:marBottom w:val="0"/>
      <w:divBdr>
        <w:top w:val="none" w:sz="0" w:space="0" w:color="auto"/>
        <w:left w:val="none" w:sz="0" w:space="0" w:color="auto"/>
        <w:bottom w:val="none" w:sz="0" w:space="0" w:color="auto"/>
        <w:right w:val="none" w:sz="0" w:space="0" w:color="auto"/>
      </w:divBdr>
    </w:div>
    <w:div w:id="1011952105">
      <w:marLeft w:val="0"/>
      <w:marRight w:val="0"/>
      <w:marTop w:val="0"/>
      <w:marBottom w:val="0"/>
      <w:divBdr>
        <w:top w:val="none" w:sz="0" w:space="0" w:color="auto"/>
        <w:left w:val="none" w:sz="0" w:space="0" w:color="auto"/>
        <w:bottom w:val="none" w:sz="0" w:space="0" w:color="auto"/>
        <w:right w:val="none" w:sz="0" w:space="0" w:color="auto"/>
      </w:divBdr>
    </w:div>
    <w:div w:id="1011952106">
      <w:marLeft w:val="0"/>
      <w:marRight w:val="0"/>
      <w:marTop w:val="0"/>
      <w:marBottom w:val="0"/>
      <w:divBdr>
        <w:top w:val="none" w:sz="0" w:space="0" w:color="auto"/>
        <w:left w:val="none" w:sz="0" w:space="0" w:color="auto"/>
        <w:bottom w:val="none" w:sz="0" w:space="0" w:color="auto"/>
        <w:right w:val="none" w:sz="0" w:space="0" w:color="auto"/>
      </w:divBdr>
    </w:div>
    <w:div w:id="1011952107">
      <w:marLeft w:val="0"/>
      <w:marRight w:val="0"/>
      <w:marTop w:val="0"/>
      <w:marBottom w:val="0"/>
      <w:divBdr>
        <w:top w:val="none" w:sz="0" w:space="0" w:color="auto"/>
        <w:left w:val="none" w:sz="0" w:space="0" w:color="auto"/>
        <w:bottom w:val="none" w:sz="0" w:space="0" w:color="auto"/>
        <w:right w:val="none" w:sz="0" w:space="0" w:color="auto"/>
      </w:divBdr>
    </w:div>
    <w:div w:id="10119521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9</Pages>
  <Words>2231</Words>
  <Characters>14351</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Jenny Malmberg</dc:creator>
  <cp:keywords/>
  <dc:description/>
  <cp:lastModifiedBy>ha0808ab</cp:lastModifiedBy>
  <cp:revision>2</cp:revision>
  <cp:lastPrinted>2013-05-30T11:12:00Z</cp:lastPrinted>
  <dcterms:created xsi:type="dcterms:W3CDTF">2013-05-30T11:13:00Z</dcterms:created>
  <dcterms:modified xsi:type="dcterms:W3CDTF">2013-05-30T11:13:00Z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10;0;0;467</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0x01010053E1D612BA3F4E21AA250ECD751942B300CACADFE77341D845B81CC2022C55BFDF</vt:lpwstr>
  </property>
  <property fmtid="{D5CDD505-2E9C-101B-9397-08002B2CF9AE}" pid="6" name="_dlc_DocIdItemGuid">
    <vt:lpwstr>691e1c10-3136-4175-8682-7416dc5cfc2a</vt:lpwstr>
  </property>
  <property fmtid="{D5CDD505-2E9C-101B-9397-08002B2CF9AE}" pid="7" name="k46d94c0acf84ab9a79866a9d8b1905f">
    <vt:lpwstr/>
  </property>
  <property fmtid="{D5CDD505-2E9C-101B-9397-08002B2CF9AE}" pid="8" name="Nyckelord">
    <vt:lpwstr/>
  </property>
  <property fmtid="{D5CDD505-2E9C-101B-9397-08002B2CF9AE}" pid="9" name="RKOrdnaClass">
    <vt:lpwstr/>
  </property>
  <property fmtid="{D5CDD505-2E9C-101B-9397-08002B2CF9AE}" pid="10" name="Sekretess">
    <vt:lpwstr/>
  </property>
  <property fmtid="{D5CDD505-2E9C-101B-9397-08002B2CF9AE}" pid="11" name="TaxCatchAll">
    <vt:lpwstr/>
  </property>
  <property fmtid="{D5CDD505-2E9C-101B-9397-08002B2CF9AE}" pid="12" name="Diarienummer">
    <vt:lpwstr/>
  </property>
  <property fmtid="{D5CDD505-2E9C-101B-9397-08002B2CF9AE}" pid="13" name="RKOrdnaCheckInComment">
    <vt:lpwstr/>
  </property>
  <property fmtid="{D5CDD505-2E9C-101B-9397-08002B2CF9AE}" pid="14" name="c9cd366cc722410295b9eacffbd73909">
    <vt:lpwstr/>
  </property>
  <property fmtid="{D5CDD505-2E9C-101B-9397-08002B2CF9AE}" pid="15" name="_dlc_DocId">
    <vt:lpwstr>KWSQ2AKCCCHU-2-22389</vt:lpwstr>
  </property>
  <property fmtid="{D5CDD505-2E9C-101B-9397-08002B2CF9AE}" pid="16" name="_dlc_DocIdUrl">
    <vt:lpwstr>http://rkdhs-n/enhet/is/_layouts/DocIdRedir.aspx?ID=KWSQ2AKCCCHU-2-22389, KWSQ2AKCCCHU-2-22389</vt:lpwstr>
  </property>
</Properties>
</file>