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4D51">
        <w:tblPrEx>
          <w:tblCellMar>
            <w:top w:w="0" w:type="dxa"/>
            <w:left w:w="0" w:type="dxa"/>
            <w:bottom w:w="0" w:type="dxa"/>
            <w:right w:w="0" w:type="dxa"/>
          </w:tblCellMar>
        </w:tblPrEx>
        <w:trPr>
          <w:gridAfter w:val="2"/>
          <w:wAfter w:w="1758" w:type="dxa"/>
          <w:cantSplit/>
          <w:trHeight w:val="1320"/>
        </w:trPr>
        <w:tc>
          <w:tcPr>
            <w:tcW w:w="5897" w:type="dxa"/>
          </w:tcPr>
          <w:p w:rsidR="00BF3E13" w:rsidRPr="006D4D51" w:rsidRDefault="00BF3E13">
            <w:pPr>
              <w:pStyle w:val="HuvudRubrik"/>
            </w:pPr>
            <w:r w:rsidRPr="006D4D51">
              <w:t>Regeringskansliet</w:t>
            </w:r>
          </w:p>
          <w:p w:rsidR="00BF3E13" w:rsidRPr="006D4D51" w:rsidRDefault="00BF3E13">
            <w:pPr>
              <w:pStyle w:val="HuvudRubrik"/>
            </w:pPr>
            <w:r w:rsidRPr="006D4D51">
              <w:t>Faktapromemoria  2007/08:FPM31</w:t>
            </w:r>
          </w:p>
        </w:tc>
      </w:tr>
      <w:tr w:rsidR="00000000" w:rsidRPr="006D4D51">
        <w:tblPrEx>
          <w:tblCellMar>
            <w:top w:w="0" w:type="dxa"/>
            <w:left w:w="0" w:type="dxa"/>
            <w:bottom w:w="0" w:type="dxa"/>
            <w:right w:w="0" w:type="dxa"/>
          </w:tblCellMar>
        </w:tblPrEx>
        <w:trPr>
          <w:gridAfter w:val="2"/>
          <w:wAfter w:w="1758" w:type="dxa"/>
          <w:cantSplit/>
          <w:trHeight w:val="240"/>
        </w:trPr>
        <w:tc>
          <w:tcPr>
            <w:tcW w:w="5897" w:type="dxa"/>
          </w:tcPr>
          <w:p w:rsidR="00BF3E13" w:rsidRPr="006D4D51" w:rsidRDefault="00BF3E13">
            <w:pPr>
              <w:pStyle w:val="HuvudRubrik"/>
              <w:rPr>
                <w:sz w:val="28"/>
              </w:rPr>
            </w:pPr>
            <w:r w:rsidRPr="006D4D51">
              <w:t>Hamnpolitik</w:t>
            </w:r>
          </w:p>
        </w:tc>
      </w:tr>
      <w:tr w:rsidR="00000000" w:rsidRPr="006D4D51">
        <w:tblPrEx>
          <w:tblCellMar>
            <w:top w:w="0" w:type="dxa"/>
            <w:left w:w="0" w:type="dxa"/>
            <w:bottom w:w="0" w:type="dxa"/>
            <w:right w:w="0" w:type="dxa"/>
          </w:tblCellMar>
        </w:tblPrEx>
        <w:trPr>
          <w:cantSplit/>
          <w:trHeight w:val="285"/>
        </w:trPr>
        <w:tc>
          <w:tcPr>
            <w:tcW w:w="7655" w:type="dxa"/>
            <w:gridSpan w:val="3"/>
          </w:tcPr>
          <w:p w:rsidR="00BF3E13" w:rsidRPr="006D4D51" w:rsidRDefault="00BF3E13">
            <w:pPr>
              <w:pStyle w:val="Departement"/>
              <w:rPr>
                <w:sz w:val="28"/>
              </w:rPr>
            </w:pPr>
            <w:r w:rsidRPr="006D4D51">
              <w:t>Näringsdepartementet</w:t>
            </w:r>
          </w:p>
        </w:tc>
      </w:tr>
      <w:tr w:rsidR="00000000" w:rsidRPr="006D4D51">
        <w:tblPrEx>
          <w:tblCellMar>
            <w:top w:w="0" w:type="dxa"/>
            <w:left w:w="0" w:type="dxa"/>
            <w:bottom w:w="0" w:type="dxa"/>
            <w:right w:w="0" w:type="dxa"/>
          </w:tblCellMar>
        </w:tblPrEx>
        <w:trPr>
          <w:cantSplit/>
          <w:trHeight w:val="240"/>
        </w:trPr>
        <w:tc>
          <w:tcPr>
            <w:tcW w:w="7655" w:type="dxa"/>
            <w:gridSpan w:val="3"/>
          </w:tcPr>
          <w:p w:rsidR="00BF3E13" w:rsidRPr="006D4D51" w:rsidRDefault="00BF3E13">
            <w:pPr>
              <w:pStyle w:val="Dokumentdatum"/>
            </w:pPr>
            <w:r w:rsidRPr="006D4D51">
              <w:t>2007-12-03</w:t>
            </w:r>
          </w:p>
        </w:tc>
      </w:tr>
      <w:tr w:rsidR="00000000" w:rsidRPr="006D4D51">
        <w:tblPrEx>
          <w:tblCellMar>
            <w:top w:w="0" w:type="dxa"/>
            <w:left w:w="0" w:type="dxa"/>
            <w:bottom w:w="0" w:type="dxa"/>
            <w:right w:w="0" w:type="dxa"/>
          </w:tblCellMar>
        </w:tblPrEx>
        <w:trPr>
          <w:cantSplit/>
          <w:trHeight w:val="726"/>
        </w:trPr>
        <w:tc>
          <w:tcPr>
            <w:tcW w:w="7655" w:type="dxa"/>
            <w:gridSpan w:val="3"/>
            <w:vAlign w:val="bottom"/>
          </w:tcPr>
          <w:p w:rsidR="00BF3E13" w:rsidRPr="006D4D51" w:rsidRDefault="00BF3E13">
            <w:pPr>
              <w:pStyle w:val="Dokumentbeteckning"/>
            </w:pPr>
            <w:r w:rsidRPr="006D4D51">
              <w:t>Dokumentbeteckning</w:t>
            </w:r>
          </w:p>
        </w:tc>
      </w:tr>
      <w:tr w:rsidR="00000000" w:rsidRPr="006D4D51">
        <w:tblPrEx>
          <w:tblCellMar>
            <w:top w:w="0" w:type="dxa"/>
            <w:left w:w="0" w:type="dxa"/>
            <w:bottom w:w="0" w:type="dxa"/>
            <w:right w:w="0" w:type="dxa"/>
          </w:tblCellMar>
        </w:tblPrEx>
        <w:trPr>
          <w:gridAfter w:val="1"/>
          <w:wAfter w:w="1560" w:type="dxa"/>
          <w:trHeight w:val="120"/>
        </w:trPr>
        <w:tc>
          <w:tcPr>
            <w:tcW w:w="6095" w:type="dxa"/>
            <w:gridSpan w:val="2"/>
          </w:tcPr>
          <w:p w:rsidR="00BF3E13" w:rsidRPr="006D4D51" w:rsidRDefault="00BF3E13">
            <w:bookmarkStart w:id="0" w:name="KomNr"/>
            <w:bookmarkEnd w:id="0"/>
            <w:r w:rsidRPr="006D4D51">
              <w:t>KOM(2007) 616</w:t>
            </w:r>
          </w:p>
        </w:tc>
      </w:tr>
      <w:tr w:rsidR="00000000" w:rsidRPr="006D4D51">
        <w:tblPrEx>
          <w:tblCellMar>
            <w:top w:w="0" w:type="dxa"/>
            <w:left w:w="0" w:type="dxa"/>
            <w:bottom w:w="0" w:type="dxa"/>
            <w:right w:w="0" w:type="dxa"/>
          </w:tblCellMar>
        </w:tblPrEx>
        <w:trPr>
          <w:gridAfter w:val="1"/>
          <w:wAfter w:w="1560" w:type="dxa"/>
          <w:trHeight w:val="120"/>
        </w:trPr>
        <w:tc>
          <w:tcPr>
            <w:tcW w:w="6095" w:type="dxa"/>
            <w:gridSpan w:val="2"/>
          </w:tcPr>
          <w:p w:rsidR="00BF3E13" w:rsidRPr="006D4D51" w:rsidRDefault="00BF3E13">
            <w:pPr>
              <w:pStyle w:val="Dokumentbeteckning-titel"/>
            </w:pPr>
            <w:r w:rsidRPr="006D4D51">
              <w:t>Meddelande om en europeisk hamnpolitik</w:t>
            </w:r>
          </w:p>
        </w:tc>
      </w:tr>
      <w:tr w:rsidR="00000000" w:rsidRPr="006D4D51">
        <w:tblPrEx>
          <w:tblCellMar>
            <w:top w:w="0" w:type="dxa"/>
            <w:left w:w="0" w:type="dxa"/>
            <w:bottom w:w="0" w:type="dxa"/>
            <w:right w:w="0" w:type="dxa"/>
          </w:tblCellMar>
        </w:tblPrEx>
        <w:trPr>
          <w:gridAfter w:val="1"/>
          <w:wAfter w:w="1560" w:type="dxa"/>
          <w:trHeight w:val="120"/>
        </w:trPr>
        <w:tc>
          <w:tcPr>
            <w:tcW w:w="6095" w:type="dxa"/>
            <w:gridSpan w:val="2"/>
          </w:tcPr>
          <w:p w:rsidR="00BF3E13" w:rsidRPr="006D4D51" w:rsidRDefault="00BF3E13">
            <w:r w:rsidRPr="006D4D51">
              <w:t>SEC(2007) 1339</w:t>
            </w:r>
          </w:p>
        </w:tc>
      </w:tr>
      <w:tr w:rsidR="00000000" w:rsidRPr="006D4D51">
        <w:tblPrEx>
          <w:tblCellMar>
            <w:top w:w="0" w:type="dxa"/>
            <w:left w:w="0" w:type="dxa"/>
            <w:bottom w:w="0" w:type="dxa"/>
            <w:right w:w="0" w:type="dxa"/>
          </w:tblCellMar>
        </w:tblPrEx>
        <w:trPr>
          <w:gridAfter w:val="1"/>
          <w:wAfter w:w="1560" w:type="dxa"/>
          <w:trHeight w:val="120"/>
        </w:trPr>
        <w:tc>
          <w:tcPr>
            <w:tcW w:w="6095" w:type="dxa"/>
            <w:gridSpan w:val="2"/>
          </w:tcPr>
          <w:p w:rsidR="00BF3E13" w:rsidRPr="006D4D51" w:rsidRDefault="00BF3E13">
            <w:pPr>
              <w:pStyle w:val="Dokumentbeteckning-titel"/>
            </w:pPr>
            <w:r w:rsidRPr="006D4D51">
              <w:t xml:space="preserve"> </w:t>
            </w:r>
          </w:p>
        </w:tc>
      </w:tr>
      <w:tr w:rsidR="00000000" w:rsidRPr="006D4D51">
        <w:tblPrEx>
          <w:tblCellMar>
            <w:top w:w="0" w:type="dxa"/>
            <w:left w:w="0" w:type="dxa"/>
            <w:bottom w:w="0" w:type="dxa"/>
            <w:right w:w="0" w:type="dxa"/>
          </w:tblCellMar>
        </w:tblPrEx>
        <w:trPr>
          <w:gridAfter w:val="1"/>
          <w:wAfter w:w="1560" w:type="dxa"/>
          <w:trHeight w:val="120"/>
        </w:trPr>
        <w:tc>
          <w:tcPr>
            <w:tcW w:w="6095" w:type="dxa"/>
            <w:gridSpan w:val="2"/>
          </w:tcPr>
          <w:p w:rsidR="00BF3E13" w:rsidRPr="006D4D51" w:rsidRDefault="00BF3E13">
            <w:r w:rsidRPr="006D4D51">
              <w:t>SEC(2007) 1340</w:t>
            </w:r>
          </w:p>
        </w:tc>
      </w:tr>
      <w:tr w:rsidR="00000000" w:rsidRPr="006D4D51">
        <w:tblPrEx>
          <w:tblCellMar>
            <w:top w:w="0" w:type="dxa"/>
            <w:left w:w="0" w:type="dxa"/>
            <w:bottom w:w="0" w:type="dxa"/>
            <w:right w:w="0" w:type="dxa"/>
          </w:tblCellMar>
        </w:tblPrEx>
        <w:trPr>
          <w:gridAfter w:val="1"/>
          <w:wAfter w:w="1560" w:type="dxa"/>
          <w:trHeight w:val="120"/>
        </w:trPr>
        <w:tc>
          <w:tcPr>
            <w:tcW w:w="6095" w:type="dxa"/>
            <w:gridSpan w:val="2"/>
          </w:tcPr>
          <w:p w:rsidR="00BF3E13" w:rsidRPr="006D4D51" w:rsidRDefault="00BF3E13">
            <w:pPr>
              <w:pStyle w:val="Dokumentbeteckning-titel"/>
            </w:pPr>
            <w:r w:rsidRPr="006D4D51">
              <w:t xml:space="preserve"> </w:t>
            </w:r>
          </w:p>
        </w:tc>
      </w:tr>
    </w:tbl>
    <w:p w:rsidR="00BF3E13" w:rsidRPr="006D4D51" w:rsidRDefault="00BF3E13"/>
    <w:p w:rsidR="00BF3E13" w:rsidRPr="006D4D51" w:rsidRDefault="00BF3E13">
      <w:pPr>
        <w:pStyle w:val="Rubrik1"/>
        <w:numPr>
          <w:ilvl w:val="0"/>
          <w:numId w:val="0"/>
        </w:numPr>
      </w:pPr>
      <w:r w:rsidRPr="006D4D51">
        <w:t>Sammanfattning</w:t>
      </w:r>
    </w:p>
    <w:p w:rsidR="00BF3E13" w:rsidRPr="006D4D51" w:rsidRDefault="00BF3E13">
      <w:r w:rsidRPr="006D4D51">
        <w:t>Meddelandet innehåller kommissionens handlingsplan med förslag till åtgärder som syftar till att på olika sätt stärka EU:s hamnstruktur. Meddelandet innehåller inga skarpa förslag utan endast en beskrivning inom vilka sakområden kommissionen avser att mer specifikt återkomma till de närmaste två åren. Cirka 90 procent av EU:s internationella handel går genom någon av Europas mer än 1200 hamnar. Därför är det av stor vikt att det europeiska hamnsystemet kan utvecklas på ett sådant sätt att det ökande godsfl</w:t>
      </w:r>
      <w:r w:rsidRPr="006D4D51">
        <w:t>ödet kan omhändertas.</w:t>
      </w:r>
    </w:p>
    <w:p w:rsidR="00BF3E13" w:rsidRPr="006D4D51" w:rsidRDefault="00BF3E13">
      <w:r w:rsidRPr="006D4D51">
        <w:t>Handlingsplanen innehåller bland annat resonemang kring hur hamnarnas struktur ska kunna bli bättre, hur en kapacitetsutbyggnad ska kunna ske samtidigt som hänsyn tas till miljön, hur administrativa förenklingar ska kunna ske, hur tillämpligheten av gemenskapens bestämmelser ska kunna tydliggöras för operatörer och användare av olika hamntjänster, hur efterlevnaden av arbetarskydd i hamnar ska kunna stärkas samt hur regler som syftar till att konkurrensförutsättningarna mellan olika EU</w:t>
      </w:r>
      <w:r w:rsidRPr="006D4D51">
        <w:t>-hamnar är likvärdiga ska tydliggöras.</w:t>
      </w:r>
    </w:p>
    <w:p w:rsidR="00BF3E13" w:rsidRPr="006D4D51" w:rsidRDefault="00BF3E13">
      <w:r w:rsidRPr="006D4D51">
        <w:t>Regeringen har en grundläggande positiv syn på meddelandet.</w:t>
      </w:r>
    </w:p>
    <w:p w:rsidR="00BF3E13" w:rsidRPr="006D4D51" w:rsidRDefault="00BF3E13"/>
    <w:p w:rsidR="00BF3E13" w:rsidRPr="006D4D51" w:rsidRDefault="00BF3E13"/>
    <w:p w:rsidR="00BF3E13" w:rsidRPr="006D4D51" w:rsidRDefault="00BF3E13"/>
    <w:p w:rsidR="00BF3E13" w:rsidRPr="006D4D51" w:rsidRDefault="00BF3E13"/>
    <w:p w:rsidR="00BF3E13" w:rsidRPr="006D4D51" w:rsidRDefault="00BF3E13">
      <w:pPr>
        <w:pStyle w:val="Rubrik1"/>
      </w:pPr>
      <w:r w:rsidRPr="006D4D51">
        <w:t>Förslaget</w:t>
      </w:r>
    </w:p>
    <w:p w:rsidR="00BF3E13" w:rsidRPr="006D4D51" w:rsidRDefault="00BF3E13">
      <w:pPr>
        <w:pStyle w:val="Rubrik2"/>
      </w:pPr>
      <w:r w:rsidRPr="006D4D51">
        <w:t>Innehåll</w:t>
      </w:r>
    </w:p>
    <w:p w:rsidR="00BF3E13" w:rsidRPr="006D4D51" w:rsidRDefault="00BF3E13">
      <w:r w:rsidRPr="006D4D51">
        <w:t>Meddelandet innehåller en handlingsplan för Europeiska kommissionen som syftar till att skapa en effektivare hamnstruktur för EU:s hamnar. Meddelandet följer också upp de tankegångar som finns i meddelandet om en integrerad havspolitik KOM(2007)575.</w:t>
      </w:r>
    </w:p>
    <w:p w:rsidR="00BF3E13" w:rsidRPr="006D4D51" w:rsidRDefault="00BF3E13">
      <w:r w:rsidRPr="006D4D51">
        <w:t>Efterfrågan på internationella transporter ökar konstant vilket innebär en stor utmaning för de europeiska hamnarna. Huvudsyftet med meddelandet är att presentera åtgärder som skapar bättre förutsättningar för hamnarna att omhänderta de ökande godsmängderna samtidigt som miljö- och arbetarskyddet stärks. Följande åtgärder och sakområden uppmärksammas.</w:t>
      </w:r>
    </w:p>
    <w:p w:rsidR="00BF3E13" w:rsidRPr="006D4D51" w:rsidRDefault="00BF3E13">
      <w:pPr>
        <w:pStyle w:val="Rubrik3"/>
      </w:pPr>
      <w:r w:rsidRPr="006D4D51">
        <w:t>Förbättring av hamnarnas effektivitet</w:t>
      </w:r>
    </w:p>
    <w:p w:rsidR="00BF3E13" w:rsidRPr="006D4D51" w:rsidRDefault="00BF3E13">
      <w:r w:rsidRPr="006D4D51">
        <w:t>Det är nödvändigt att öka hamnarnas effektivitet och produktivitet samt att undersöka förutsättningarna att utveckla alternativa transportrutter för att på så sätt uppnå en bättre användning av alla befintliga hamnar. När ny hamnstruktur byggs bör dessa faktorer beaktas. Kommissionen anser att denna fråga bör hanteras av de regionala och nationella myndigheterna samt av marknaden. Kommissionen har dock för avsikt att i samband med halvtidsöversynen av det transeuropeiska transportnätet år 2010 att utvärder</w:t>
      </w:r>
      <w:r w:rsidRPr="006D4D51">
        <w:t>a hamnarnas behov av inlandsförbindelser och dess roll för att skapa ett välbalanserat nätverk av trafikflöden.</w:t>
      </w:r>
    </w:p>
    <w:p w:rsidR="00BF3E13" w:rsidRPr="006D4D51" w:rsidRDefault="00BF3E13">
      <w:pPr>
        <w:pStyle w:val="Rubrik3"/>
      </w:pPr>
      <w:r w:rsidRPr="006D4D51">
        <w:t>Miljöhänsyn vid utvecklande och förbättring av nya och befintliga hamnar</w:t>
      </w:r>
    </w:p>
    <w:p w:rsidR="00BF3E13" w:rsidRPr="006D4D51" w:rsidRDefault="00BF3E13">
      <w:r w:rsidRPr="006D4D51">
        <w:t xml:space="preserve">För att klara av den ökande godsmängden är det nödvändigt med kapacitetsutbyggnad samtidigt som hänsyn tas till miljön. I dagsläget finns det flera riktlinjer som rör genomförandet av olika miljödirektiv men kommissionen avser att även utfärda riktlinjer för tillämpningen av gemenskapens miljölagstiftning när det gäller hamnutveckling. </w:t>
      </w:r>
    </w:p>
    <w:p w:rsidR="00BF3E13" w:rsidRPr="006D4D51" w:rsidRDefault="00BF3E13">
      <w:pPr>
        <w:pStyle w:val="Rubrik3"/>
      </w:pPr>
      <w:r w:rsidRPr="006D4D51">
        <w:t>Kontroll av hur direktivet 2000/59/EG om mottagningsanordningar i hamn för fartygsgenererat avfall är genomfört</w:t>
      </w:r>
    </w:p>
    <w:p w:rsidR="00BF3E13" w:rsidRPr="006D4D51" w:rsidRDefault="00BF3E13">
      <w:r w:rsidRPr="006D4D51">
        <w:t>Kommissionen kommer, efter analys av dels medlemsstaternas rapportering om genomförandet av direktivet, dels Europeiska sjösäkerhetsbyråns inspektioner att samråda med berörda aktörer hur tillämpningen av direktivet kan förbättras. Kommissionen kommer därefter att presentera ett förslag.</w:t>
      </w:r>
    </w:p>
    <w:p w:rsidR="00BF3E13" w:rsidRPr="006D4D51" w:rsidRDefault="00BF3E13">
      <w:r w:rsidRPr="006D4D51">
        <w:t>Meddelandet betonar vikten av att hamnar som är belägna längs floder samråder med berörda parter om förvaltningen och deltar i utarbetandet av de förvaltningsplaner om avrinningsdistrikt som ska upprättas enligt Europaparlamentets och rådets direktiv 2000/60/EG om upprättande av en ram för gemenskapens åtgärder på vattenpolitikens område. Detsamma gäller för kusthamnar när det gäller exempelvis kvaliteten på kustvatten.</w:t>
      </w:r>
    </w:p>
    <w:p w:rsidR="00BF3E13" w:rsidRPr="006D4D51" w:rsidRDefault="00BF3E13">
      <w:pPr>
        <w:pStyle w:val="Rubrik3"/>
      </w:pPr>
      <w:r w:rsidRPr="006D4D51">
        <w:t>Minskade luftutsläpp</w:t>
      </w:r>
    </w:p>
    <w:p w:rsidR="00BF3E13" w:rsidRPr="006D4D51" w:rsidRDefault="00BF3E13">
      <w:r w:rsidRPr="006D4D51">
        <w:t>Luftkvaliteten är ett problem i de flesta större hamnar. Av denna anledning måste utsläppen från sjöfarten minskas och kommissionen avser därför att bidra med utarbetandet av åtgärder som syftar till att minska utsläppen i hamnar.</w:t>
      </w:r>
    </w:p>
    <w:p w:rsidR="00BF3E13" w:rsidRPr="006D4D51" w:rsidRDefault="00BF3E13">
      <w:pPr>
        <w:pStyle w:val="Rubrik3"/>
      </w:pPr>
      <w:r w:rsidRPr="006D4D51">
        <w:t>Förenklad administration och dokumenthantering</w:t>
      </w:r>
    </w:p>
    <w:p w:rsidR="00BF3E13" w:rsidRPr="006D4D51" w:rsidRDefault="00BF3E13">
      <w:r w:rsidRPr="006D4D51">
        <w:t xml:space="preserve"> För att underlätta det administrativa förfarandet för närsjöfarten avser kommissionen att införa ett papperslöst system för tull och handel där endast ett så kallat fönster behövs för inlämning av uppgifter. Här kan tilläggas att kommissionen i sitt meddelande En integrerad havspolitik för Europeiska unionen och i halvtidsöversynen av vitboken om transportpolitik aviserat att under 2008 kommer ett lagstiftningsförslag om inrättande av ett europeiskt område för sjötransporter utan hinder att presenteras. D</w:t>
      </w:r>
      <w:r w:rsidRPr="006D4D51">
        <w:t>et behövs även förenklad administration av den dokumenthantering som inte direkt berör närsjöfarten såsom klarering av dokument och tulldokument. Därför avser kommissionen att under 2009 offentliggöra ett dokument om en e-strategi för havet, e-maritime, som också ska bestå av ett fönster.</w:t>
      </w:r>
    </w:p>
    <w:p w:rsidR="00BF3E13" w:rsidRPr="006D4D51" w:rsidRDefault="00BF3E13">
      <w:pPr>
        <w:pStyle w:val="Rubrik3"/>
      </w:pPr>
      <w:r w:rsidRPr="006D4D51">
        <w:t>Forskning</w:t>
      </w:r>
    </w:p>
    <w:p w:rsidR="00BF3E13" w:rsidRPr="006D4D51" w:rsidRDefault="00BF3E13">
      <w:r w:rsidRPr="006D4D51">
        <w:t>Kommissionen konstaterar att EU:s ramprogram för forskning, särskilt sjunde ramprogrammet, stöder forskning och innovation som har betydelse för hamninfrastruktur och hamnarnas drift.</w:t>
      </w:r>
    </w:p>
    <w:p w:rsidR="00BF3E13" w:rsidRPr="006D4D51" w:rsidRDefault="00BF3E13">
      <w:pPr>
        <w:pStyle w:val="Rubrik3"/>
      </w:pPr>
      <w:r w:rsidRPr="006D4D51">
        <w:t>Förbättrad logistik</w:t>
      </w:r>
    </w:p>
    <w:p w:rsidR="00BF3E13" w:rsidRPr="006D4D51" w:rsidRDefault="00BF3E13">
      <w:r w:rsidRPr="006D4D51">
        <w:t xml:space="preserve">Effektiviteten i en transportkedja och dess knutpunkter som exempelvis en hamn är av avgörande betydelse för hur väl logistiken fungerar. Det finns redan i dag ett system med indikatorer för att förbättra varje enskilt transportslag. Det finns dock inget system som omfattar alla transportsätt och av den anledningen planerar kommissionen att senast före utgången av år 2009, tillsammans med aktörerna, utarbeta en uppsättning EU-indikatorer som kan specificeras ytterligare på lokal nivå. </w:t>
      </w:r>
    </w:p>
    <w:p w:rsidR="00BF3E13" w:rsidRPr="006D4D51" w:rsidRDefault="00BF3E13">
      <w:pPr>
        <w:pStyle w:val="Rubrik3"/>
      </w:pPr>
      <w:r w:rsidRPr="006D4D51">
        <w:t>Regler och riktlinjer för statligt stöd till hamnar</w:t>
      </w:r>
    </w:p>
    <w:p w:rsidR="00BF3E13" w:rsidRPr="006D4D51" w:rsidRDefault="00BF3E13">
      <w:r w:rsidRPr="006D4D51">
        <w:t xml:space="preserve">Spelreglerna måste vara lika för alla hamnarna då det finns konkurrens både mellan och inom hamnarna. I denna fråga är den offentliga finansieringen av hamnarna av avgörande betydelse. Kommissionen kommer därför att under 2008 att anta riktlinjer för statligt stöd till hamnar. </w:t>
      </w:r>
    </w:p>
    <w:p w:rsidR="00BF3E13" w:rsidRPr="006D4D51" w:rsidRDefault="00BF3E13">
      <w:r w:rsidRPr="006D4D51">
        <w:t>Vidare bör öppen information finnas som redovisar de offentliga medel som tillförs hamnarna. Det finns redan ett EG-direktiv om detta, kommissionens direktiv 2006/111/EG om insyn i de finansiella förbindelserna mellan medlemsstater och offentliga företag  samt i vissa företags ekonomiska verksamhet (kodifierad version), men det direktivet omfattar endast hamnar med en nettoomsättning om minst 40 miljoner euro per år. Kommissionen avser därför att vidta åtgärder för att utvidga bestämmelserna i direktivet t</w:t>
      </w:r>
      <w:r w:rsidRPr="006D4D51">
        <w:t>ill att omfatta alla handelshamnar oavsett årsomsättning vilket kommer att bidra till att åskådliggöra de finansiella flödena från medlemsstaternas offentliga myndigheter till hamnarna.</w:t>
      </w:r>
    </w:p>
    <w:p w:rsidR="00BF3E13" w:rsidRPr="006D4D51" w:rsidRDefault="00BF3E13">
      <w:pPr>
        <w:pStyle w:val="Rubrik3"/>
      </w:pPr>
      <w:r w:rsidRPr="006D4D51">
        <w:t>Hamntjänster</w:t>
      </w:r>
    </w:p>
    <w:p w:rsidR="00BF3E13" w:rsidRPr="006D4D51" w:rsidRDefault="00BF3E13">
      <w:r w:rsidRPr="006D4D51">
        <w:t>Hamnägaren kan antingen själv driva en terminal och bedriva verksamhet där eller överlämna uppgiften åt en annan part. I ett flertal länder sker det sistnämnda med hjälp av koncessioner. Kommissionen konstaterar att i dagsläget har EG ingen sekundärlagstiftning för tjänstekoncessioner när det gäller hamnar och terminalanläggningar men konstaterar samtidigt att i meddelandet om koncessioner från 2000 så innebär detta emellertid inte att koncessioner inte omfattas av fördragets bestämmelser och principer.</w:t>
      </w:r>
    </w:p>
    <w:p w:rsidR="00BF3E13" w:rsidRPr="006D4D51" w:rsidRDefault="00BF3E13">
      <w:r w:rsidRPr="006D4D51">
        <w:t>När det gäller teknisk-nautiska tjänster, dvs. lotsning, bogsering och förtöjning, konstateras att fördragets princip om etableringsfrihet gäller men att undantag från denna princip kan vara befogade om det är nödvändigt och står i proportion till tillhandahållandet av den berörda tjänsten.</w:t>
      </w:r>
    </w:p>
    <w:p w:rsidR="00BF3E13" w:rsidRPr="006D4D51" w:rsidRDefault="00BF3E13">
      <w:r w:rsidRPr="006D4D51">
        <w:t>När det gäller bemanningspooler i hamnar, alltså enheter som tillhandahåller personal till terminaloperatörerna, konstaterar kommissionen att fördragets bestämmelser om etableringsfrihet och frihet att tillhandahålla tjänster är tillämpliga.</w:t>
      </w:r>
    </w:p>
    <w:p w:rsidR="00BF3E13" w:rsidRPr="006D4D51" w:rsidRDefault="00BF3E13">
      <w:pPr>
        <w:pStyle w:val="Rubrik3"/>
      </w:pPr>
      <w:r w:rsidRPr="006D4D51">
        <w:t>Hamnavgifter</w:t>
      </w:r>
    </w:p>
    <w:p w:rsidR="00BF3E13" w:rsidRPr="006D4D51" w:rsidRDefault="00BF3E13">
      <w:r w:rsidRPr="006D4D51">
        <w:t>Vid anlöp till en hamn betalar redaren an hamnavgift för olika tjänster de köper av hamnägaren. Kommissionen anser att hamnavgiften måste redovisas tydligare, bland annat när det gäller vad som ingår i hamnavgiften. Kommission kommer att bidra med att sprida god praxis avseende öppet redovisade hamnavgifter.</w:t>
      </w:r>
    </w:p>
    <w:p w:rsidR="00BF3E13" w:rsidRPr="006D4D51" w:rsidRDefault="00BF3E13">
      <w:pPr>
        <w:pStyle w:val="Rubrik3"/>
      </w:pPr>
      <w:r w:rsidRPr="006D4D51">
        <w:t>Konkurrens mellan gemenskapens hamnar och hamnar i tredje länder</w:t>
      </w:r>
    </w:p>
    <w:p w:rsidR="00BF3E13" w:rsidRPr="006D4D51" w:rsidRDefault="00BF3E13">
      <w:r w:rsidRPr="006D4D51">
        <w:t>En del europeiska hamnar är oroade över den snedvridning av konkurrensen som finns mellan medlemsstaternas hamnar och hamnar i tredjeländer. Kommissionen kommer att kartlägga de problem som dykt upp för att vid behov kunna ta upp dem i samband med gemenskapens yttre förbindelser.</w:t>
      </w:r>
    </w:p>
    <w:p w:rsidR="00BF3E13" w:rsidRPr="006D4D51" w:rsidRDefault="00BF3E13">
      <w:pPr>
        <w:pStyle w:val="Rubrik3"/>
      </w:pPr>
      <w:r w:rsidRPr="006D4D51">
        <w:t>Allmänheten och hamnarna</w:t>
      </w:r>
    </w:p>
    <w:p w:rsidR="00BF3E13" w:rsidRPr="006D4D51" w:rsidRDefault="00BF3E13">
      <w:r w:rsidRPr="006D4D51">
        <w:t>Allmänhetens uppfattning om de europeiska hamnarna behöver förbättras  liksom tillgängligheten till och i hamnområdena. I meddelandet om den integrerade havspolitiken föreslogs att man ska genomföra en havets dag i Europa. Denna dag ska inleda en vecka av olika evenemang som syftar till att synliggöra den havsrelaterade sektorn och stärka dess anseende. I samband med detta evenemang föreslår kommissionen att Europas hamnar anordnar ett öppet hus vilket skulle ge allmänheten tillfälle att ta del av hamnarna</w:t>
      </w:r>
      <w:r w:rsidRPr="006D4D51">
        <w:t>s verksamhet. Kommissionen överväger också att i det pågående arbetet med uppföljningen av sjöfarts- och hamnskyddet se över möjligheterna om dessa regelverk kan kombineras med en rimlig grad av öppenhet och tillgänglighet till hamnområdena.</w:t>
      </w:r>
    </w:p>
    <w:p w:rsidR="00BF3E13" w:rsidRPr="006D4D51" w:rsidRDefault="00BF3E13">
      <w:pPr>
        <w:pStyle w:val="Rubrik3"/>
      </w:pPr>
      <w:r w:rsidRPr="006D4D51">
        <w:t>Ökad förståelse mellan parterna i hamnsektorn</w:t>
      </w:r>
    </w:p>
    <w:p w:rsidR="00BF3E13" w:rsidRPr="006D4D51" w:rsidRDefault="00BF3E13">
      <w:r w:rsidRPr="006D4D51">
        <w:t>Kommissionen anser att en dialog mellan hamnens olika aktörer avsevärt kan bidra till ökad förståelse mellan parterna och till ett framgångsrikt genomförande av de nödvändiga förändringarna. I synnerhet gäller detta för att kunna uppnå fler och mer kvalificerade arbetstillfällen inom hamnsektorn. Kommissionen kommer därför att verka för inrättandet av en europeisk branschvis dialogkommitté för arbetsmarknadens parter i hamnsektorn i enlighet med kommissionens beslut 98/500/EG.</w:t>
      </w:r>
    </w:p>
    <w:p w:rsidR="00BF3E13" w:rsidRPr="006D4D51" w:rsidRDefault="00BF3E13">
      <w:pPr>
        <w:pStyle w:val="Rubrik3"/>
      </w:pPr>
      <w:r w:rsidRPr="006D4D51">
        <w:t>Utbildning och arbetarskydd för hamnarbetare</w:t>
      </w:r>
    </w:p>
    <w:p w:rsidR="00BF3E13" w:rsidRPr="006D4D51" w:rsidRDefault="00BF3E13">
      <w:r w:rsidRPr="006D4D51">
        <w:t>I ramdirektivet 89/391/EEG finns bestämmelser om säkerhets- och arbetarskyddsrelaterad utbildning av arbetstagare. Det finns dock inga särskilda gemenskapsbestämmelser om utbildning för hamnarbetare. Kommissionen anser att hamnarbetarnas utbildning har blivit en avgörande faktor för säker och effektiv drift av hamnarna och därför kommer kommissionen att föreslå en ram för utbildning av hamnarbetare i olika delar av hamnverksamheten som kan erkännas ömsesidigt.</w:t>
      </w:r>
    </w:p>
    <w:p w:rsidR="00BF3E13" w:rsidRPr="006D4D51" w:rsidRDefault="00BF3E13">
      <w:r w:rsidRPr="006D4D51">
        <w:t xml:space="preserve">De allmänna arbetarskyddsbestämmelserna finns i ramdirektivet 89/391/EEG vilket har kompletterats med 19 särdirektiv som täcker enskilda sektorer och risker. De flesta av dessa direktiv är relevanta för hamnarbete. Kommissionen kommer med uppmärksamhet att följa tillämpningen av gemenskapens arbetarskyddsbestämmelser i hamnarna. </w:t>
      </w:r>
    </w:p>
    <w:p w:rsidR="00BF3E13" w:rsidRPr="006D4D51" w:rsidRDefault="00BF3E13">
      <w:r w:rsidRPr="006D4D51">
        <w:t>Kommissionen kommer också att följa upp att statistik om olyckor samlas in på ett korrekt enligt ESAW- och EODS metoden.</w:t>
      </w:r>
    </w:p>
    <w:p w:rsidR="00BF3E13" w:rsidRPr="006D4D51" w:rsidRDefault="00BF3E13">
      <w:pPr>
        <w:pStyle w:val="Rubrik2"/>
      </w:pPr>
      <w:r w:rsidRPr="006D4D51">
        <w:t>Gällande svenska regler och förslagets effekt på dessa</w:t>
      </w:r>
    </w:p>
    <w:p w:rsidR="00BF3E13" w:rsidRPr="006D4D51" w:rsidRDefault="00BF3E13">
      <w:r w:rsidRPr="006D4D51">
        <w:t xml:space="preserve">Hamnar och hamnarbete är ett relativt oreglerat område i svensk rätt. Särskilda regler finns dock om hamnavgifter, arbetarskyddsregler samt hamnskydd. Reglerna om hamnskydd grundas på EG-direktivet 2005/65 om ökat hamnskydd och är således ingen specifik nationell lagstiftning. Därutöver omfattas ett stort antal hamnanläggningar av EG-förordningen om sjöfartsskydd. Eftersom kommissionens meddelande inte innehåller några konkreta förslag är det inte möjligt att bedöma hur dessa regler skulle kunna komma att </w:t>
      </w:r>
      <w:r w:rsidRPr="006D4D51">
        <w:t>beröras.</w:t>
      </w:r>
    </w:p>
    <w:p w:rsidR="00BF3E13" w:rsidRPr="006D4D51" w:rsidRDefault="00BF3E13">
      <w:pPr>
        <w:pStyle w:val="Rubrik2"/>
      </w:pPr>
      <w:r w:rsidRPr="006D4D51">
        <w:t>Budgetära konsekvenser</w:t>
      </w:r>
    </w:p>
    <w:p w:rsidR="00BF3E13" w:rsidRPr="006D4D51" w:rsidRDefault="00BF3E13">
      <w:r w:rsidRPr="006D4D51">
        <w:t>Oklart i dagsläget.</w:t>
      </w:r>
    </w:p>
    <w:p w:rsidR="00BF3E13" w:rsidRPr="006D4D51" w:rsidRDefault="00BF3E13">
      <w:pPr>
        <w:pStyle w:val="Rubrik1"/>
      </w:pPr>
      <w:r w:rsidRPr="006D4D51">
        <w:t>Ståndpunkter</w:t>
      </w:r>
    </w:p>
    <w:p w:rsidR="00BF3E13" w:rsidRPr="006D4D51" w:rsidRDefault="00BF3E13">
      <w:pPr>
        <w:pStyle w:val="Rubrik2"/>
      </w:pPr>
      <w:r w:rsidRPr="006D4D51">
        <w:t>Svensk ståndpunkt</w:t>
      </w:r>
    </w:p>
    <w:p w:rsidR="00BF3E13" w:rsidRPr="006D4D51" w:rsidRDefault="00BF3E13">
      <w:r w:rsidRPr="006D4D51">
        <w:t>Regeringen anser att det är viktigt att stärka de europeiska hamnarnas effektivitet och konkurrenskraft. Detta ska ske samtidigt som ambitionsnivån ska öka när det gäller miljö- och säkerhetsfrågor inom hamnsektorn. Regeringen har således en grundläggande positiv syn på meddelandet.</w:t>
      </w:r>
    </w:p>
    <w:p w:rsidR="00BF3E13" w:rsidRPr="006D4D51" w:rsidRDefault="00BF3E13"/>
    <w:p w:rsidR="00BF3E13" w:rsidRPr="006D4D51" w:rsidRDefault="00BF3E13">
      <w:pPr>
        <w:pStyle w:val="Rubrik2"/>
      </w:pPr>
      <w:r w:rsidRPr="006D4D51">
        <w:t>Medlemsstaternas ståndpunkter</w:t>
      </w:r>
    </w:p>
    <w:p w:rsidR="00BF3E13" w:rsidRPr="006D4D51" w:rsidRDefault="00BF3E13">
      <w:r w:rsidRPr="006D4D51">
        <w:t>-</w:t>
      </w:r>
    </w:p>
    <w:p w:rsidR="00BF3E13" w:rsidRPr="006D4D51" w:rsidRDefault="00BF3E13">
      <w:pPr>
        <w:pStyle w:val="Rubrik2"/>
      </w:pPr>
      <w:r w:rsidRPr="006D4D51">
        <w:t>Institutionernas ståndpunkter</w:t>
      </w:r>
    </w:p>
    <w:p w:rsidR="00BF3E13" w:rsidRPr="006D4D51" w:rsidRDefault="00BF3E13">
      <w:r w:rsidRPr="006D4D51">
        <w:t>-</w:t>
      </w:r>
    </w:p>
    <w:p w:rsidR="00BF3E13" w:rsidRPr="006D4D51" w:rsidRDefault="00BF3E13">
      <w:pPr>
        <w:pStyle w:val="Rubrik2"/>
      </w:pPr>
      <w:r w:rsidRPr="006D4D51">
        <w:t>Remissinstansernas ståndpunkter</w:t>
      </w:r>
    </w:p>
    <w:p w:rsidR="00BF3E13" w:rsidRPr="006D4D51" w:rsidRDefault="00BF3E13">
      <w:r w:rsidRPr="006D4D51">
        <w:t>-</w:t>
      </w:r>
    </w:p>
    <w:p w:rsidR="00BF3E13" w:rsidRPr="006D4D51" w:rsidRDefault="00BF3E13">
      <w:pPr>
        <w:pStyle w:val="Rubrik1"/>
      </w:pPr>
      <w:r w:rsidRPr="006D4D51">
        <w:t>Övrigt</w:t>
      </w:r>
    </w:p>
    <w:p w:rsidR="00BF3E13" w:rsidRPr="006D4D51" w:rsidRDefault="00BF3E13">
      <w:pPr>
        <w:pStyle w:val="Rubrik2"/>
      </w:pPr>
      <w:r w:rsidRPr="006D4D51">
        <w:t>Fortsatt behandling av ärendet</w:t>
      </w:r>
    </w:p>
    <w:p w:rsidR="00BF3E13" w:rsidRPr="006D4D51" w:rsidRDefault="00BF3E13">
      <w:r w:rsidRPr="006D4D51">
        <w:t xml:space="preserve">Kommissionen har aviserat att de avser återkomma mer specifikt rörande de sakfrågor som beskrivs i meddelandet inom de närmaste två åren </w:t>
      </w:r>
    </w:p>
    <w:p w:rsidR="00BF3E13" w:rsidRPr="006D4D51" w:rsidRDefault="00BF3E13">
      <w:pPr>
        <w:pStyle w:val="Rubrik2"/>
      </w:pPr>
      <w:r w:rsidRPr="006D4D51">
        <w:t>Rättslig grund och beslutsförfarande</w:t>
      </w:r>
    </w:p>
    <w:p w:rsidR="00BF3E13" w:rsidRPr="006D4D51" w:rsidRDefault="00BF3E13">
      <w:r w:rsidRPr="006D4D51">
        <w:t>Rättslig grund utgörs av EG-fördragets artikel 80.2. Beslut fattas med kvalificerad majoritet efter beslutsförfarande i enlighet med artikel 251.</w:t>
      </w:r>
    </w:p>
    <w:p w:rsidR="00BF3E13" w:rsidRPr="006D4D51" w:rsidRDefault="00BF3E13">
      <w:pPr>
        <w:pStyle w:val="Rubrik2"/>
      </w:pPr>
      <w:r w:rsidRPr="006D4D51">
        <w:t>Fackuttryck/termer</w:t>
      </w:r>
    </w:p>
    <w:p w:rsidR="00BF3E13" w:rsidRPr="006D4D51" w:rsidRDefault="00BF3E13">
      <w:r w:rsidRPr="006D4D51">
        <w:t>EODS – European Occupational Diseases statistics</w:t>
      </w:r>
    </w:p>
    <w:p w:rsidR="00BF3E13" w:rsidRPr="006D4D51" w:rsidRDefault="00BF3E13">
      <w:r w:rsidRPr="006D4D51">
        <w:t>ESAW – European Statistics on Accidents at Work</w:t>
      </w:r>
    </w:p>
    <w:p w:rsidR="00BF3E13" w:rsidRPr="006D4D51" w:rsidRDefault="00BF3E13"/>
    <w:sectPr w:rsidR="00BF3E13" w:rsidRPr="006D4D5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E13" w:rsidRPr="006D4D51" w:rsidRDefault="00BF3E13">
      <w:r w:rsidRPr="006D4D51">
        <w:separator/>
      </w:r>
    </w:p>
  </w:endnote>
  <w:endnote w:type="continuationSeparator" w:id="0">
    <w:p w:rsidR="00BF3E13" w:rsidRPr="006D4D51" w:rsidRDefault="00BF3E13">
      <w:r w:rsidRPr="006D4D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3" w:rsidRPr="006D4D51" w:rsidRDefault="00BF3E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3" w:rsidRPr="006D4D51" w:rsidRDefault="00BF3E13">
    <w:pPr>
      <w:pStyle w:val="SidfotH"/>
      <w:framePr w:wrap="around"/>
    </w:pPr>
    <w:r w:rsidRPr="006D4D51">
      <w:t>2</w:t>
    </w:r>
  </w:p>
  <w:p w:rsidR="00BF3E13" w:rsidRPr="006D4D51" w:rsidRDefault="00BF3E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3" w:rsidRPr="006D4D51" w:rsidRDefault="00BF3E13">
    <w:pPr>
      <w:pStyle w:val="SidfotH"/>
      <w:framePr w:wrap="around"/>
    </w:pPr>
    <w:r w:rsidRPr="006D4D51">
      <w:t>1</w:t>
    </w:r>
  </w:p>
  <w:p w:rsidR="00BF3E13" w:rsidRPr="006D4D51" w:rsidRDefault="00BF3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E13" w:rsidRPr="006D4D51" w:rsidRDefault="00BF3E13">
      <w:r w:rsidRPr="006D4D51">
        <w:separator/>
      </w:r>
    </w:p>
  </w:footnote>
  <w:footnote w:type="continuationSeparator" w:id="0">
    <w:p w:rsidR="00BF3E13" w:rsidRPr="006D4D51" w:rsidRDefault="00BF3E13">
      <w:r w:rsidRPr="006D4D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3" w:rsidRPr="006D4D51" w:rsidRDefault="00BF3E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3" w:rsidRPr="006D4D51" w:rsidRDefault="00BF3E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3" w:rsidRPr="006D4D51" w:rsidRDefault="006D4D51">
    <w:pPr>
      <w:pStyle w:val="Sidhuvud"/>
    </w:pPr>
    <w:r w:rsidRPr="006D4D5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39973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E13" w:rsidRDefault="00BF3E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3E13" w:rsidRDefault="00BF3E13">
                    <w:pPr>
                      <w:pStyle w:val="Logo"/>
                    </w:pPr>
                    <w:r>
                      <w:object w:dxaOrig="840" w:dyaOrig="1545">
                        <v:shape id="_x0000_i1025" type="#_x0000_t75" style="width:42pt;height:77.15pt" filled="t">
                          <v:imagedata r:id="rId1" o:title=""/>
                        </v:shape>
                        <o:OLEObject Type="Embed" ProgID="Word.Picture.8" ShapeID="_x0000_i1025" DrawAspect="Content" ObjectID="_18274959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3351132">
    <w:abstractNumId w:val="4"/>
  </w:num>
  <w:num w:numId="2" w16cid:durableId="255216810">
    <w:abstractNumId w:val="1"/>
  </w:num>
  <w:num w:numId="3" w16cid:durableId="1255938454">
    <w:abstractNumId w:val="2"/>
  </w:num>
  <w:num w:numId="4" w16cid:durableId="1069497177">
    <w:abstractNumId w:val="3"/>
  </w:num>
  <w:num w:numId="5" w16cid:durableId="1980302555">
    <w:abstractNumId w:val="5"/>
  </w:num>
  <w:num w:numId="6" w16cid:durableId="5073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Näringsdepartementet"/>
    <w:docVar w:name="DepWeb" w:val="Näringsdepartementet"/>
    <w:docVar w:name="GDB1" w:val="KOM(2007) 616"/>
    <w:docVar w:name="GDB10" w:val=" "/>
    <w:docVar w:name="GDB11" w:val=" "/>
    <w:docVar w:name="GDB12" w:val=" "/>
    <w:docVar w:name="GDB13" w:val=" "/>
    <w:docVar w:name="GDB2" w:val="SEC(2007) 1339"/>
    <w:docVar w:name="GDB3" w:val="SEC(2007) 1340"/>
    <w:docVar w:name="GDB4" w:val=" "/>
    <w:docVar w:name="GDB5" w:val=" "/>
    <w:docVar w:name="GDB6" w:val=" "/>
    <w:docVar w:name="GDB7" w:val=" "/>
    <w:docVar w:name="GDB8" w:val=" "/>
    <w:docVar w:name="GDB9" w:val=" "/>
    <w:docVar w:name="GDT1" w:val="Meddelande om en europeisk hamn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616, SEC(2007) 1339, SEC(2007) 1340"/>
    <w:docVar w:name="Nr" w:val="31"/>
    <w:docVar w:name="RD_APPVERSION" w:val="3.00"/>
    <w:docVar w:name="Rub" w:val="Hamnpolitik"/>
    <w:docVar w:name="UppDat" w:val="2007-12-03"/>
    <w:docVar w:name="Utsk" w:val="Trafikutskottet"/>
  </w:docVars>
  <w:rsids>
    <w:rsidRoot w:val="000A2204"/>
    <w:rsid w:val="000A2204"/>
    <w:rsid w:val="006D4D51"/>
    <w:rsid w:val="00BF3E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FAE687-8A31-41D6-9F2F-BC6D9FB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1649</Words>
  <Characters>10559</Characters>
  <Application>Microsoft Office Word</Application>
  <DocSecurity>4</DocSecurity>
  <Lines>215</Lines>
  <Paragraphs>83</Paragraphs>
  <ScaleCrop>false</ScaleCrop>
  <HeadingPairs>
    <vt:vector size="2" baseType="variant">
      <vt:variant>
        <vt:lpstr>Rubrik</vt:lpstr>
      </vt:variant>
      <vt:variant>
        <vt:i4>1</vt:i4>
      </vt:variant>
    </vt:vector>
  </HeadingPairs>
  <TitlesOfParts>
    <vt:vector size="1" baseType="lpstr">
      <vt:lpstr>FPM_200708__31</vt:lpstr>
    </vt:vector>
  </TitlesOfParts>
  <Company>RD-DTSL</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FPM_200708__31</dc:title>
  <dc:subject>FPM_200708__31</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2007-11-26T12:03:00Z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KOM(2007) 616</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Hamnpolitik</vt:lpwstr>
  </property>
  <property fmtid="{D5CDD505-2E9C-101B-9397-08002B2CF9AE}" pid="8" name="UppDat">
    <vt:lpwstr>2007-12-03</vt:lpwstr>
  </property>
  <property fmtid="{D5CDD505-2E9C-101B-9397-08002B2CF9AE}" pid="9" name="AnkDat">
    <vt:lpwstr>2007-12-04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SEC(2007) 1339</vt:lpwstr>
  </property>
  <property fmtid="{D5CDD505-2E9C-101B-9397-08002B2CF9AE}" pid="15" name="GDB3">
    <vt:lpwstr>SEC(2007) 1340</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18;0;0;414</vt:lpwstr>
  </property>
  <property fmtid="{D5CDD505-2E9C-101B-9397-08002B2CF9AE}" pid="41" name="Sprak">
    <vt:lpwstr>Svenska</vt:lpwstr>
  </property>
  <property fmtid="{D5CDD505-2E9C-101B-9397-08002B2CF9AE}" pid="42" name="DokID">
    <vt:i4>80</vt:i4>
  </property>
</Properties>
</file>