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57C1C">
        <w:tblPrEx>
          <w:tblCellMar>
            <w:top w:w="0" w:type="dxa"/>
            <w:left w:w="0" w:type="dxa"/>
            <w:bottom w:w="0" w:type="dxa"/>
            <w:right w:w="0" w:type="dxa"/>
          </w:tblCellMar>
        </w:tblPrEx>
        <w:trPr>
          <w:gridAfter w:val="2"/>
          <w:wAfter w:w="1758" w:type="dxa"/>
          <w:cantSplit/>
          <w:trHeight w:val="1320"/>
        </w:trPr>
        <w:tc>
          <w:tcPr>
            <w:tcW w:w="5897" w:type="dxa"/>
          </w:tcPr>
          <w:p w:rsidR="00866534" w:rsidRPr="00C57C1C" w:rsidRDefault="00866534">
            <w:pPr>
              <w:pStyle w:val="HuvudRubrik"/>
            </w:pPr>
            <w:r w:rsidRPr="00C57C1C">
              <w:t>Regeringskansliet</w:t>
            </w:r>
          </w:p>
          <w:p w:rsidR="00866534" w:rsidRPr="00C57C1C" w:rsidRDefault="00866534">
            <w:pPr>
              <w:pStyle w:val="HuvudRubrik"/>
            </w:pPr>
            <w:r w:rsidRPr="00C57C1C">
              <w:t>Faktapromemoria 2003/04:FPM111</w:t>
            </w:r>
          </w:p>
        </w:tc>
      </w:tr>
      <w:tr w:rsidR="00000000" w:rsidRPr="00C57C1C">
        <w:tblPrEx>
          <w:tblCellMar>
            <w:top w:w="0" w:type="dxa"/>
            <w:left w:w="0" w:type="dxa"/>
            <w:bottom w:w="0" w:type="dxa"/>
            <w:right w:w="0" w:type="dxa"/>
          </w:tblCellMar>
        </w:tblPrEx>
        <w:trPr>
          <w:gridAfter w:val="2"/>
          <w:wAfter w:w="1758" w:type="dxa"/>
          <w:cantSplit/>
          <w:trHeight w:val="240"/>
        </w:trPr>
        <w:tc>
          <w:tcPr>
            <w:tcW w:w="5897" w:type="dxa"/>
          </w:tcPr>
          <w:p w:rsidR="00866534" w:rsidRPr="00C57C1C" w:rsidRDefault="00866534">
            <w:pPr>
              <w:pStyle w:val="HuvudRubrik"/>
              <w:rPr>
                <w:sz w:val="28"/>
              </w:rPr>
            </w:pPr>
            <w:r w:rsidRPr="00C57C1C">
              <w:rPr>
                <w:sz w:val="28"/>
              </w:rPr>
              <w:t>Gemenskapens kontrollorgan för fiske</w:t>
            </w:r>
          </w:p>
        </w:tc>
      </w:tr>
      <w:tr w:rsidR="00000000" w:rsidRPr="00C57C1C">
        <w:tblPrEx>
          <w:tblCellMar>
            <w:top w:w="0" w:type="dxa"/>
            <w:left w:w="0" w:type="dxa"/>
            <w:bottom w:w="0" w:type="dxa"/>
            <w:right w:w="0" w:type="dxa"/>
          </w:tblCellMar>
        </w:tblPrEx>
        <w:trPr>
          <w:cantSplit/>
          <w:trHeight w:val="285"/>
        </w:trPr>
        <w:tc>
          <w:tcPr>
            <w:tcW w:w="7655" w:type="dxa"/>
            <w:gridSpan w:val="3"/>
          </w:tcPr>
          <w:p w:rsidR="00866534" w:rsidRPr="00C57C1C" w:rsidRDefault="00866534">
            <w:pPr>
              <w:pStyle w:val="Departement"/>
              <w:rPr>
                <w:sz w:val="28"/>
              </w:rPr>
            </w:pPr>
            <w:r w:rsidRPr="00C57C1C">
              <w:t>Jordbruksdepartementet</w:t>
            </w:r>
          </w:p>
        </w:tc>
      </w:tr>
      <w:tr w:rsidR="00000000" w:rsidRPr="00C57C1C">
        <w:tblPrEx>
          <w:tblCellMar>
            <w:top w:w="0" w:type="dxa"/>
            <w:left w:w="0" w:type="dxa"/>
            <w:bottom w:w="0" w:type="dxa"/>
            <w:right w:w="0" w:type="dxa"/>
          </w:tblCellMar>
        </w:tblPrEx>
        <w:trPr>
          <w:cantSplit/>
          <w:trHeight w:val="240"/>
        </w:trPr>
        <w:tc>
          <w:tcPr>
            <w:tcW w:w="7655" w:type="dxa"/>
            <w:gridSpan w:val="3"/>
          </w:tcPr>
          <w:p w:rsidR="00866534" w:rsidRPr="00C57C1C" w:rsidRDefault="00866534">
            <w:pPr>
              <w:pStyle w:val="Dokumentdatum"/>
            </w:pPr>
            <w:r w:rsidRPr="00C57C1C">
              <w:t>2004-06-08</w:t>
            </w:r>
          </w:p>
        </w:tc>
      </w:tr>
      <w:tr w:rsidR="00000000" w:rsidRPr="00C57C1C">
        <w:tblPrEx>
          <w:tblCellMar>
            <w:top w:w="0" w:type="dxa"/>
            <w:left w:w="0" w:type="dxa"/>
            <w:bottom w:w="0" w:type="dxa"/>
            <w:right w:w="0" w:type="dxa"/>
          </w:tblCellMar>
        </w:tblPrEx>
        <w:trPr>
          <w:cantSplit/>
          <w:trHeight w:val="726"/>
        </w:trPr>
        <w:tc>
          <w:tcPr>
            <w:tcW w:w="7655" w:type="dxa"/>
            <w:gridSpan w:val="3"/>
            <w:vAlign w:val="bottom"/>
          </w:tcPr>
          <w:p w:rsidR="00866534" w:rsidRPr="00C57C1C" w:rsidRDefault="00866534">
            <w:pPr>
              <w:pStyle w:val="Dokumentbeteckning"/>
            </w:pPr>
            <w:r w:rsidRPr="00C57C1C">
              <w:t>Dokumentbeteckning</w:t>
            </w:r>
          </w:p>
        </w:tc>
      </w:tr>
      <w:tr w:rsidR="00000000" w:rsidRPr="00C57C1C">
        <w:tblPrEx>
          <w:tblCellMar>
            <w:top w:w="0" w:type="dxa"/>
            <w:left w:w="0" w:type="dxa"/>
            <w:bottom w:w="0" w:type="dxa"/>
            <w:right w:w="0" w:type="dxa"/>
          </w:tblCellMar>
        </w:tblPrEx>
        <w:trPr>
          <w:gridAfter w:val="1"/>
          <w:wAfter w:w="1560" w:type="dxa"/>
          <w:trHeight w:val="120"/>
        </w:trPr>
        <w:tc>
          <w:tcPr>
            <w:tcW w:w="6095" w:type="dxa"/>
            <w:gridSpan w:val="2"/>
          </w:tcPr>
          <w:p w:rsidR="00866534" w:rsidRPr="00C57C1C" w:rsidRDefault="00866534">
            <w:bookmarkStart w:id="0" w:name="KomNr"/>
            <w:bookmarkEnd w:id="0"/>
            <w:r w:rsidRPr="00C57C1C">
              <w:t>KOM(2004) 289 slutlig</w:t>
            </w:r>
          </w:p>
        </w:tc>
      </w:tr>
      <w:tr w:rsidR="00000000" w:rsidRPr="00C57C1C">
        <w:tblPrEx>
          <w:tblCellMar>
            <w:top w:w="0" w:type="dxa"/>
            <w:left w:w="0" w:type="dxa"/>
            <w:bottom w:w="0" w:type="dxa"/>
            <w:right w:w="0" w:type="dxa"/>
          </w:tblCellMar>
        </w:tblPrEx>
        <w:trPr>
          <w:gridAfter w:val="1"/>
          <w:wAfter w:w="1560" w:type="dxa"/>
          <w:trHeight w:val="120"/>
        </w:trPr>
        <w:tc>
          <w:tcPr>
            <w:tcW w:w="6095" w:type="dxa"/>
            <w:gridSpan w:val="2"/>
          </w:tcPr>
          <w:p w:rsidR="00866534" w:rsidRPr="00C57C1C" w:rsidRDefault="00866534">
            <w:pPr>
              <w:pStyle w:val="Dokumentbeteckning-titel"/>
            </w:pPr>
            <w:r w:rsidRPr="00C57C1C">
              <w:t>Förslag till rådets förordning om inrättande av gemnskapens kontrollorgan för fiske och ändring av förordning (EG) nr 2847/93 om införande av ett kontrollsystem för den gemensamma fiskeripolitiken</w:t>
            </w:r>
          </w:p>
        </w:tc>
      </w:tr>
    </w:tbl>
    <w:p w:rsidR="00866534" w:rsidRPr="00C57C1C" w:rsidRDefault="00866534">
      <w:pPr>
        <w:pStyle w:val="Rubrik1"/>
        <w:numPr>
          <w:ilvl w:val="0"/>
          <w:numId w:val="0"/>
        </w:numPr>
      </w:pPr>
      <w:r w:rsidRPr="00C57C1C">
        <w:t>Sammanfattning</w:t>
      </w:r>
    </w:p>
    <w:p w:rsidR="00866534" w:rsidRPr="00C57C1C" w:rsidRDefault="00866534">
      <w:r w:rsidRPr="00C57C1C">
        <w:t>I Grönboken om reformen av den gemensamma fiskeripolitiken fastslås problem med medlemsstaternas kontroll och tillsyn. En möjlig lösning som föreslås är inrättande av en gemensam inspektionsorganisation.</w:t>
      </w:r>
    </w:p>
    <w:p w:rsidR="00866534" w:rsidRPr="00C57C1C" w:rsidRDefault="00866534">
      <w:pPr>
        <w:pStyle w:val="Rubrik1"/>
      </w:pPr>
      <w:r w:rsidRPr="00C57C1C">
        <w:t>Förslaget</w:t>
      </w:r>
    </w:p>
    <w:p w:rsidR="00866534" w:rsidRPr="00C57C1C" w:rsidRDefault="00866534">
      <w:pPr>
        <w:pStyle w:val="Rubrik2"/>
      </w:pPr>
      <w:r w:rsidRPr="00C57C1C">
        <w:t>Innehåll</w:t>
      </w:r>
    </w:p>
    <w:p w:rsidR="00866534" w:rsidRPr="00C57C1C" w:rsidRDefault="00866534">
      <w:r w:rsidRPr="00C57C1C">
        <w:t xml:space="preserve">Enligt förslaget skall kontrollorganets kärnverksamhet inriktas på operativ samordning av medlemsstaternas kontroll och inspektion. Den skall placeras i Spanien och vara i funktion den 1 januari 2006. </w:t>
      </w:r>
    </w:p>
    <w:p w:rsidR="00866534" w:rsidRPr="00C57C1C" w:rsidRDefault="00866534">
      <w:r w:rsidRPr="00C57C1C">
        <w:t xml:space="preserve">Det nya kontrollorganet är inte avsett att påverka medlemsstaternas ansvar för att den gemensamma fiskeripolitiken genomförs. Genom att åta sig en operativ samordning är tanken att man skall kunna bistå såväl gemenskapen som medlemsstaterna så att de kan fullgöra sådana kontroller och inspektioner som inte ingår i kommissionens kärnverksamheter. </w:t>
      </w:r>
    </w:p>
    <w:p w:rsidR="00866534" w:rsidRPr="00C57C1C" w:rsidRDefault="00866534">
      <w:r w:rsidRPr="00C57C1C">
        <w:t>Det har upprättats en styrgrupp under kommissionen bestående av företrädare från medlemsstaterna för att diskutera myndighetens uppgifter på teknisk nivå. När den slutliga rapporten från styrgruppen presenterats i september/oktober 2004 kan kommissionens förslag få ett mer konkret innehåll. Frågor som kan komma att bli föremål för diskussion är förslag om:</w:t>
      </w:r>
    </w:p>
    <w:p w:rsidR="00866534" w:rsidRPr="00C57C1C" w:rsidRDefault="00866534">
      <w:pPr>
        <w:numPr>
          <w:ilvl w:val="0"/>
          <w:numId w:val="10"/>
        </w:numPr>
      </w:pPr>
      <w:r w:rsidRPr="00C57C1C">
        <w:t xml:space="preserve">nyttjandet av nationella medel </w:t>
      </w:r>
    </w:p>
    <w:p w:rsidR="00866534" w:rsidRPr="00C57C1C" w:rsidRDefault="00866534">
      <w:pPr>
        <w:numPr>
          <w:ilvl w:val="0"/>
          <w:numId w:val="10"/>
        </w:numPr>
      </w:pPr>
      <w:r w:rsidRPr="00C57C1C">
        <w:t xml:space="preserve">ett sammanhållande kontroll- och inspektionsprogram </w:t>
      </w:r>
    </w:p>
    <w:p w:rsidR="00866534" w:rsidRPr="00C57C1C" w:rsidRDefault="00866534">
      <w:pPr>
        <w:numPr>
          <w:ilvl w:val="0"/>
          <w:numId w:val="10"/>
        </w:numPr>
      </w:pPr>
      <w:r w:rsidRPr="00C57C1C">
        <w:lastRenderedPageBreak/>
        <w:t>operativ samordning</w:t>
      </w:r>
    </w:p>
    <w:p w:rsidR="00866534" w:rsidRPr="00C57C1C" w:rsidRDefault="00866534">
      <w:pPr>
        <w:numPr>
          <w:ilvl w:val="0"/>
          <w:numId w:val="10"/>
        </w:numPr>
      </w:pPr>
      <w:r w:rsidRPr="00C57C1C">
        <w:t>röstningsförfarande</w:t>
      </w:r>
    </w:p>
    <w:p w:rsidR="00866534" w:rsidRPr="00C57C1C" w:rsidRDefault="00866534">
      <w:pPr>
        <w:numPr>
          <w:ilvl w:val="0"/>
          <w:numId w:val="10"/>
        </w:numPr>
      </w:pPr>
      <w:r w:rsidRPr="00C57C1C">
        <w:t>personalens kompetens</w:t>
      </w:r>
    </w:p>
    <w:p w:rsidR="00866534" w:rsidRPr="00C57C1C" w:rsidRDefault="00866534"/>
    <w:p w:rsidR="00866534" w:rsidRPr="00C57C1C" w:rsidRDefault="00866534">
      <w:r w:rsidRPr="00C57C1C">
        <w:t>kandidaturer</w:t>
      </w:r>
    </w:p>
    <w:p w:rsidR="00866534" w:rsidRPr="00C57C1C" w:rsidRDefault="00866534">
      <w:pPr>
        <w:pStyle w:val="Rubrik2"/>
      </w:pPr>
      <w:r w:rsidRPr="00C57C1C">
        <w:t>Gällande svenska regler och förslagets effekt på dessa</w:t>
      </w:r>
    </w:p>
    <w:p w:rsidR="00866534" w:rsidRPr="00C57C1C" w:rsidRDefault="00866534">
      <w:r w:rsidRPr="00C57C1C">
        <w:t>Detta är en gemenskapsfråga, dvs inga inga särskilda svenska regler föreligger.</w:t>
      </w:r>
    </w:p>
    <w:p w:rsidR="00866534" w:rsidRPr="00C57C1C" w:rsidRDefault="00866534">
      <w:pPr>
        <w:pStyle w:val="Rubrik2"/>
      </w:pPr>
      <w:r w:rsidRPr="00C57C1C">
        <w:t>Budgetära konsekvenser</w:t>
      </w:r>
    </w:p>
    <w:p w:rsidR="00866534" w:rsidRPr="00C57C1C" w:rsidRDefault="00866534">
      <w:r w:rsidRPr="00C57C1C">
        <w:t>Verksamheten föreslås i huvudsak finansieras med medel från gemenskapens budget men även med externa medel såsom avgifter för tjänster. Budgeten för första året beräknas vara 4.9 miljoner euro.</w:t>
      </w:r>
    </w:p>
    <w:p w:rsidR="00866534" w:rsidRPr="00C57C1C" w:rsidRDefault="00866534">
      <w:pPr>
        <w:pStyle w:val="Rubrik1"/>
      </w:pPr>
      <w:r w:rsidRPr="00C57C1C">
        <w:t>Ståndpunkter</w:t>
      </w:r>
    </w:p>
    <w:p w:rsidR="00866534" w:rsidRPr="00C57C1C" w:rsidRDefault="00866534">
      <w:pPr>
        <w:pStyle w:val="Rubrik2"/>
      </w:pPr>
      <w:r w:rsidRPr="00C57C1C">
        <w:t>Svensk ståndpunkt</w:t>
      </w:r>
    </w:p>
    <w:p w:rsidR="00866534" w:rsidRPr="00C57C1C" w:rsidRDefault="00866534">
      <w:r w:rsidRPr="00C57C1C">
        <w:t xml:space="preserve">Förslaget om en gemensam kontrollmyndighet berör många viktiga frågeställningar. Det är viktigt att behandlingen av förslaget först tar sikte på de mer principiella och övergripande frågeställningar som inte föregriper det arbete kommissionens konsultgrupp bedriver (enligt uppgift skall avrapportering ske i september/oktober). </w:t>
      </w:r>
      <w:r w:rsidRPr="00C57C1C">
        <w:rPr>
          <w:color w:val="000000"/>
        </w:rPr>
        <w:t>Sverige har vid den inledande presentationen i rådsarbetsgruppen framfört granskningsreservation. Det finns behov av att analysera förslaget ingående bl a vad gäller frågan om kontrollorganets dimensionering.</w:t>
      </w:r>
    </w:p>
    <w:p w:rsidR="00866534" w:rsidRPr="00C57C1C" w:rsidRDefault="00866534">
      <w:r w:rsidRPr="00C57C1C">
        <w:t>EU behöver former för striktare kontroller och effektivare övervakning för att kunna förvalta fiskeresursen på ett hållbart och långsiktigt sätt. Ett effektivt informationsflöde, centraliserade kontaktpunkter och enhetliga kontroll- och inspektionsmetoder är åtgärder som tror vi kan bidra till detta. P</w:t>
      </w:r>
      <w:r w:rsidRPr="00C57C1C">
        <w:t>å detta sätt kan man även förbättra EUs förhållande till internationella partners.</w:t>
      </w:r>
    </w:p>
    <w:p w:rsidR="00866534" w:rsidRPr="00C57C1C" w:rsidRDefault="00866534">
      <w:r w:rsidRPr="00C57C1C">
        <w:t xml:space="preserve">Förslaget är ute på remiss till första veckan i juli. </w:t>
      </w:r>
    </w:p>
    <w:p w:rsidR="00866534" w:rsidRPr="00C57C1C" w:rsidRDefault="00866534">
      <w:pPr>
        <w:pStyle w:val="Rubrik2"/>
      </w:pPr>
      <w:r w:rsidRPr="00C57C1C">
        <w:t>Medlemsstaternas ståndpunkter</w:t>
      </w:r>
    </w:p>
    <w:p w:rsidR="00866534" w:rsidRPr="00C57C1C" w:rsidRDefault="00866534">
      <w:r w:rsidRPr="00C57C1C">
        <w:t>Ej kända för tillfället då förslaget inte behandlats i detalj i arbetsgrupp ännu.</w:t>
      </w:r>
    </w:p>
    <w:p w:rsidR="00866534" w:rsidRPr="00C57C1C" w:rsidRDefault="00866534">
      <w:pPr>
        <w:pStyle w:val="Rubrik2"/>
      </w:pPr>
      <w:r w:rsidRPr="00C57C1C">
        <w:t>Institutionernas ståndpunkter</w:t>
      </w:r>
    </w:p>
    <w:p w:rsidR="00866534" w:rsidRPr="00C57C1C" w:rsidRDefault="00866534">
      <w:r w:rsidRPr="00C57C1C">
        <w:t>Parlamentet förväntas yttra sig över förslaget.</w:t>
      </w:r>
    </w:p>
    <w:p w:rsidR="00866534" w:rsidRPr="00C57C1C" w:rsidRDefault="00866534">
      <w:pPr>
        <w:pStyle w:val="Rubrik2"/>
      </w:pPr>
      <w:r w:rsidRPr="00C57C1C">
        <w:t>Remissinstansernas ståndpunkter</w:t>
      </w:r>
    </w:p>
    <w:p w:rsidR="00866534" w:rsidRPr="00C57C1C" w:rsidRDefault="00866534">
      <w:r w:rsidRPr="00C57C1C">
        <w:t xml:space="preserve">Remisstiden går ut den 12 juli </w:t>
      </w:r>
    </w:p>
    <w:p w:rsidR="00866534" w:rsidRPr="00C57C1C" w:rsidRDefault="00866534">
      <w:pPr>
        <w:pStyle w:val="Rubrik1"/>
      </w:pPr>
      <w:r w:rsidRPr="00C57C1C">
        <w:t>Övrigt</w:t>
      </w:r>
    </w:p>
    <w:p w:rsidR="00866534" w:rsidRPr="00C57C1C" w:rsidRDefault="00866534">
      <w:pPr>
        <w:pStyle w:val="Rubrik2"/>
      </w:pPr>
      <w:r w:rsidRPr="00C57C1C">
        <w:t>Fortsatt behandling av ärendet</w:t>
      </w:r>
    </w:p>
    <w:p w:rsidR="00866534" w:rsidRPr="00C57C1C" w:rsidRDefault="00866534">
      <w:pPr>
        <w:rPr>
          <w:b/>
          <w:i/>
        </w:rPr>
      </w:pPr>
      <w:r w:rsidRPr="00C57C1C">
        <w:t>En avstämning (”utbyte av åsikter”) på ministernivå planeras äga rum vid rådsmötet i juni. Frågan förväntas vara prioriterad under Nederländernas ordförandeskap.</w:t>
      </w:r>
    </w:p>
    <w:p w:rsidR="00866534" w:rsidRPr="00C57C1C" w:rsidRDefault="00866534">
      <w:pPr>
        <w:pStyle w:val="Rubrik2"/>
      </w:pPr>
      <w:r w:rsidRPr="00C57C1C">
        <w:t>Rättslig grund och beslutsförfarande</w:t>
      </w:r>
    </w:p>
    <w:p w:rsidR="00866534" w:rsidRPr="00C57C1C" w:rsidRDefault="00866534">
      <w:r w:rsidRPr="00C57C1C">
        <w:t>Artikel 37 i fördraget. Beslutet fattas med kvalificerad majoritet.</w:t>
      </w:r>
    </w:p>
    <w:p w:rsidR="00866534" w:rsidRPr="00C57C1C" w:rsidRDefault="00866534">
      <w:pPr>
        <w:pStyle w:val="Rubrik2"/>
      </w:pPr>
      <w:r w:rsidRPr="00C57C1C">
        <w:t>Fackuttryck/termer</w:t>
      </w:r>
    </w:p>
    <w:p w:rsidR="00866534" w:rsidRPr="00C57C1C" w:rsidRDefault="00866534">
      <w:r w:rsidRPr="00C57C1C">
        <w:t>-</w:t>
      </w:r>
    </w:p>
    <w:p w:rsidR="00866534" w:rsidRPr="00C57C1C" w:rsidRDefault="00866534"/>
    <w:sectPr w:rsidR="00866534" w:rsidRPr="00C57C1C">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6534" w:rsidRPr="00C57C1C" w:rsidRDefault="00866534">
      <w:pPr>
        <w:spacing w:before="0" w:line="240" w:lineRule="auto"/>
      </w:pPr>
      <w:r w:rsidRPr="00C57C1C">
        <w:separator/>
      </w:r>
    </w:p>
  </w:endnote>
  <w:endnote w:type="continuationSeparator" w:id="0">
    <w:p w:rsidR="00866534" w:rsidRPr="00C57C1C" w:rsidRDefault="00866534">
      <w:pPr>
        <w:spacing w:before="0" w:line="240" w:lineRule="auto"/>
      </w:pPr>
      <w:r w:rsidRPr="00C57C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534" w:rsidRPr="00C57C1C" w:rsidRDefault="00866534">
    <w:pPr>
      <w:pStyle w:val="SidfotH"/>
      <w:framePr w:wrap="around"/>
    </w:pPr>
    <w:r w:rsidRPr="00C57C1C">
      <w:t>2</w:t>
    </w:r>
  </w:p>
  <w:p w:rsidR="00866534" w:rsidRPr="00C57C1C" w:rsidRDefault="008665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534" w:rsidRPr="00C57C1C" w:rsidRDefault="00866534">
    <w:pPr>
      <w:pStyle w:val="SidfotH"/>
      <w:framePr w:wrap="around"/>
    </w:pPr>
    <w:r w:rsidRPr="00C57C1C">
      <w:t>1</w:t>
    </w:r>
  </w:p>
  <w:p w:rsidR="00866534" w:rsidRPr="00C57C1C" w:rsidRDefault="008665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6534" w:rsidRPr="00C57C1C" w:rsidRDefault="00866534">
      <w:pPr>
        <w:spacing w:before="0" w:line="240" w:lineRule="auto"/>
      </w:pPr>
      <w:r w:rsidRPr="00C57C1C">
        <w:separator/>
      </w:r>
    </w:p>
  </w:footnote>
  <w:footnote w:type="continuationSeparator" w:id="0">
    <w:p w:rsidR="00866534" w:rsidRPr="00C57C1C" w:rsidRDefault="00866534">
      <w:pPr>
        <w:spacing w:before="0" w:line="240" w:lineRule="auto"/>
      </w:pPr>
      <w:r w:rsidRPr="00C57C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534" w:rsidRPr="00C57C1C" w:rsidRDefault="00866534">
    <w:pPr>
      <w:pStyle w:val="Kantrubrik"/>
      <w:framePr w:h="1157" w:hRule="exact" w:wrap="around" w:y="738"/>
    </w:pPr>
    <w:r w:rsidRPr="00C57C1C">
      <w:t>2003/04:FPM111</w:t>
    </w:r>
  </w:p>
  <w:p w:rsidR="00866534" w:rsidRPr="00C57C1C" w:rsidRDefault="008665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534" w:rsidRPr="00C57C1C" w:rsidRDefault="00C57C1C">
    <w:pPr>
      <w:pStyle w:val="Sidhuvud"/>
    </w:pPr>
    <w:r w:rsidRPr="00C57C1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664990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866534" w:rsidRDefault="0086653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92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866534" w:rsidRDefault="00866534">
                    <w:pPr>
                      <w:pStyle w:val="Logo"/>
                    </w:pPr>
                    <w:r>
                      <w:object w:dxaOrig="840" w:dyaOrig="1545">
                        <v:shape id="_x0000_i1025" type="#_x0000_t75" style="width:42pt;height:77.15pt" fillcolor="window">
                          <v:imagedata r:id="rId1" o:title=""/>
                        </v:shape>
                        <o:OLEObject Type="Embed" ProgID="Word.Picture.8" ShapeID="_x0000_i1025" DrawAspect="Content" ObjectID="_182741792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7ED15BC"/>
    <w:multiLevelType w:val="hybridMultilevel"/>
    <w:tmpl w:val="23EA4224"/>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432FC0"/>
    <w:multiLevelType w:val="hybridMultilevel"/>
    <w:tmpl w:val="202EECB8"/>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713B78"/>
    <w:multiLevelType w:val="hybridMultilevel"/>
    <w:tmpl w:val="68526F66"/>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21B53B4"/>
    <w:multiLevelType w:val="hybridMultilevel"/>
    <w:tmpl w:val="E51AC1B2"/>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82029403">
    <w:abstractNumId w:val="8"/>
  </w:num>
  <w:num w:numId="2" w16cid:durableId="340397868">
    <w:abstractNumId w:val="4"/>
  </w:num>
  <w:num w:numId="3" w16cid:durableId="1009909876">
    <w:abstractNumId w:val="5"/>
  </w:num>
  <w:num w:numId="4" w16cid:durableId="75785992">
    <w:abstractNumId w:val="6"/>
  </w:num>
  <w:num w:numId="5" w16cid:durableId="2098162973">
    <w:abstractNumId w:val="9"/>
  </w:num>
  <w:num w:numId="6" w16cid:durableId="1334837730">
    <w:abstractNumId w:val="0"/>
  </w:num>
  <w:num w:numId="7" w16cid:durableId="1464301271">
    <w:abstractNumId w:val="1"/>
  </w:num>
  <w:num w:numId="8" w16cid:durableId="1530407692">
    <w:abstractNumId w:val="7"/>
  </w:num>
  <w:num w:numId="9" w16cid:durableId="787361750">
    <w:abstractNumId w:val="3"/>
  </w:num>
  <w:num w:numId="10" w16cid:durableId="1639333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6-16"/>
    <w:docVar w:name="Ar" w:val="2004/05"/>
    <w:docVar w:name="Dep" w:val="Jordbruksdepartementet"/>
    <w:docVar w:name="DepWeb" w:val="Jordbruksdepartementet"/>
    <w:docVar w:name="GDB1" w:val="KOM(2004) 28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inrättande av gemnskapens kontrollorgan för fiske och ändring av förordning (EG) nr 2847/93 om införande av ett kontrollsystem för den gemensamma fiskeripolitik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 289 slutlig"/>
    <w:docVar w:name="Nr" w:val="111"/>
    <w:docVar w:name="Rub" w:val="Fiskerikontrollmyndighet"/>
    <w:docVar w:name="UppDat" w:val="2004-06-08"/>
    <w:docVar w:name="Utsk" w:val="Miljö- och jordbruksutskottet"/>
  </w:docVars>
  <w:rsids>
    <w:rsidRoot w:val="00C6509D"/>
    <w:rsid w:val="00866534"/>
    <w:rsid w:val="00C57C1C"/>
    <w:rsid w:val="00C650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C10938-29E2-42F4-9781-76EFBADA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Brdtext">
    <w:name w:val="Body Text"/>
    <w:basedOn w:val="Normal"/>
    <w:semiHidden/>
    <w:pPr>
      <w:spacing w:before="0" w:line="320" w:lineRule="exact"/>
      <w:jc w:val="left"/>
    </w:pPr>
    <w:rPr>
      <w:rFonts w:ascii="OrigGarmnd BT" w:hAnsi="OrigGarmnd BT"/>
      <w:sz w:val="24"/>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474</Words>
  <Characters>3143</Characters>
  <Application>Microsoft Office Word</Application>
  <DocSecurity>4</DocSecurity>
  <Lines>74</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2004-06-17T06:53:00Z</cp:lastPrinted>
  <dcterms:created xsi:type="dcterms:W3CDTF">2025-12-16T18:13:00Z</dcterms:created>
  <dcterms:modified xsi:type="dcterms:W3CDTF">2025-12-16T18:13:00Z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111</vt:lpwstr>
  </property>
  <property fmtid="{D5CDD505-2E9C-101B-9397-08002B2CF9AE}" pid="4" name="GDB1">
    <vt:lpwstr>KOM(2004) 289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Fiskerikontrollmyndighet</vt:lpwstr>
  </property>
  <property fmtid="{D5CDD505-2E9C-101B-9397-08002B2CF9AE}" pid="8" name="UppDat">
    <vt:lpwstr>2004-06-08</vt:lpwstr>
  </property>
  <property fmtid="{D5CDD505-2E9C-101B-9397-08002B2CF9AE}" pid="9" name="AnkDat">
    <vt:lpwstr>2004-06-16</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8;0;0;276</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ordbruksdepartementet">
    <vt:lpwstr>JA</vt:lpwstr>
  </property>
  <property fmtid="{D5CDD505-2E9C-101B-9397-08002B2CF9AE}" pid="28" name="NUID">
    <vt:lpwstr> </vt:lpwstr>
  </property>
  <property fmtid="{D5CDD505-2E9C-101B-9397-08002B2CF9AE}" pid="29" name="Justitiedepartementet">
    <vt:lpwstr>NEJ</vt:lpwstr>
  </property>
  <property fmtid="{D5CDD505-2E9C-101B-9397-08002B2CF9AE}" pid="30" name="Utrikesdepartementet">
    <vt:lpwstr>NEJ</vt:lpwstr>
  </property>
  <property fmtid="{D5CDD505-2E9C-101B-9397-08002B2CF9AE}" pid="31" name="Försvarsdepartementet">
    <vt:lpwstr>NEJ</vt:lpwstr>
  </property>
  <property fmtid="{D5CDD505-2E9C-101B-9397-08002B2CF9AE}" pid="32" name="Socialdepartementet">
    <vt:lpwstr>NEJ</vt:lpwstr>
  </property>
  <property fmtid="{D5CDD505-2E9C-101B-9397-08002B2CF9AE}" pid="33" name="Finansdepartementet">
    <vt:lpwstr>NEJ</vt:lpwstr>
  </property>
  <property fmtid="{D5CDD505-2E9C-101B-9397-08002B2CF9AE}" pid="34" name="Utbildningsdepartementet">
    <vt:lpwstr>NEJ</vt:lpwstr>
  </property>
  <property fmtid="{D5CDD505-2E9C-101B-9397-08002B2CF9AE}" pid="35" name="Kulturdepartementet">
    <vt:lpwstr>NEJ</vt:lpwstr>
  </property>
  <property fmtid="{D5CDD505-2E9C-101B-9397-08002B2CF9AE}" pid="36" name="Näringsdepartementet">
    <vt:lpwstr>NEJ</vt:lpwstr>
  </property>
  <property fmtid="{D5CDD505-2E9C-101B-9397-08002B2CF9AE}" pid="37" name="Miljödepartementet">
    <vt:lpwstr>NEJ</vt:lpwstr>
  </property>
</Properties>
</file>